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Verdana" w:hAnsi="Verdana" w:cs="Verdana"/>
          <w:sz w:val="20"/>
          <w:sz-cs w:val="20"/>
          <w:spacing w:val="0"/>
        </w:rPr>
        <w:t xml:space="preserve"/>
      </w:r>
    </w:p>
    <w:p>
      <w:pPr/>
      <w:r>
        <w:rPr>
          <w:rFonts w:ascii="Verdana" w:hAnsi="Verdana" w:cs="Verdana"/>
          <w:sz w:val="20"/>
          <w:sz-cs w:val="20"/>
          <w:b/>
          <w:spacing w:val="0"/>
          <w:color w:val="0000FF"/>
        </w:rPr>
        <w:t xml:space="preserve">Roj:</w:t>
      </w:r>
      <w:r>
        <w:rPr>
          <w:rFonts w:ascii="Verdana" w:hAnsi="Verdana" w:cs="Verdana"/>
          <w:sz w:val="20"/>
          <w:sz-cs w:val="20"/>
          <w:spacing w:val="0"/>
        </w:rPr>
        <w:t xml:space="preserve"> SAP B 2993/2026 - </w:t>
      </w:r>
      <w:r>
        <w:rPr>
          <w:rFonts w:ascii="Verdana" w:hAnsi="Verdana" w:cs="Verdana"/>
          <w:sz w:val="20"/>
          <w:sz-cs w:val="20"/>
          <w:b/>
          <w:spacing w:val="0"/>
          <w:color w:val="0000FF"/>
        </w:rPr>
        <w:t xml:space="preserve"> ECLI:</w:t>
      </w:r>
      <w:r>
        <w:rPr>
          <w:rFonts w:ascii="Verdana" w:hAnsi="Verdana" w:cs="Verdana"/>
          <w:sz w:val="20"/>
          <w:sz-cs w:val="20"/>
          <w:spacing w:val="0"/>
        </w:rPr>
        <w:t xml:space="preserve">ES:APB:2026:2993</w:t>
      </w:r>
    </w:p>
    <w:p>
      <w:pPr/>
      <w:r>
        <w:rPr>
          <w:rFonts w:ascii="Verdana" w:hAnsi="Verdana" w:cs="Verdana"/>
          <w:sz w:val="20"/>
          <w:sz-cs w:val="20"/>
          <w:b/>
          <w:spacing w:val="0"/>
          <w:color w:val="0000FF"/>
        </w:rPr>
        <w:t xml:space="preserve">Órgano:</w:t>
      </w:r>
      <w:r>
        <w:rPr>
          <w:rFonts w:ascii="Verdana" w:hAnsi="Verdana" w:cs="Verdana"/>
          <w:sz w:val="20"/>
          <w:sz-cs w:val="20"/>
          <w:spacing w:val="0"/>
        </w:rPr>
        <w:t xml:space="preserve"> Audiencia Provincial</w:t>
      </w:r>
    </w:p>
    <w:p>
      <w:pPr/>
      <w:r>
        <w:rPr>
          <w:rFonts w:ascii="Verdana" w:hAnsi="Verdana" w:cs="Verdana"/>
          <w:sz w:val="20"/>
          <w:sz-cs w:val="20"/>
          <w:b/>
          <w:spacing w:val="0"/>
          <w:color w:val="0000FF"/>
        </w:rPr>
        <w:t xml:space="preserve">Sede:</w:t>
      </w:r>
      <w:r>
        <w:rPr>
          <w:rFonts w:ascii="Verdana" w:hAnsi="Verdana" w:cs="Verdana"/>
          <w:sz w:val="20"/>
          <w:sz-cs w:val="20"/>
          <w:spacing w:val="0"/>
        </w:rPr>
        <w:t xml:space="preserve"> Barcelona</w:t>
      </w:r>
    </w:p>
    <w:p>
      <w:pPr/>
      <w:r>
        <w:rPr>
          <w:rFonts w:ascii="Verdana" w:hAnsi="Verdana" w:cs="Verdana"/>
          <w:sz w:val="20"/>
          <w:sz-cs w:val="20"/>
          <w:b/>
          <w:spacing w:val="0"/>
          <w:color w:val="0000FF"/>
        </w:rPr>
        <w:t xml:space="preserve">Sección:</w:t>
      </w:r>
      <w:r>
        <w:rPr>
          <w:rFonts w:ascii="Verdana" w:hAnsi="Verdana" w:cs="Verdana"/>
          <w:sz w:val="20"/>
          <w:sz-cs w:val="20"/>
          <w:spacing w:val="0"/>
        </w:rPr>
        <w:t xml:space="preserve"> 15</w:t>
      </w:r>
    </w:p>
    <w:p>
      <w:pPr/>
      <w:r>
        <w:rPr>
          <w:rFonts w:ascii="Verdana" w:hAnsi="Verdana" w:cs="Verdana"/>
          <w:sz w:val="20"/>
          <w:sz-cs w:val="20"/>
          <w:b/>
          <w:spacing w:val="0"/>
          <w:color w:val="0000FF"/>
        </w:rPr>
        <w:t xml:space="preserve">Nº de Recurso:</w:t>
      </w:r>
      <w:r>
        <w:rPr>
          <w:rFonts w:ascii="Verdana" w:hAnsi="Verdana" w:cs="Verdana"/>
          <w:sz w:val="20"/>
          <w:sz-cs w:val="20"/>
          <w:spacing w:val="0"/>
        </w:rPr>
        <w:t xml:space="preserve"> 143/2025</w:t>
      </w:r>
    </w:p>
    <w:p>
      <w:pPr/>
      <w:r>
        <w:rPr>
          <w:rFonts w:ascii="Verdana" w:hAnsi="Verdana" w:cs="Verdana"/>
          <w:sz w:val="20"/>
          <w:sz-cs w:val="20"/>
          <w:b/>
          <w:spacing w:val="0"/>
          <w:color w:val="0000FF"/>
        </w:rPr>
        <w:t xml:space="preserve">Nº de Resolución:</w:t>
      </w:r>
      <w:r>
        <w:rPr>
          <w:rFonts w:ascii="Verdana" w:hAnsi="Verdana" w:cs="Verdana"/>
          <w:sz w:val="20"/>
          <w:sz-cs w:val="20"/>
          <w:spacing w:val="0"/>
        </w:rPr>
        <w:t xml:space="preserve"> 426/2026</w:t>
      </w:r>
    </w:p>
    <w:p>
      <w:pPr/>
      <w:r>
        <w:rPr>
          <w:rFonts w:ascii="Verdana" w:hAnsi="Verdana" w:cs="Verdana"/>
          <w:sz w:val="20"/>
          <w:sz-cs w:val="20"/>
          <w:b/>
          <w:spacing w:val="0"/>
          <w:color w:val="0000FF"/>
        </w:rPr>
        <w:t xml:space="preserve">Fecha de Resolución:</w:t>
      </w:r>
      <w:r>
        <w:rPr>
          <w:rFonts w:ascii="Verdana" w:hAnsi="Verdana" w:cs="Verdana"/>
          <w:sz w:val="20"/>
          <w:sz-cs w:val="20"/>
          <w:spacing w:val="0"/>
        </w:rPr>
        <w:t xml:space="preserve"> 20/04/2026</w:t>
      </w:r>
    </w:p>
    <w:p>
      <w:pPr/>
      <w:r>
        <w:rPr>
          <w:rFonts w:ascii="Verdana" w:hAnsi="Verdana" w:cs="Verdana"/>
          <w:sz w:val="20"/>
          <w:sz-cs w:val="20"/>
          <w:b/>
          <w:spacing w:val="0"/>
          <w:color w:val="0000FF"/>
        </w:rPr>
        <w:t xml:space="preserve">Procedimiento:</w:t>
      </w:r>
      <w:r>
        <w:rPr>
          <w:rFonts w:ascii="Verdana" w:hAnsi="Verdana" w:cs="Verdana"/>
          <w:sz w:val="20"/>
          <w:sz-cs w:val="20"/>
          <w:spacing w:val="0"/>
        </w:rPr>
        <w:t xml:space="preserve"> Recurso de apelación</w:t>
      </w:r>
    </w:p>
    <w:p>
      <w:pPr/>
      <w:r>
        <w:rPr>
          <w:rFonts w:ascii="Verdana" w:hAnsi="Verdana" w:cs="Verdana"/>
          <w:sz w:val="20"/>
          <w:sz-cs w:val="20"/>
          <w:b/>
          <w:spacing w:val="0"/>
          <w:color w:val="0000FF"/>
        </w:rPr>
        <w:t xml:space="preserve">Ponente:</w:t>
      </w:r>
      <w:r>
        <w:rPr>
          <w:rFonts w:ascii="Verdana" w:hAnsi="Verdana" w:cs="Verdana"/>
          <w:sz w:val="20"/>
          <w:sz-cs w:val="20"/>
          <w:spacing w:val="0"/>
        </w:rPr>
        <w:t xml:space="preserve"> JOSE MARIA RIBELLES ARELLANO</w:t>
      </w:r>
    </w:p>
    <w:p>
      <w:pPr/>
      <w:r>
        <w:rPr>
          <w:rFonts w:ascii="Verdana" w:hAnsi="Verdana" w:cs="Verdana"/>
          <w:sz w:val="20"/>
          <w:sz-cs w:val="20"/>
          <w:b/>
          <w:spacing w:val="0"/>
          <w:color w:val="0000FF"/>
        </w:rPr>
        <w:t xml:space="preserve">Tipo de Resolución:</w:t>
      </w:r>
      <w:r>
        <w:rPr>
          <w:rFonts w:ascii="Verdana" w:hAnsi="Verdana" w:cs="Verdana"/>
          <w:sz w:val="20"/>
          <w:sz-cs w:val="20"/>
          <w:spacing w:val="0"/>
        </w:rPr>
        <w:t xml:space="preserve"> Sentencia</w:t>
      </w:r>
    </w:p>
    <w:p>
      <w:pPr/>
      <w:r>
        <w:rPr>
          <w:rFonts w:ascii="Verdana" w:hAnsi="Verdana" w:cs="Verdana"/>
          <w:sz w:val="20"/>
          <w:sz-cs w:val="20"/>
          <w:spacing w:val="0"/>
        </w:rPr>
        <w:t xml:space="preserve"/>
      </w:r>
    </w:p>
    <w:p>
      <w:pPr/>
      <w:r>
        <w:rPr>
          <w:rFonts w:ascii="Verdana" w:hAnsi="Verdana" w:cs="Verdana"/>
          <w:sz w:val="20"/>
          <w:sz-cs w:val="20"/>
          <w:u w:val="single" w:color="000000"/>
          <w:spacing w:val="0"/>
        </w:rPr>
        <w:t xml:space="preserve"/>
        <w:tab/>
        <w:t xml:space="preserve"/>
        <w:tab/>
        <w:t xml:space="preserve"/>
        <w:tab/>
        <w:t xml:space="preserve"/>
        <w:tab/>
        <w:t xml:space="preserve"/>
        <w:tab/>
        <w:t xml:space="preserve"/>
        <w:tab/>
        <w:t xml:space="preserve"/>
        <w:tab/>
        <w:t xml:space="preserve"/>
        <w:tab/>
        <w:t xml:space="preserve"/>
        <w:tab/>
        <w:t xml:space="preserve"/>
      </w:r>
      <w:r>
        <w:rPr>
          <w:rFonts w:ascii="Verdana" w:hAnsi="Verdana" w:cs="Verdana"/>
          <w:sz w:val="20"/>
          <w:sz-cs w:val="20"/>
          <w:spacing w:val="0"/>
        </w:rPr>
        <w:t xml:space="preserve"/>
      </w:r>
    </w:p>
    <w:p>
      <w:pPr/>
      <w:r>
        <w:rPr>
          <w:rFonts w:ascii="Verdana" w:hAnsi="Verdana" w:cs="Verdana"/>
          <w:sz w:val="20"/>
          <w:sz-cs w:val="20"/>
          <w:spacing w:val="0"/>
        </w:rPr>
        <w:t xml:space="preserve"/>
        <w:tab/>
        <w:t xml:space="preserve"/>
      </w:r>
    </w:p>
    <w:p>
      <w:pPr/>
      <w:r>
        <w:rPr>
          <w:rFonts w:ascii="Verdana" w:hAnsi="Verdana" w:cs="Verdana"/>
          <w:sz w:val="20"/>
          <w:sz-cs w:val="20"/>
          <w:spacing w:val="0"/>
        </w:rPr>
        <w:t xml:space="preserve"/>
      </w:r>
    </w:p>
    <w:p>
      <w:pPr/>
      <w:r>
        <w:rPr>
          <w:rFonts w:ascii="Verdana" w:hAnsi="Verdana" w:cs="Verdana"/>
          <w:sz w:val="20"/>
          <w:sz-cs w:val="20"/>
          <w:b/>
          <w:spacing w:val="0"/>
          <w:color w:val="0000FF"/>
        </w:rPr>
        <w:t xml:space="preserve">Encabezamiento</w:t>
      </w: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Sección nº 15 de la Audiencia Provincial de Barcelona. Civil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Calle Roger de Flor, 62-68, PLANTA 5 - Barcelona - C.P.: 08071</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TEL.: 938294451</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FAX: 938294458</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EMAIL:aps15.barcelona@xij.gencat.cat</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Entidad bancaria BANCO SANTANDER:</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Para ingresos en caja. Concepto: 0661000012014325</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Pagos por transferencia bancaria: IBAN ES55 0049 3569 9200 0500 1274.</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Beneficiario: Sección nº 15 de la Audiencia Provincial de Barcelona. Civil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Concepto: 0661000012014325</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N.I.G.: 0801947120238010791</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Recurso de apelación 143/2025 -3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Materia: Juicio Ordinario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Órgano de origen:Sección de lo Mercantil del TI de Barcelona. Plaza nº 2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Procedimiento de origen:Procedimiento ordinario 892/2023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Parte recurrente/Solicitante: ASOCIACION DE USUARIOS FINANCIEROS DE CATALUNYA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Procurador/a: Pedro Moratal Sendra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Abogado/a: Òscar Serrano Castells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Parte recurrida: HONDA MOTOR EUROPE LIMITED SUCURSAL EN ESPAÑA SL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Procurador/a: Ignacio Lopez Chocarro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Abogado/a: GEMMA AQUILLUE SIMON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w:t>
      </w:r>
      <w:r>
        <w:rPr>
          <w:rFonts w:ascii="Verdana" w:hAnsi="Verdana" w:cs="Verdana"/>
          <w:sz w:val="20"/>
          <w:sz-cs w:val="20"/>
          <w:b/>
          <w:u w:val="single" w:color="000000"/>
          <w:spacing w:val="0"/>
        </w:rPr>
        <w:t xml:space="preserve"> SENTENCIA núm. 426/2026 </w:t>
      </w:r>
      <w:r>
        <w:rPr>
          <w:rFonts w:ascii="Verdana" w:hAnsi="Verdana" w:cs="Verdana"/>
          <w:sz w:val="20"/>
          <w:sz-cs w:val="20"/>
          <w:b/>
          <w:spacing w:val="0"/>
        </w:rPr>
        <w:t xml:space="preserve">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Composición del tribunal: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LUIS RODRÍGUEZ VEGA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JOSÉ MARÍA RIBELLES ARELLANO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NURIA LEFORT RUIZ DE AGUIAR</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Barcelona, a 20/04/2026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Parte apelante: </w:t>
      </w:r>
      <w:r>
        <w:rPr>
          <w:rFonts w:ascii="Verdana" w:hAnsi="Verdana" w:cs="Verdana"/>
          <w:sz w:val="20"/>
          <w:sz-cs w:val="20"/>
          <w:spacing w:val="0"/>
        </w:rPr>
        <w:t xml:space="preserve"> Asociación Usuarios Financieros Catalunya (Asufin Cataluña).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Parte apelada: </w:t>
      </w:r>
      <w:r>
        <w:rPr>
          <w:rFonts w:ascii="Verdana" w:hAnsi="Verdana" w:cs="Verdana"/>
          <w:sz w:val="20"/>
          <w:sz-cs w:val="20"/>
          <w:spacing w:val="0"/>
        </w:rPr>
        <w:t xml:space="preserve"> HONDA MOTOR EUROPE LIMITED SUCURSAL EN ESPAÑA SL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Resolución recurrida: </w:t>
      </w:r>
      <w:r>
        <w:rPr>
          <w:rFonts w:ascii="Verdana" w:hAnsi="Verdana" w:cs="Verdana"/>
          <w:sz w:val="20"/>
          <w:sz-cs w:val="20"/>
          <w:spacing w:val="0"/>
        </w:rPr>
        <w:t xml:space="preserve"> Sentencia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 Fecha: 7 de noviembre de 2024.</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 Parte demandante: Asociación Usuarios Financieros Catalunya (Asufin Cataluña).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 Parte demandada: HONDA MOTOR EUROPE LIMITED SUCURSAL EN ESPAÑA SL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ANTECEDENTES DE HECHO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PRIMERO. </w:t>
      </w:r>
      <w:r>
        <w:rPr>
          <w:rFonts w:ascii="Verdana" w:hAnsi="Verdana" w:cs="Verdana"/>
          <w:sz w:val="20"/>
          <w:sz-cs w:val="20"/>
          <w:spacing w:val="0"/>
        </w:rPr>
        <w:t xml:space="preserve"> La parte dispositiva de la resolución apelada es del tenor literal siguiente: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i/>
          <w:spacing w:val="0"/>
        </w:rPr>
        <w:t xml:space="preserve"> "Que apreciando la excepción de falta de legitimación activa planteada por la representación de Honda Motor Europe Lmtd, Sucursal en España, acuerdo la desestimación de la demanda interpuesta por la Associació de Consumidor i Usuaris Viure en Salut, en el ejercicio de una acción individual de daños derivados de la normativa sobre</w:t>
      </w:r>
      <w:r>
        <w:rPr>
          <w:rFonts w:ascii="Verdana" w:hAnsi="Verdana" w:cs="Verdana"/>
          <w:sz w:val="20"/>
          <w:sz-cs w:val="20"/>
          <w:i/>
          <w:spacing w:val="0"/>
          <w:color w:val="FF0000"/>
        </w:rPr>
        <w:t xml:space="preserve"> defensa de la competencia</w:t>
      </w:r>
      <w:r>
        <w:rPr>
          <w:rFonts w:ascii="Verdana" w:hAnsi="Verdana" w:cs="Verdana"/>
          <w:sz w:val="20"/>
          <w:sz-cs w:val="20"/>
          <w:i/>
          <w:spacing w:val="0"/>
        </w:rPr>
        <w:t xml:space="preserve">, por falta de legitimación activa de la entidad demandante. Ordenando el archivo del procedimiento."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SEGUNDO. </w:t>
      </w:r>
      <w:r>
        <w:rPr>
          <w:rFonts w:ascii="Verdana" w:hAnsi="Verdana" w:cs="Verdana"/>
          <w:sz w:val="20"/>
          <w:sz-cs w:val="20"/>
          <w:spacing w:val="0"/>
        </w:rPr>
        <w:t xml:space="preserve"> Contra la anterior resolución interpuso recurso de apelación Asociación Usuarios Financieros Catalunya (Asufin Cataluña). Admitido a trámite se dio traslado a la contraparte para que lo contestara, tras lo cual se elevaron las actuaciones a esta Sección de la Audiencia Provincial, en la que señaló para el día 26 de marzo de 2026 votación y fallo.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Actúa como ponente el magistrado José María Ribelles Arellano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RAZONAMIENTOS JURÍDICOS</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PRIMERO. Términos en los que se plantea en esta instancia el conflicto que enfrenta a las partes.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La Asociación Usuarios Financieros Catalunya (Asufin, en lo sucesivo) interpuso demanda de juicio ordinario en la que reclamaba frente a la demandada HONDA MOTOR EUROPE LTD., SUCURSAL EN ESPAÑA (en adelante, HONDA) los daños y perjuicios que afirmaba que habían sufrido siete de sus asociados como consecuencia por la adquisición de vehículos de la marca HONDA. Afirmaba ejercitar las siguientes acciones: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 Acción de responsabilidad por infracciones derivadas de los </w:t>
      </w:r>
      <w:r>
        <w:rPr>
          <w:rFonts w:ascii="Verdana" w:hAnsi="Verdana" w:cs="Verdana"/>
          <w:sz w:val="20"/>
          <w:sz-cs w:val="20"/>
          <w:i/>
          <w:spacing w:val="0"/>
        </w:rPr>
        <w:t xml:space="preserve"> artículos 71 y siguientes de Ley 15/2007, de 3 de julio, de</w:t>
      </w:r>
      <w:r>
        <w:rPr>
          <w:rFonts w:ascii="Verdana" w:hAnsi="Verdana" w:cs="Verdana"/>
          <w:sz w:val="20"/>
          <w:sz-cs w:val="20"/>
          <w:i/>
          <w:spacing w:val="0"/>
          <w:color w:val="FF0000"/>
        </w:rPr>
        <w:t xml:space="preserve"> Defensa de la Competencia</w:t>
      </w:r>
      <w:r>
        <w:rPr>
          <w:rFonts w:ascii="Verdana" w:hAnsi="Verdana" w:cs="Verdana"/>
          <w:sz w:val="20"/>
          <w:sz-cs w:val="20"/>
          <w:i/>
          <w:spacing w:val="0"/>
        </w:rPr>
        <w:t xml:space="preserve"> </w:t>
      </w:r>
      <w:r>
        <w:rPr>
          <w:rFonts w:ascii="Verdana" w:hAnsi="Verdana" w:cs="Verdana"/>
          <w:sz w:val="20"/>
          <w:sz-cs w:val="20"/>
          <w:spacing w:val="0"/>
        </w:rPr>
        <w:t xml:space="preserve"> (en adelante "LDC") o en su caso.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b) Acción de responsabilidad derivada del </w:t>
      </w:r>
      <w:r>
        <w:rPr>
          <w:rFonts w:ascii="Verdana" w:hAnsi="Verdana" w:cs="Verdana"/>
          <w:sz w:val="20"/>
          <w:sz-cs w:val="20"/>
          <w:i/>
          <w:spacing w:val="0"/>
        </w:rPr>
        <w:t xml:space="preserve"> artículo 1902 Código Civil </w:t>
      </w:r>
      <w:r>
        <w:rPr>
          <w:rFonts w:ascii="Verdana" w:hAnsi="Verdana" w:cs="Verdana"/>
          <w:sz w:val="20"/>
          <w:sz-cs w:val="20"/>
          <w:spacing w:val="0"/>
        </w:rPr>
        <w:t xml:space="preserve"> como consecuencia de la infracción del </w:t>
      </w:r>
      <w:r>
        <w:rPr>
          <w:rFonts w:ascii="Verdana" w:hAnsi="Verdana" w:cs="Verdana"/>
          <w:sz w:val="20"/>
          <w:sz-cs w:val="20"/>
          <w:i/>
          <w:spacing w:val="0"/>
        </w:rPr>
        <w:t xml:space="preserve"> Tratado de Funcionamiento de la Unión Europea </w:t>
      </w:r>
      <w:r>
        <w:rPr>
          <w:rFonts w:ascii="Verdana" w:hAnsi="Verdana" w:cs="Verdana"/>
          <w:sz w:val="20"/>
          <w:sz-cs w:val="20"/>
          <w:spacing w:val="0"/>
        </w:rPr>
        <w:t xml:space="preserve"> y de la </w:t>
      </w:r>
      <w:r>
        <w:rPr>
          <w:rFonts w:ascii="Verdana" w:hAnsi="Verdana" w:cs="Verdana"/>
          <w:sz w:val="20"/>
          <w:sz-cs w:val="20"/>
          <w:i/>
          <w:spacing w:val="0"/>
        </w:rPr>
        <w:t xml:space="preserve"> Directiva 2014/104/UE del Parlamento Europeo y del Consejo, de 26 de noviembre de 2014 </w:t>
      </w:r>
      <w:r>
        <w:rPr>
          <w:rFonts w:ascii="Verdana" w:hAnsi="Verdana" w:cs="Verdana"/>
          <w:sz w:val="20"/>
          <w:sz-cs w:val="20"/>
          <w:spacing w:val="0"/>
        </w:rPr>
        <w:t xml:space="preserve">, relativa a determinadas normas por las que se rigen las acciones por daños en virtud del Derecho nacional, por infracciones del Derecho de la competencia de los Estados miembros y de la Unión Europea.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 Subsidiariamente a las dos anteriores, acción de responsabilidad derivada del </w:t>
      </w:r>
      <w:r>
        <w:rPr>
          <w:rFonts w:ascii="Verdana" w:hAnsi="Verdana" w:cs="Verdana"/>
          <w:sz w:val="20"/>
          <w:sz-cs w:val="20"/>
          <w:i/>
          <w:spacing w:val="0"/>
        </w:rPr>
        <w:t xml:space="preserve"> artículo 1902 Código Civil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Contestada la demanda, el Juzgado convocó a las partes al acto de la audiencia previa, en la que, tras fijarse los hechos controvertidos, las partes propusieron prueba, señalándose a continuación fecha para la celebración del juicio. En la vista oral se acordó dar traslado a las partes para que efectuaran alegaciones sobre la falta de legitimación activa de la entidad demandante, suspendiéndose el juicio sin practicar la prueba admitida y sin formular conclusiones.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El juzgado mercantil dictó a continuación sentencia ordenando el sobreseimiento del proceso con fundamento en la falta de legitimación activa de la actora. Argumenta que, aunque el </w:t>
      </w:r>
      <w:r>
        <w:rPr>
          <w:rFonts w:ascii="Verdana" w:hAnsi="Verdana" w:cs="Verdana"/>
          <w:sz w:val="20"/>
          <w:sz-cs w:val="20"/>
          <w:i/>
          <w:spacing w:val="0"/>
        </w:rPr>
        <w:t xml:space="preserve"> art. 11.1 LEC </w:t>
      </w:r>
      <w:r>
        <w:rPr>
          <w:rFonts w:ascii="Verdana" w:hAnsi="Verdana" w:cs="Verdana"/>
          <w:sz w:val="20"/>
          <w:sz-cs w:val="20"/>
          <w:spacing w:val="0"/>
        </w:rPr>
        <w:t xml:space="preserve"> concede legitimación a las asociaciones de consumidores para actuar en defensa de los intereses de sus asociados, esa legitimación está limitada a los casos en los que se ejerciten acciones de tutela de los derechos de los consumidores, lo que no ocurre en el supuesto enjuiciado, por cuanto la acción ejercitada tiene su fundamento en la normativa sobre</w:t>
      </w:r>
      <w:r>
        <w:rPr>
          <w:rFonts w:ascii="Verdana" w:hAnsi="Verdana" w:cs="Verdana"/>
          <w:sz w:val="20"/>
          <w:sz-cs w:val="20"/>
          <w:spacing w:val="0"/>
          <w:color w:val="FF0000"/>
        </w:rPr>
        <w:t xml:space="preserve"> defensa de la competencia</w:t>
      </w:r>
      <w:r>
        <w:rPr>
          <w:rFonts w:ascii="Verdana" w:hAnsi="Verdana" w:cs="Verdana"/>
          <w:sz w:val="20"/>
          <w:sz-cs w:val="20"/>
          <w:spacing w:val="0"/>
        </w:rPr>
        <w:t xml:space="preserve"> (nacional y europea).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El recurso de Asufín imputa a la resolución recurrida haber hecho una interpretación extraordinariamente restrictiva de lo dispuesto en el </w:t>
      </w:r>
      <w:r>
        <w:rPr>
          <w:rFonts w:ascii="Verdana" w:hAnsi="Verdana" w:cs="Verdana"/>
          <w:sz w:val="20"/>
          <w:sz-cs w:val="20"/>
          <w:i/>
          <w:spacing w:val="0"/>
        </w:rPr>
        <w:t xml:space="preserve"> art 11 LEC </w:t>
      </w:r>
      <w:r>
        <w:rPr>
          <w:rFonts w:ascii="Verdana" w:hAnsi="Verdana" w:cs="Verdana"/>
          <w:sz w:val="20"/>
          <w:sz-cs w:val="20"/>
          <w:spacing w:val="0"/>
        </w:rPr>
        <w:t xml:space="preserve"> y en el </w:t>
      </w:r>
      <w:r>
        <w:rPr>
          <w:rFonts w:ascii="Verdana" w:hAnsi="Verdana" w:cs="Verdana"/>
          <w:sz w:val="20"/>
          <w:sz-cs w:val="20"/>
          <w:i/>
          <w:spacing w:val="0"/>
        </w:rPr>
        <w:t xml:space="preserve"> art 7.3 LOPJ </w:t>
      </w:r>
      <w:r>
        <w:rPr>
          <w:rFonts w:ascii="Verdana" w:hAnsi="Verdana" w:cs="Verdana"/>
          <w:sz w:val="20"/>
          <w:sz-cs w:val="20"/>
          <w:spacing w:val="0"/>
        </w:rPr>
        <w:t xml:space="preserve">. Afirma que la acción ejercitada trae causa de un acto de consumo, como es la adquisición de un vehículo. También alega que la resolución recurrida infringe lo dispuesto en el </w:t>
      </w:r>
      <w:r>
        <w:rPr>
          <w:rFonts w:ascii="Verdana" w:hAnsi="Verdana" w:cs="Verdana"/>
          <w:sz w:val="20"/>
          <w:sz-cs w:val="20"/>
          <w:i/>
          <w:spacing w:val="0"/>
        </w:rPr>
        <w:t xml:space="preserve"> art. 24 CE </w:t>
      </w:r>
      <w:r>
        <w:rPr>
          <w:rFonts w:ascii="Verdana" w:hAnsi="Verdana" w:cs="Verdana"/>
          <w:sz w:val="20"/>
          <w:sz-cs w:val="20"/>
          <w:spacing w:val="0"/>
        </w:rPr>
        <w:t xml:space="preserve"> al negarle la legitimación para representar a un asociado.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demandada se opone al recurso y solicita que se confirme la sentencia apelada.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SEGUNDO. Sobre la regulación legal de la legitimación de las asociaciones de consumidores y usuarios para la defensa de los intereses de sus asociados.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5. </w:t>
      </w:r>
      <w:r>
        <w:rPr>
          <w:rFonts w:ascii="Verdana" w:hAnsi="Verdana" w:cs="Verdana"/>
          <w:sz w:val="20"/>
          <w:sz-cs w:val="20"/>
          <w:spacing w:val="0"/>
        </w:rPr>
        <w:t xml:space="preserve"> Sobre la cuestión objeto de controversia nos hemos pronunciado por auto de 25 de julio de 2025 (Rollo 633/2024), cuyos argumentos reproducimos a continuación. El punto de partida de nuestra exposición ha de situarse en el examen de las normas legales que reconocen la legitimación a las asociaciones de consumidores y usuarios para la tutela de los derechos de sus asociados. La primera norma que reconoce esa legitimación no se encuentra ni en la legislación sobre consumidores ni tampoco en la LEC, sino que la encontramos en la </w:t>
      </w:r>
      <w:r>
        <w:rPr>
          <w:rFonts w:ascii="Verdana" w:hAnsi="Verdana" w:cs="Verdana"/>
          <w:sz w:val="20"/>
          <w:sz-cs w:val="20"/>
          <w:i/>
          <w:spacing w:val="0"/>
        </w:rPr>
        <w:t xml:space="preserve"> Ley Orgánica del Poder Judicial y es el art. 7.3 </w:t>
      </w:r>
      <w:r>
        <w:rPr>
          <w:rFonts w:ascii="Verdana" w:hAnsi="Verdana" w:cs="Verdana"/>
          <w:sz w:val="20"/>
          <w:sz-cs w:val="20"/>
          <w:spacing w:val="0"/>
        </w:rPr>
        <w:t xml:space="preserve"> que en su redacción actual dice sustancialmente lo mismo que en la redacción originaria: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i/>
          <w:spacing w:val="0"/>
        </w:rPr>
        <w:t xml:space="preserve"> «3. Los jueces y las juezas protegerán los derechos e intereses legítimos, tanto individuales como colectivos, sin que en ningún caso pueda producirse indefensión. Para la defensa de estos últimos se reconocerá la legitimación de las corporaciones, asociaciones, organizaciones sindicales y grupos que resulten afectados o que estén legalmente habilitados para su defensa y promoción».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6. </w:t>
      </w:r>
      <w:r>
        <w:rPr>
          <w:rFonts w:ascii="Verdana" w:hAnsi="Verdana" w:cs="Verdana"/>
          <w:sz w:val="20"/>
          <w:sz-cs w:val="20"/>
          <w:spacing w:val="0"/>
        </w:rPr>
        <w:t xml:space="preserve"> De la literalidad del </w:t>
      </w:r>
      <w:r>
        <w:rPr>
          <w:rFonts w:ascii="Verdana" w:hAnsi="Verdana" w:cs="Verdana"/>
          <w:sz w:val="20"/>
          <w:sz-cs w:val="20"/>
          <w:i/>
          <w:spacing w:val="0"/>
        </w:rPr>
        <w:t xml:space="preserve"> art. 7.3 LOPJ </w:t>
      </w:r>
      <w:r>
        <w:rPr>
          <w:rFonts w:ascii="Verdana" w:hAnsi="Verdana" w:cs="Verdana"/>
          <w:sz w:val="20"/>
          <w:sz-cs w:val="20"/>
          <w:spacing w:val="0"/>
        </w:rPr>
        <w:t xml:space="preserve"> no se deriva que la legitimación que se reconoce a las asociaciones de consumidores tenga ninguna restricción por razón del objeto al que se refieran esos intereses.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7. Tampoco creemos que de la literalidad del </w:t>
      </w:r>
      <w:r>
        <w:rPr>
          <w:rFonts w:ascii="Verdana" w:hAnsi="Verdana" w:cs="Verdana"/>
          <w:sz w:val="20"/>
          <w:sz-cs w:val="20"/>
          <w:i/>
          <w:spacing w:val="0"/>
        </w:rPr>
        <w:t xml:space="preserve"> art. 11.1 LEC </w:t>
      </w:r>
      <w:r>
        <w:rPr>
          <w:rFonts w:ascii="Verdana" w:hAnsi="Verdana" w:cs="Verdana"/>
          <w:sz w:val="20"/>
          <w:sz-cs w:val="20"/>
          <w:spacing w:val="0"/>
        </w:rPr>
        <w:t xml:space="preserve"> se pueda deducir, al menos con claridad, esa restricción por razón del objeto, si bien en este caso es cierto, porque así se deriva del propio título del precepto, que se están regulando los derechos e intereses "de consumidores y usuarios". Ahora bien, que el objeto de la protección esté constituido por los derechos e intereses legítimos de los consumidores y usuarios no significa que esa protección se haya de proyectar exclusivamente sobre acciones cuyo fundamento se encuentre en la legislación sobre consumidores y usuarios. Ello es así, entre otras razones, por la enorme dificultad que entraña determinar qué legislación concreta se integraría en esa categoría y cuál no. La legislación sobre derecho de consumo es sustancialmente transversal, de forma que, a título de mero ejemplo, las normas contenidas en el Texto Refundido de la Ley General sobre la Protección de los Derechos de Consumidores y Usuarios no hacen otra cosa que regular marcos normativos cuyo ámbito de aplicación trasciende con mucho a esa misma Ley.</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8. </w:t>
      </w:r>
      <w:r>
        <w:rPr>
          <w:rFonts w:ascii="Verdana" w:hAnsi="Verdana" w:cs="Verdana"/>
          <w:sz w:val="20"/>
          <w:sz-cs w:val="20"/>
          <w:spacing w:val="0"/>
        </w:rPr>
        <w:t xml:space="preserve"> En el desarrollo de las acciones colectivas que se ha producido en nuestro derecho se evidencia lo que acabamos de decir. Así, esa regulación no solo se encuentra en la legislación de consumo propiamente tal (TRLFCU) sino que también se encuentra en la Ley de Condiciones Generales de la Contratación de 1998 (LCGC) y también se ha encontrado en multitud de otras leyes sectoriales, tales como: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 En la Ley 26/1991, de 21 de noviembre, de contratos celebrados fuera de los establecimientos mercantiles.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b) En la Ley 21/1995, de 6 de julio, reguladora de los Viajes Combinados.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 En la </w:t>
      </w:r>
      <w:r>
        <w:rPr>
          <w:rFonts w:ascii="Verdana" w:hAnsi="Verdana" w:cs="Verdana"/>
          <w:sz w:val="20"/>
          <w:sz-cs w:val="20"/>
          <w:i/>
          <w:spacing w:val="0"/>
        </w:rPr>
        <w:t xml:space="preserve"> Ley 42/1998, de 15 de diciembre, sobre derechos de aprovechamiento por turno de bienes inmuebles de uso turístico y normas tributarias, en cuyo art. 16 </w:t>
      </w:r>
      <w:r>
        <w:rPr>
          <w:rFonts w:ascii="Verdana" w:hAnsi="Verdana" w:cs="Verdana"/>
          <w:sz w:val="20"/>
          <w:sz-cs w:val="20"/>
          <w:spacing w:val="0"/>
        </w:rPr>
        <w:t xml:space="preserve"> -bis se regula la acción de cesación.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En la </w:t>
      </w:r>
      <w:r>
        <w:rPr>
          <w:rFonts w:ascii="Verdana" w:hAnsi="Verdana" w:cs="Verdana"/>
          <w:sz w:val="20"/>
          <w:sz-cs w:val="20"/>
          <w:i/>
          <w:spacing w:val="0"/>
        </w:rPr>
        <w:t xml:space="preserve"> Ley 25/1990, de 20 de diciembre, del Medicamento, en cuyos artículos 120 </w:t>
      </w:r>
      <w:r>
        <w:rPr>
          <w:rFonts w:ascii="Verdana" w:hAnsi="Verdana" w:cs="Verdana"/>
          <w:sz w:val="20"/>
          <w:sz-cs w:val="20"/>
          <w:spacing w:val="0"/>
        </w:rPr>
        <w:t xml:space="preserve"> y </w:t>
      </w:r>
      <w:r>
        <w:rPr>
          <w:rFonts w:ascii="Verdana" w:hAnsi="Verdana" w:cs="Verdana"/>
          <w:sz w:val="20"/>
          <w:sz-cs w:val="20"/>
          <w:i/>
          <w:spacing w:val="0"/>
        </w:rPr>
        <w:t xml:space="preserve"> 121 </w:t>
      </w:r>
      <w:r>
        <w:rPr>
          <w:rFonts w:ascii="Verdana" w:hAnsi="Verdana" w:cs="Verdana"/>
          <w:sz w:val="20"/>
          <w:sz-cs w:val="20"/>
          <w:spacing w:val="0"/>
        </w:rPr>
        <w:t xml:space="preserve"> se regula la acción de cesación.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 En la Ley 25/1994, de 12 de julio, por la que se incorpora al ordenamiento español la </w:t>
      </w:r>
      <w:r>
        <w:rPr>
          <w:rFonts w:ascii="Verdana" w:hAnsi="Verdana" w:cs="Verdana"/>
          <w:sz w:val="20"/>
          <w:sz-cs w:val="20"/>
          <w:i/>
          <w:spacing w:val="0"/>
        </w:rPr>
        <w:t xml:space="preserve"> Directiva 89/552 CEE, sobre coordinación de disposiciones legales, reglamentarias y administrativas de los Estados miembros relativas al ejercicio de actividades de radiodifusión televisiva, en cuyos arts. 21 </w:t>
      </w:r>
      <w:r>
        <w:rPr>
          <w:rFonts w:ascii="Verdana" w:hAnsi="Verdana" w:cs="Verdana"/>
          <w:sz w:val="20"/>
          <w:sz-cs w:val="20"/>
          <w:spacing w:val="0"/>
        </w:rPr>
        <w:t xml:space="preserve"> y </w:t>
      </w:r>
      <w:r>
        <w:rPr>
          <w:rFonts w:ascii="Verdana" w:hAnsi="Verdana" w:cs="Verdana"/>
          <w:sz w:val="20"/>
          <w:sz-cs w:val="20"/>
          <w:i/>
          <w:spacing w:val="0"/>
        </w:rPr>
        <w:t xml:space="preserve"> 22 </w:t>
      </w:r>
      <w:r>
        <w:rPr>
          <w:rFonts w:ascii="Verdana" w:hAnsi="Verdana" w:cs="Verdana"/>
          <w:sz w:val="20"/>
          <w:sz-cs w:val="20"/>
          <w:spacing w:val="0"/>
        </w:rPr>
        <w:t xml:space="preserve"> se regula la acción de cesación.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 En la Ley 34/1988, de 11 de noviembre, General de Publicidad, más tarde en la Ley de Competencia Desleal.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g) En la </w:t>
      </w:r>
      <w:r>
        <w:rPr>
          <w:rFonts w:ascii="Verdana" w:hAnsi="Verdana" w:cs="Verdana"/>
          <w:sz w:val="20"/>
          <w:sz-cs w:val="20"/>
          <w:i/>
          <w:spacing w:val="0"/>
        </w:rPr>
        <w:t xml:space="preserve"> Ley 7/1995, de 23 de marzo, de crédito al consumo, en cuyo art. 20 </w:t>
      </w:r>
      <w:r>
        <w:rPr>
          <w:rFonts w:ascii="Verdana" w:hAnsi="Verdana" w:cs="Verdana"/>
          <w:sz w:val="20"/>
          <w:sz-cs w:val="20"/>
          <w:spacing w:val="0"/>
        </w:rPr>
        <w:t xml:space="preserve"> se introduce la acción de cesación.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h) En la Ley 34/2002, de 11 de julio, de Servicios de la Sociedad de la Información y del Comercio Electrónico así como en la Ley 23/2003, de 10 de julio, de Garantías en la Venta de Bienes de Consumo.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todos esos casos se atribuye legitimación a las asociaciones de consumidores y usuarios, a pesar de que resulte muy discutible que podamos calificar esas leyes como de consumidores, en el sentido que ha utilizado ese concepto la resolución recurrida.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9. </w:t>
      </w:r>
      <w:r>
        <w:rPr>
          <w:rFonts w:ascii="Verdana" w:hAnsi="Verdana" w:cs="Verdana"/>
          <w:sz w:val="20"/>
          <w:sz-cs w:val="20"/>
          <w:spacing w:val="0"/>
        </w:rPr>
        <w:t xml:space="preserve"> De todos esos textos normativos, que son meramente ejemplificativos de la idea que queremos trasladar, destacamos el </w:t>
      </w:r>
      <w:r>
        <w:rPr>
          <w:rFonts w:ascii="Verdana" w:hAnsi="Verdana" w:cs="Verdana"/>
          <w:sz w:val="20"/>
          <w:sz-cs w:val="20"/>
          <w:i/>
          <w:spacing w:val="0"/>
        </w:rPr>
        <w:t xml:space="preserve"> art. 33.3 b/ de la Ley de Competencia Desleal </w:t>
      </w:r>
      <w:r>
        <w:rPr>
          <w:rFonts w:ascii="Verdana" w:hAnsi="Verdana" w:cs="Verdana"/>
          <w:sz w:val="20"/>
          <w:sz-cs w:val="20"/>
          <w:spacing w:val="0"/>
        </w:rPr>
        <w:t xml:space="preserve"> que atribuye legitimación a las asociaciones de consumidores y usuarios que reúnan los requisitos establecidos en el texto refundido de la Ley General para la Defensa de los Consumidores y Usuarios o, en su caso, en la legislación autonómica en materia de defensa de los consumidores y usuarios para el ejercicio de las acciones previstas en el </w:t>
      </w:r>
      <w:r>
        <w:rPr>
          <w:rFonts w:ascii="Verdana" w:hAnsi="Verdana" w:cs="Verdana"/>
          <w:sz w:val="20"/>
          <w:sz-cs w:val="20"/>
          <w:i/>
          <w:spacing w:val="0"/>
        </w:rPr>
        <w:t xml:space="preserve"> artículo 32.1, 1 </w:t>
      </w:r>
      <w:r>
        <w:rPr>
          <w:rFonts w:ascii="Verdana" w:hAnsi="Verdana" w:cs="Verdana"/>
          <w:sz w:val="20"/>
          <w:sz-cs w:val="20"/>
          <w:spacing w:val="0"/>
        </w:rPr>
        <w:t xml:space="preserve">.ª a </w:t>
      </w:r>
      <w:r>
        <w:rPr>
          <w:rFonts w:ascii="Verdana" w:hAnsi="Verdana" w:cs="Verdana"/>
          <w:sz w:val="20"/>
          <w:sz-cs w:val="20"/>
          <w:i/>
          <w:spacing w:val="0"/>
        </w:rPr>
        <w:t xml:space="preserve"> 4.ª de la propia LCD </w:t>
      </w:r>
      <w:r>
        <w:rPr>
          <w:rFonts w:ascii="Verdana" w:hAnsi="Verdana" w:cs="Verdana"/>
          <w:sz w:val="20"/>
          <w:sz-cs w:val="20"/>
          <w:spacing w:val="0"/>
        </w:rPr>
        <w:t xml:space="preserve">. No nos cabe ninguna duda que las acciones a las que se refiere esa norma no tienen fundamento en una norma sobre consumidores (utilizando este concepto en el sentido restrictivo que lo ha hecho la resolución recurrida) y tampoco nos cabe duda alguna que con ella el legislador está queriendo tutelar los derechos e intereses de los consumidores y usuarios, aunque no exclusivamente los de éstos.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10. </w:t>
      </w:r>
      <w:r>
        <w:rPr>
          <w:rFonts w:ascii="Verdana" w:hAnsi="Verdana" w:cs="Verdana"/>
          <w:sz w:val="20"/>
          <w:sz-cs w:val="20"/>
          <w:spacing w:val="0"/>
        </w:rPr>
        <w:t xml:space="preserve"> En conclusión, no podemos compartir el argumento fundamental en el que se ha fundado la resolución recurrida para negar la legitimación de la asociación de consumidores para el ejercicio de una acción en materia de infracción de normas sobre</w:t>
      </w:r>
      <w:r>
        <w:rPr>
          <w:rFonts w:ascii="Verdana" w:hAnsi="Verdana" w:cs="Verdana"/>
          <w:sz w:val="20"/>
          <w:sz-cs w:val="20"/>
          <w:spacing w:val="0"/>
          <w:color w:val="FF0000"/>
        </w:rPr>
        <w:t xml:space="preserve"> defensa de la competencia</w:t>
      </w:r>
      <w:r>
        <w:rPr>
          <w:rFonts w:ascii="Verdana" w:hAnsi="Verdana" w:cs="Verdana"/>
          <w:sz w:val="20"/>
          <w:sz-cs w:val="20"/>
          <w:spacing w:val="0"/>
        </w:rPr>
        <w:t xml:space="preserve">. Lo relevante, en nuestra opinión, no es ese juicio apriorístico que ha hecho la resolución recurrida y reduccionista del ámbito de protección y aplicación de la norma. En nuestra opinión, la interpretación del </w:t>
      </w:r>
      <w:r>
        <w:rPr>
          <w:rFonts w:ascii="Verdana" w:hAnsi="Verdana" w:cs="Verdana"/>
          <w:sz w:val="20"/>
          <w:sz-cs w:val="20"/>
          <w:i/>
          <w:spacing w:val="0"/>
        </w:rPr>
        <w:t xml:space="preserve"> art. 11.1 LEC </w:t>
      </w:r>
      <w:r>
        <w:rPr>
          <w:rFonts w:ascii="Verdana" w:hAnsi="Verdana" w:cs="Verdana"/>
          <w:sz w:val="20"/>
          <w:sz-cs w:val="20"/>
          <w:spacing w:val="0"/>
        </w:rPr>
        <w:t xml:space="preserve"> y </w:t>
      </w:r>
      <w:r>
        <w:rPr>
          <w:rFonts w:ascii="Verdana" w:hAnsi="Verdana" w:cs="Verdana"/>
          <w:sz w:val="20"/>
          <w:sz-cs w:val="20"/>
          <w:i/>
          <w:spacing w:val="0"/>
        </w:rPr>
        <w:t xml:space="preserve"> 7.3 LOPJ </w:t>
      </w:r>
      <w:r>
        <w:rPr>
          <w:rFonts w:ascii="Verdana" w:hAnsi="Verdana" w:cs="Verdana"/>
          <w:sz w:val="20"/>
          <w:sz-cs w:val="20"/>
          <w:spacing w:val="0"/>
        </w:rPr>
        <w:t xml:space="preserve"> extiende la legitimación de las asociaciones de consumidores y usuarios a todas aquellas acciones por daños sufridos por un consumidor, cualquiera que sea el fundamento concreto de la acción ejercitada.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TERCERO. Sobre la interpretación jurisprudencial.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11. </w:t>
      </w:r>
      <w:r>
        <w:rPr>
          <w:rFonts w:ascii="Verdana" w:hAnsi="Verdana" w:cs="Verdana"/>
          <w:sz w:val="20"/>
          <w:sz-cs w:val="20"/>
          <w:spacing w:val="0"/>
        </w:rPr>
        <w:t xml:space="preserve"> Estima la resolución recurrida que la interpretación que la jurisprudencia ha hecho acerca de los preceptos que regulan la legitimación de las asociaciones de consumidores y usuarios permiten sostener la idea de la falta de legitimación en un caso como el enjuiciado, en el que la acción ejercitada no tiene fundamento en la legislación sobre consumidores y usuarios sino en la de</w:t>
      </w:r>
      <w:r>
        <w:rPr>
          <w:rFonts w:ascii="Verdana" w:hAnsi="Verdana" w:cs="Verdana"/>
          <w:sz w:val="20"/>
          <w:sz-cs w:val="20"/>
          <w:spacing w:val="0"/>
          <w:color w:val="FF0000"/>
        </w:rPr>
        <w:t xml:space="preserve"> defensa de la competencia</w:t>
      </w:r>
      <w:r>
        <w:rPr>
          <w:rFonts w:ascii="Verdana" w:hAnsi="Verdana" w:cs="Verdana"/>
          <w:sz w:val="20"/>
          <w:sz-cs w:val="20"/>
          <w:spacing w:val="0"/>
        </w:rPr>
        <w:t xml:space="preserve">. En ese sentido cita la </w:t>
      </w:r>
      <w:r>
        <w:rPr>
          <w:rFonts w:ascii="Verdana" w:hAnsi="Verdana" w:cs="Verdana"/>
          <w:sz w:val="20"/>
          <w:sz-cs w:val="20"/>
          <w:i/>
          <w:spacing w:val="0"/>
        </w:rPr>
        <w:t xml:space="preserve"> STS núm. 691/21, de 11 de octubre de 2021 </w:t>
      </w:r>
      <w:r>
        <w:rPr>
          <w:rFonts w:ascii="Verdana" w:hAnsi="Verdana" w:cs="Verdana"/>
          <w:sz w:val="20"/>
          <w:sz-cs w:val="20"/>
          <w:spacing w:val="0"/>
        </w:rPr>
        <w:t xml:space="preserve"> (ECLI:ES:TS:2021:3670) como justificadora de la tesis que acoge el juzgado mercantil, cuando en nuestra opinión lo que justifica esa resolución es justamente lo contrario. Así lo deducimos de la interpretación general con la que se encabeza la argumentación, que viene a resumir la posición del TS, ya expresada en una resolución anterior ( </w:t>
      </w:r>
      <w:r>
        <w:rPr>
          <w:rFonts w:ascii="Verdana" w:hAnsi="Verdana" w:cs="Verdana"/>
          <w:sz w:val="20"/>
          <w:sz-cs w:val="20"/>
          <w:i/>
          <w:spacing w:val="0"/>
        </w:rPr>
        <w:t xml:space="preserve"> STS 656/2018 </w:t>
      </w:r>
      <w:r>
        <w:rPr>
          <w:rFonts w:ascii="Verdana" w:hAnsi="Verdana" w:cs="Verdana"/>
          <w:sz w:val="20"/>
          <w:sz-cs w:val="20"/>
          <w:spacing w:val="0"/>
        </w:rPr>
        <w:t xml:space="preserve">, con cita de la </w:t>
      </w:r>
      <w:r>
        <w:rPr>
          <w:rFonts w:ascii="Verdana" w:hAnsi="Verdana" w:cs="Verdana"/>
          <w:sz w:val="20"/>
          <w:sz-cs w:val="20"/>
          <w:i/>
          <w:spacing w:val="0"/>
        </w:rPr>
        <w:t xml:space="preserve"> STC 217/2007, de 8 de octubre </w:t>
      </w:r>
      <w:r>
        <w:rPr>
          <w:rFonts w:ascii="Verdana" w:hAnsi="Verdana" w:cs="Verdana"/>
          <w:sz w:val="20"/>
          <w:sz-cs w:val="20"/>
          <w:spacing w:val="0"/>
        </w:rPr>
        <w:t xml:space="preserve"> ). Dice el TS: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i/>
          <w:spacing w:val="0"/>
        </w:rPr>
        <w:t xml:space="preserve"> «... la legitimación especial que el </w:t>
      </w:r>
      <w:r>
        <w:rPr>
          <w:rFonts w:ascii="Verdana" w:hAnsi="Verdana" w:cs="Verdana"/>
          <w:sz w:val="20"/>
          <w:sz-cs w:val="20"/>
          <w:spacing w:val="0"/>
        </w:rPr>
        <w:t xml:space="preserve">  </w:t>
      </w:r>
      <w:r>
        <w:rPr>
          <w:rFonts w:ascii="Verdana" w:hAnsi="Verdana" w:cs="Verdana"/>
          <w:sz w:val="20"/>
          <w:sz-cs w:val="20"/>
          <w:i/>
          <w:spacing w:val="0"/>
        </w:rPr>
        <w:t xml:space="preserve">   art. 11.1 LEC </w:t>
      </w:r>
      <w:r>
        <w:rPr>
          <w:rFonts w:ascii="Verdana" w:hAnsi="Verdana" w:cs="Verdana"/>
          <w:sz w:val="20"/>
          <w:sz-cs w:val="20"/>
          <w:spacing w:val="0"/>
        </w:rPr>
        <w:t xml:space="preserve">    </w:t>
      </w:r>
      <w:r>
        <w:rPr>
          <w:rFonts w:ascii="Verdana" w:hAnsi="Verdana" w:cs="Verdana"/>
          <w:sz w:val="20"/>
          <w:sz-cs w:val="20"/>
          <w:i/>
          <w:spacing w:val="0"/>
        </w:rPr>
        <w:t xml:space="preserve"> reconoce a las asociaciones de consumidores para defender en juicio los derechos e intereses de sus asociados tiene sentido siempre que "guarden relación directa con bienes o servicios de uso o consumo común ordinario y generalizado". Sin perjuicio de que al realizar esta valoración se tienda a </w:t>
      </w:r>
      <w:r>
        <w:rPr>
          <w:rFonts w:ascii="Verdana" w:hAnsi="Verdana" w:cs="Verdana"/>
          <w:sz w:val="20"/>
          <w:sz-cs w:val="20"/>
          <w:i/>
          <w:u w:val="single" w:color="000000"/>
          <w:spacing w:val="0"/>
        </w:rPr>
        <w:t xml:space="preserve"> una interpretación amplia y no restrictiva, </w:t>
      </w:r>
      <w:r>
        <w:rPr>
          <w:rFonts w:ascii="Verdana" w:hAnsi="Verdana" w:cs="Verdana"/>
          <w:sz w:val="20"/>
          <w:sz-cs w:val="20"/>
          <w:i/>
          <w:spacing w:val="0"/>
        </w:rPr>
        <w:t xml:space="preserve"> que trate de garantizar la protección efectiva de los consumidores y usuarios».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12. </w:t>
      </w:r>
      <w:r>
        <w:rPr>
          <w:rFonts w:ascii="Verdana" w:hAnsi="Verdana" w:cs="Verdana"/>
          <w:sz w:val="20"/>
          <w:sz-cs w:val="20"/>
          <w:spacing w:val="0"/>
        </w:rPr>
        <w:t xml:space="preserve"> Y si analizamos la aplicación práctica que se hace en esa sentencia por parte del TS podemos apreciar que: (i) no acude a planteamientos de principio, esto es, a ver si la acción ejercitada tiene su fundamento en una norma de consumo, sino (ii) al examen concreto de los derechos que se afirman conculcado en la demanda por parte de la asociación de consumidores. Así, no descarta el TS que la invocación de una infracción sobre normativa bancaria pueda justificar la legitimación de la asociación de consumidores (considera los servicios bancarios y financieros dentro del catálogo de "productos y servicios de uso o consumo común, ordinario y generalizado" a efectos del </w:t>
      </w:r>
      <w:r>
        <w:rPr>
          <w:rFonts w:ascii="Verdana" w:hAnsi="Verdana" w:cs="Verdana"/>
          <w:sz w:val="20"/>
          <w:sz-cs w:val="20"/>
          <w:i/>
          <w:spacing w:val="0"/>
        </w:rPr>
        <w:t xml:space="preserve"> artículo 2.2 </w:t>
      </w:r>
      <w:r>
        <w:rPr>
          <w:rFonts w:ascii="Verdana" w:hAnsi="Verdana" w:cs="Verdana"/>
          <w:sz w:val="20"/>
          <w:sz-cs w:val="20"/>
          <w:spacing w:val="0"/>
        </w:rPr>
        <w:t xml:space="preserve"> y </w:t>
      </w:r>
      <w:r>
        <w:rPr>
          <w:rFonts w:ascii="Verdana" w:hAnsi="Verdana" w:cs="Verdana"/>
          <w:sz w:val="20"/>
          <w:sz-cs w:val="20"/>
          <w:i/>
          <w:spacing w:val="0"/>
        </w:rPr>
        <w:t xml:space="preserve"> 20.1 de la Ley General para la Defensa de los Consumidores y Usuarios </w:t>
      </w:r>
      <w:r>
        <w:rPr>
          <w:rFonts w:ascii="Verdana" w:hAnsi="Verdana" w:cs="Verdana"/>
          <w:sz w:val="20"/>
          <w:sz-cs w:val="20"/>
          <w:spacing w:val="0"/>
        </w:rPr>
        <w:t xml:space="preserve"> y </w:t>
      </w:r>
      <w:r>
        <w:rPr>
          <w:rFonts w:ascii="Verdana" w:hAnsi="Verdana" w:cs="Verdana"/>
          <w:sz w:val="20"/>
          <w:sz-cs w:val="20"/>
          <w:i/>
          <w:spacing w:val="0"/>
        </w:rPr>
        <w:t xml:space="preserve"> disposición adicional segunda de la Ley de Asistencia Jurídica Gratuita </w:t>
      </w:r>
      <w:r>
        <w:rPr>
          <w:rFonts w:ascii="Verdana" w:hAnsi="Verdana" w:cs="Verdana"/>
          <w:sz w:val="20"/>
          <w:sz-cs w:val="20"/>
          <w:spacing w:val="0"/>
        </w:rPr>
        <w:t xml:space="preserve"> ), si bien precisa que ello no es suficiente, sino que dentro de esos servicios financieros pueden encontrarse algunos concretos, como aquellos por los que se accionaba en aquel proceso, que no merezcan esa calificación.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tanto, de acuerdo con esa doctrina jurisprudencial, a lo que debe atenderse no es a la norma invocada como fundamento de la pretensión sino al carácter de los productos o servicios que sirve de fundamento a la acción de resarcimiento.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13. </w:t>
      </w:r>
      <w:r>
        <w:rPr>
          <w:rFonts w:ascii="Verdana" w:hAnsi="Verdana" w:cs="Verdana"/>
          <w:sz w:val="20"/>
          <w:sz-cs w:val="20"/>
          <w:spacing w:val="0"/>
        </w:rPr>
        <w:t xml:space="preserve"> En nuestro caso, haciendo aplicación de esa doctrina, a lo que debe atenderse no es a que la acción de resarcimiento tenga fundamento en la Ley de</w:t>
      </w:r>
      <w:r>
        <w:rPr>
          <w:rFonts w:ascii="Verdana" w:hAnsi="Verdana" w:cs="Verdana"/>
          <w:sz w:val="20"/>
          <w:sz-cs w:val="20"/>
          <w:spacing w:val="0"/>
          <w:color w:val="FF0000"/>
        </w:rPr>
        <w:t xml:space="preserve"> defensa de la competencia</w:t>
      </w:r>
      <w:r>
        <w:rPr>
          <w:rFonts w:ascii="Verdana" w:hAnsi="Verdana" w:cs="Verdana"/>
          <w:sz w:val="20"/>
          <w:sz-cs w:val="20"/>
          <w:spacing w:val="0"/>
        </w:rPr>
        <w:t xml:space="preserve"> sino a que el acto que se cita como generador de daño, la compra de un vehículo para uso privado, es un acto de consumo. En nuestra opinión tiene ese carácter sin duda alguna. Por tanto, si el daño procede de un acto de consumo, no existe ninguna razón que pueda justificar negar la legitimación de la asociación de consumidores.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14. </w:t>
      </w:r>
      <w:r>
        <w:rPr>
          <w:rFonts w:ascii="Verdana" w:hAnsi="Verdana" w:cs="Verdana"/>
          <w:sz w:val="20"/>
          <w:sz-cs w:val="20"/>
          <w:spacing w:val="0"/>
        </w:rPr>
        <w:t xml:space="preserve"> Es cierto que la acción de resarcimiento ejercitada no está supeditada a la condición de consumidor de los compradores, pero es indudable que uno de los objetivos de la Directica es proteger los derechos de los consumidores. Por ejemplo, el párrafo tercero del preámbulo de la </w:t>
      </w:r>
      <w:r>
        <w:rPr>
          <w:rFonts w:ascii="Verdana" w:hAnsi="Verdana" w:cs="Verdana"/>
          <w:sz w:val="20"/>
          <w:sz-cs w:val="20"/>
          <w:i/>
          <w:spacing w:val="0"/>
        </w:rPr>
        <w:t xml:space="preserve"> Directiva 2014/104/UE </w:t>
      </w:r>
      <w:r>
        <w:rPr>
          <w:rFonts w:ascii="Verdana" w:hAnsi="Verdana" w:cs="Verdana"/>
          <w:sz w:val="20"/>
          <w:sz-cs w:val="20"/>
          <w:spacing w:val="0"/>
        </w:rPr>
        <w:t xml:space="preserve">, de 26 de noviembre, relativa a determinadas normas por las que se rigen las acciones por daños en virtud del Derecho nacional, por infracciones del Derecho de la competencia de los Estados miembros y de la Unión Europea, explica que: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i/>
          <w:spacing w:val="0"/>
        </w:rPr>
        <w:t xml:space="preserve"> «la plena efectividad de los </w:t>
      </w:r>
      <w:r>
        <w:rPr>
          <w:rFonts w:ascii="Verdana" w:hAnsi="Verdana" w:cs="Verdana"/>
          <w:sz w:val="20"/>
          <w:sz-cs w:val="20"/>
          <w:spacing w:val="0"/>
        </w:rPr>
        <w:t xml:space="preserve">  </w:t>
      </w:r>
      <w:r>
        <w:rPr>
          <w:rFonts w:ascii="Verdana" w:hAnsi="Verdana" w:cs="Verdana"/>
          <w:sz w:val="20"/>
          <w:sz-cs w:val="20"/>
          <w:i/>
          <w:spacing w:val="0"/>
        </w:rPr>
        <w:t xml:space="preserve">   artículos 101 </w:t>
      </w:r>
      <w:r>
        <w:rPr>
          <w:rFonts w:ascii="Verdana" w:hAnsi="Verdana" w:cs="Verdana"/>
          <w:sz w:val="20"/>
          <w:sz-cs w:val="20"/>
          <w:spacing w:val="0"/>
        </w:rPr>
        <w:t xml:space="preserve">    </w:t>
      </w:r>
      <w:r>
        <w:rPr>
          <w:rFonts w:ascii="Verdana" w:hAnsi="Verdana" w:cs="Verdana"/>
          <w:sz w:val="20"/>
          <w:sz-cs w:val="20"/>
          <w:i/>
          <w:spacing w:val="0"/>
        </w:rPr>
        <w:t xml:space="preserve"> y </w:t>
      </w:r>
      <w:r>
        <w:rPr>
          <w:rFonts w:ascii="Verdana" w:hAnsi="Verdana" w:cs="Verdana"/>
          <w:sz w:val="20"/>
          <w:sz-cs w:val="20"/>
          <w:spacing w:val="0"/>
        </w:rPr>
        <w:t xml:space="preserve">  </w:t>
      </w:r>
      <w:r>
        <w:rPr>
          <w:rFonts w:ascii="Verdana" w:hAnsi="Verdana" w:cs="Verdana"/>
          <w:sz w:val="20"/>
          <w:sz-cs w:val="20"/>
          <w:i/>
          <w:spacing w:val="0"/>
        </w:rPr>
        <w:t xml:space="preserve">   102 del TFUE </w:t>
      </w:r>
      <w:r>
        <w:rPr>
          <w:rFonts w:ascii="Verdana" w:hAnsi="Verdana" w:cs="Verdana"/>
          <w:sz w:val="20"/>
          <w:sz-cs w:val="20"/>
          <w:spacing w:val="0"/>
        </w:rPr>
        <w:t xml:space="preserve">    </w:t>
      </w:r>
      <w:r>
        <w:rPr>
          <w:rFonts w:ascii="Verdana" w:hAnsi="Verdana" w:cs="Verdana"/>
          <w:sz w:val="20"/>
          <w:sz-cs w:val="20"/>
          <w:i/>
          <w:spacing w:val="0"/>
        </w:rPr>
        <w:t xml:space="preserve">, y en particular el efecto práctico de las prohibiciones en ellos establecidas, exigen que cualquier persona, ya se trate de un particular, incluidos los consumidores y las empresas, o de una autoridad pública, pueda reclamar ante los órganos jurisdiccionales nacionales el resarcimiento de los daños y perjuicios causados por una infracción de estas disposiciones».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15. </w:t>
      </w:r>
      <w:r>
        <w:rPr>
          <w:rFonts w:ascii="Verdana" w:hAnsi="Verdana" w:cs="Verdana"/>
          <w:sz w:val="20"/>
          <w:sz-cs w:val="20"/>
          <w:spacing w:val="0"/>
        </w:rPr>
        <w:t xml:space="preserve"> En el mismo sentido el considerado 10 de la Directiva referida dice que: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i/>
          <w:spacing w:val="0"/>
        </w:rPr>
        <w:t xml:space="preserve"> «En aras del correcto funcionamiento del mercado interior y con vistas a lograr una mayor seguridad jurídica y unas condiciones más equitativas para las empresas y los consumidores, es conveniente que el ámbito de aplicación de la presente Directiva se amplíe a las acciones por daños basadas en la infracción del Derecho nacional de la competencia cuando se aplique con arreglo al </w:t>
      </w:r>
      <w:r>
        <w:rPr>
          <w:rFonts w:ascii="Verdana" w:hAnsi="Verdana" w:cs="Verdana"/>
          <w:sz w:val="20"/>
          <w:sz-cs w:val="20"/>
          <w:spacing w:val="0"/>
        </w:rPr>
        <w:t xml:space="preserve">  </w:t>
      </w:r>
      <w:r>
        <w:rPr>
          <w:rFonts w:ascii="Verdana" w:hAnsi="Verdana" w:cs="Verdana"/>
          <w:sz w:val="20"/>
          <w:sz-cs w:val="20"/>
          <w:i/>
          <w:spacing w:val="0"/>
        </w:rPr>
        <w:t xml:space="preserve">   artículo 3, apartado 1, del Reglamento (CE) no 1/2003 </w:t>
      </w:r>
      <w:r>
        <w:rPr>
          <w:rFonts w:ascii="Verdana" w:hAnsi="Verdana" w:cs="Verdana"/>
          <w:sz w:val="20"/>
          <w:sz-cs w:val="20"/>
          <w:spacing w:val="0"/>
        </w:rPr>
        <w:t xml:space="preserve">    </w:t>
      </w:r>
      <w:r>
        <w:rPr>
          <w:rFonts w:ascii="Verdana" w:hAnsi="Verdana" w:cs="Verdana"/>
          <w:sz w:val="20"/>
          <w:sz-cs w:val="20"/>
          <w:i/>
          <w:spacing w:val="0"/>
        </w:rPr>
        <w:t xml:space="preserve"> ».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16. </w:t>
      </w:r>
      <w:r>
        <w:rPr>
          <w:rFonts w:ascii="Verdana" w:hAnsi="Verdana" w:cs="Verdana"/>
          <w:sz w:val="20"/>
          <w:sz-cs w:val="20"/>
          <w:spacing w:val="0"/>
        </w:rPr>
        <w:t xml:space="preserve"> Por otra parte, esta Sección ya se ha pronunciado sobre esta cuestión en resoluciones, como es el caso de </w:t>
      </w:r>
      <w:r>
        <w:rPr>
          <w:rFonts w:ascii="Verdana" w:hAnsi="Verdana" w:cs="Verdana"/>
          <w:sz w:val="20"/>
          <w:sz-cs w:val="20"/>
          <w:i/>
          <w:spacing w:val="0"/>
        </w:rPr>
        <w:t xml:space="preserve"> nuestra Sentencia de 28 de mayo de 2025 </w:t>
      </w:r>
      <w:r>
        <w:rPr>
          <w:rFonts w:ascii="Verdana" w:hAnsi="Verdana" w:cs="Verdana"/>
          <w:sz w:val="20"/>
          <w:sz-cs w:val="20"/>
          <w:spacing w:val="0"/>
        </w:rPr>
        <w:t xml:space="preserve"> (ECLI:ES:APB:2025:3294), así como en </w:t>
      </w:r>
      <w:r>
        <w:rPr>
          <w:rFonts w:ascii="Verdana" w:hAnsi="Verdana" w:cs="Verdana"/>
          <w:sz w:val="20"/>
          <w:sz-cs w:val="20"/>
          <w:i/>
          <w:spacing w:val="0"/>
        </w:rPr>
        <w:t xml:space="preserve"> nuestra Sentencia de 26 de enero de 2018 </w:t>
      </w:r>
      <w:r>
        <w:rPr>
          <w:rFonts w:ascii="Verdana" w:hAnsi="Verdana" w:cs="Verdana"/>
          <w:sz w:val="20"/>
          <w:sz-cs w:val="20"/>
          <w:spacing w:val="0"/>
        </w:rPr>
        <w:t xml:space="preserve"> y en los Autos de 28 de abril de 2023, 28 de julio de 2022 y 22 de abril de 2022, entre otros.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CUARTO. La posición del Tribunal Constitucional.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17. </w:t>
      </w:r>
      <w:r>
        <w:rPr>
          <w:rFonts w:ascii="Verdana" w:hAnsi="Verdana" w:cs="Verdana"/>
          <w:sz w:val="20"/>
          <w:sz-cs w:val="20"/>
          <w:spacing w:val="0"/>
        </w:rPr>
        <w:t xml:space="preserve"> El Tribunal Constitucional en su sentencia </w:t>
      </w:r>
      <w:r>
        <w:rPr>
          <w:rFonts w:ascii="Verdana" w:hAnsi="Verdana" w:cs="Verdana"/>
          <w:sz w:val="20"/>
          <w:sz-cs w:val="20"/>
          <w:i/>
          <w:spacing w:val="0"/>
        </w:rPr>
        <w:t xml:space="preserve"> STC 73/2004, de 22 de abril </w:t>
      </w:r>
      <w:r>
        <w:rPr>
          <w:rFonts w:ascii="Verdana" w:hAnsi="Verdana" w:cs="Verdana"/>
          <w:sz w:val="20"/>
          <w:sz-cs w:val="20"/>
          <w:spacing w:val="0"/>
        </w:rPr>
        <w:t xml:space="preserve"> (ECLI:ES:TC:2004:73) ha reconocido que: </w:t>
      </w:r>
      <w:r>
        <w:rPr>
          <w:rFonts w:ascii="Verdana" w:hAnsi="Verdana" w:cs="Verdana"/>
          <w:sz w:val="20"/>
          <w:sz-cs w:val="20"/>
          <w:i/>
          <w:spacing w:val="0"/>
        </w:rPr>
        <w:t xml:space="preserve"> «por expresa previsión legal las asociaciones de consumidores y usuarios están legitimadas "para representar a sus asociados y ejercer las correspondientes acciones en defensa de los mismos", esto es, para representar y defender los derechos e intereses de sus asociados como intereses distintos de los de la propia asociación o de los intereses generales de los consumidores y usuarios».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Añadiendo que: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i/>
          <w:spacing w:val="0"/>
        </w:rPr>
        <w:t xml:space="preserve"> «En esta línea argumental no puede dejar de señalarse que este Tribunal en relación con el </w:t>
      </w:r>
      <w:r>
        <w:rPr>
          <w:rFonts w:ascii="Verdana" w:hAnsi="Verdana" w:cs="Verdana"/>
          <w:sz w:val="20"/>
          <w:sz-cs w:val="20"/>
          <w:spacing w:val="0"/>
        </w:rPr>
        <w:t xml:space="preserve">  </w:t>
      </w:r>
      <w:r>
        <w:rPr>
          <w:rFonts w:ascii="Verdana" w:hAnsi="Verdana" w:cs="Verdana"/>
          <w:sz w:val="20"/>
          <w:sz-cs w:val="20"/>
          <w:i/>
          <w:spacing w:val="0"/>
        </w:rPr>
        <w:t xml:space="preserve">   art. 7.3 LOPJ </w:t>
      </w:r>
      <w:r>
        <w:rPr>
          <w:rFonts w:ascii="Verdana" w:hAnsi="Verdana" w:cs="Verdana"/>
          <w:sz w:val="20"/>
          <w:sz-cs w:val="20"/>
          <w:spacing w:val="0"/>
        </w:rPr>
        <w:t xml:space="preserve">    </w:t>
      </w:r>
      <w:r>
        <w:rPr>
          <w:rFonts w:ascii="Verdana" w:hAnsi="Verdana" w:cs="Verdana"/>
          <w:sz w:val="20"/>
          <w:sz-cs w:val="20"/>
          <w:i/>
          <w:spacing w:val="0"/>
        </w:rPr>
        <w:t xml:space="preserve">, que en su inciso final recoge una previsión similar a la del </w:t>
      </w:r>
      <w:r>
        <w:rPr>
          <w:rFonts w:ascii="Verdana" w:hAnsi="Verdana" w:cs="Verdana"/>
          <w:sz w:val="20"/>
          <w:sz-cs w:val="20"/>
          <w:spacing w:val="0"/>
        </w:rPr>
        <w:t xml:space="preserve">  </w:t>
      </w:r>
      <w:r>
        <w:rPr>
          <w:rFonts w:ascii="Verdana" w:hAnsi="Verdana" w:cs="Verdana"/>
          <w:sz w:val="20"/>
          <w:sz-cs w:val="20"/>
          <w:i/>
          <w:spacing w:val="0"/>
        </w:rPr>
        <w:t xml:space="preserve">   art. 19.1 b) LJCA </w:t>
      </w:r>
      <w:r>
        <w:rPr>
          <w:rFonts w:ascii="Verdana" w:hAnsi="Verdana" w:cs="Verdana"/>
          <w:sz w:val="20"/>
          <w:sz-cs w:val="20"/>
          <w:spacing w:val="0"/>
        </w:rPr>
        <w:t xml:space="preserve">    </w:t>
      </w:r>
      <w:r>
        <w:rPr>
          <w:rFonts w:ascii="Verdana" w:hAnsi="Verdana" w:cs="Verdana"/>
          <w:sz w:val="20"/>
          <w:sz-cs w:val="20"/>
          <w:i/>
          <w:spacing w:val="0"/>
        </w:rPr>
        <w:t xml:space="preserve">, ha declarado que la circunstancia de que la recurrente sea una asociación y que por lo tanto no ostente la titularidad del derecho a accionar en el proceso singular no es obstáculo para reconocerle legitimación activa, "toda vez que dicha asociación -con base en lo dispuesto en el </w:t>
      </w:r>
      <w:r>
        <w:rPr>
          <w:rFonts w:ascii="Verdana" w:hAnsi="Verdana" w:cs="Verdana"/>
          <w:sz w:val="20"/>
          <w:sz-cs w:val="20"/>
          <w:spacing w:val="0"/>
        </w:rPr>
        <w:t xml:space="preserve">  </w:t>
      </w:r>
      <w:r>
        <w:rPr>
          <w:rFonts w:ascii="Verdana" w:hAnsi="Verdana" w:cs="Verdana"/>
          <w:sz w:val="20"/>
          <w:sz-cs w:val="20"/>
          <w:i/>
          <w:spacing w:val="0"/>
        </w:rPr>
        <w:t xml:space="preserve">   art. 7.3 LOPJ </w:t>
      </w:r>
      <w:r>
        <w:rPr>
          <w:rFonts w:ascii="Verdana" w:hAnsi="Verdana" w:cs="Verdana"/>
          <w:sz w:val="20"/>
          <w:sz-cs w:val="20"/>
          <w:spacing w:val="0"/>
        </w:rPr>
        <w:t xml:space="preserve">    </w:t>
      </w:r>
      <w:r>
        <w:rPr>
          <w:rFonts w:ascii="Verdana" w:hAnsi="Verdana" w:cs="Verdana"/>
          <w:sz w:val="20"/>
          <w:sz-cs w:val="20"/>
          <w:i/>
          <w:spacing w:val="0"/>
        </w:rPr>
        <w:t xml:space="preserve"> - podría defender en el proceso los derechos e intereses de cada uno de los asociados" ( </w:t>
      </w:r>
      <w:r>
        <w:rPr>
          <w:rFonts w:ascii="Verdana" w:hAnsi="Verdana" w:cs="Verdana"/>
          <w:sz w:val="20"/>
          <w:sz-cs w:val="20"/>
          <w:spacing w:val="0"/>
        </w:rPr>
        <w:t xml:space="preserve">  </w:t>
      </w:r>
      <w:r>
        <w:rPr>
          <w:rFonts w:ascii="Verdana" w:hAnsi="Verdana" w:cs="Verdana"/>
          <w:sz w:val="20"/>
          <w:sz-cs w:val="20"/>
          <w:i/>
          <w:spacing w:val="0"/>
        </w:rPr>
        <w:t xml:space="preserve">   STC 90/2001, de 2 de abril </w:t>
      </w:r>
      <w:r>
        <w:rPr>
          <w:rFonts w:ascii="Verdana" w:hAnsi="Verdana" w:cs="Verdana"/>
          <w:sz w:val="20"/>
          <w:sz-cs w:val="20"/>
          <w:spacing w:val="0"/>
        </w:rPr>
        <w:t xml:space="preserve">    </w:t>
      </w:r>
      <w:r>
        <w:rPr>
          <w:rFonts w:ascii="Verdana" w:hAnsi="Verdana" w:cs="Verdana"/>
          <w:sz w:val="20"/>
          <w:sz-cs w:val="20"/>
          <w:i/>
          <w:spacing w:val="0"/>
        </w:rPr>
        <w:t xml:space="preserve">, FJ 4)».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18. </w:t>
      </w:r>
      <w:r>
        <w:rPr>
          <w:rFonts w:ascii="Verdana" w:hAnsi="Verdana" w:cs="Verdana"/>
          <w:sz w:val="20"/>
          <w:sz-cs w:val="20"/>
          <w:spacing w:val="0"/>
        </w:rPr>
        <w:t xml:space="preserve"> En este mismo sentido el </w:t>
      </w:r>
      <w:r>
        <w:rPr>
          <w:rFonts w:ascii="Verdana" w:hAnsi="Verdana" w:cs="Verdana"/>
          <w:sz w:val="20"/>
          <w:sz-cs w:val="20"/>
          <w:i/>
          <w:spacing w:val="0"/>
        </w:rPr>
        <w:t xml:space="preserve"> Tribunal Constitucional en sentencia 217/2007, 8 de octubre </w:t>
      </w:r>
      <w:r>
        <w:rPr>
          <w:rFonts w:ascii="Verdana" w:hAnsi="Verdana" w:cs="Verdana"/>
          <w:sz w:val="20"/>
          <w:sz-cs w:val="20"/>
          <w:spacing w:val="0"/>
        </w:rPr>
        <w:t xml:space="preserve"> (ECLI:ES:TC:2007:217)</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i/>
          <w:spacing w:val="0"/>
        </w:rPr>
        <w:t xml:space="preserve"> «En concordancia con lo expuesto no puede dejar de recordarse que este Tribunal, al abordar el problema de la legitimación activa de las asociaciones de consumidores y usuarios para defender en un proceso los derechos e intereses de sus asociados, ha reconocido expresamente que esa legitimación se ostenta no sólo cuando la asociación ejerce acciones en defensa de los derechos o intereses generales, colectivos o difusos, de sus asociados, sino también cuando la asociación actúa en defensa de un asociado concreto, siempre que la controversia afecta a los derechos e intereses del asociado en su condición de consumidor o usuario </w:t>
      </w:r>
      <w:r>
        <w:rPr>
          <w:rFonts w:ascii="Verdana" w:hAnsi="Verdana" w:cs="Verdana"/>
          <w:sz w:val="20"/>
          <w:sz-cs w:val="20"/>
          <w:spacing w:val="0"/>
        </w:rPr>
        <w:t xml:space="preserve"> ( </w:t>
      </w:r>
      <w:r>
        <w:rPr>
          <w:rFonts w:ascii="Verdana" w:hAnsi="Verdana" w:cs="Verdana"/>
          <w:sz w:val="20"/>
          <w:sz-cs w:val="20"/>
          <w:i/>
          <w:spacing w:val="0"/>
        </w:rPr>
        <w:t xml:space="preserve"> SSTC 73/2004, de 22 de abril, FFJJ 4 </w:t>
      </w:r>
      <w:r>
        <w:rPr>
          <w:rFonts w:ascii="Verdana" w:hAnsi="Verdana" w:cs="Verdana"/>
          <w:sz w:val="20"/>
          <w:sz-cs w:val="20"/>
          <w:spacing w:val="0"/>
        </w:rPr>
        <w:t xml:space="preserve"> y 5; y </w:t>
      </w:r>
      <w:r>
        <w:rPr>
          <w:rFonts w:ascii="Verdana" w:hAnsi="Verdana" w:cs="Verdana"/>
          <w:sz w:val="20"/>
          <w:sz-cs w:val="20"/>
          <w:i/>
          <w:spacing w:val="0"/>
        </w:rPr>
        <w:t xml:space="preserve"> 219/2005, de 12 de septiembre </w:t>
      </w:r>
      <w:r>
        <w:rPr>
          <w:rFonts w:ascii="Verdana" w:hAnsi="Verdana" w:cs="Verdana"/>
          <w:sz w:val="20"/>
          <w:sz-cs w:val="20"/>
          <w:spacing w:val="0"/>
        </w:rPr>
        <w:t xml:space="preserve">, FFJJ 2 y 3)».</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19. </w:t>
      </w:r>
      <w:r>
        <w:rPr>
          <w:rFonts w:ascii="Verdana" w:hAnsi="Verdana" w:cs="Verdana"/>
          <w:sz w:val="20"/>
          <w:sz-cs w:val="20"/>
          <w:spacing w:val="0"/>
        </w:rPr>
        <w:t xml:space="preserve"> Nuevamente el </w:t>
      </w:r>
      <w:r>
        <w:rPr>
          <w:rFonts w:ascii="Verdana" w:hAnsi="Verdana" w:cs="Verdana"/>
          <w:sz w:val="20"/>
          <w:sz-cs w:val="20"/>
          <w:i/>
          <w:spacing w:val="0"/>
        </w:rPr>
        <w:t xml:space="preserve"> Tribunal Constitucional en la sentencia núm. 219/2005, de 12 de septiembre </w:t>
      </w:r>
      <w:r>
        <w:rPr>
          <w:rFonts w:ascii="Verdana" w:hAnsi="Verdana" w:cs="Verdana"/>
          <w:sz w:val="20"/>
          <w:sz-cs w:val="20"/>
          <w:spacing w:val="0"/>
        </w:rPr>
        <w:t xml:space="preserve">, había declarado que: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 </w:t>
      </w:r>
      <w:r>
        <w:rPr>
          <w:rFonts w:ascii="Verdana" w:hAnsi="Verdana" w:cs="Verdana"/>
          <w:sz w:val="20"/>
          <w:sz-cs w:val="20"/>
          <w:i/>
          <w:spacing w:val="0"/>
        </w:rPr>
        <w:t xml:space="preserve"> en el particular relativo a la legitimación activa de las asociaciones de consumidores, este Tribunal ha declarado, en primer lugar, que supone una vulneración del derecho a la tutela judicial efectiva negarles legitimación en los supuestos de actuación en representación y defensa de intereses concretos de sus asociados con base en que no defienden intereses propios sino de terceros, una vez constado que "por expresa previsión legal las asociaciones de consumidores y usuarios están legitimadas `para representar a sus asociados y ejercer las correspondientes acciones en defensa de los mismos?, esto es, para representar y defender los derechos e intereses de sus asociados como intereses distintos de los de la propia asociación o de los intereses generales de los consumidores y usuarios ( </w:t>
      </w:r>
      <w:r>
        <w:rPr>
          <w:rFonts w:ascii="Verdana" w:hAnsi="Verdana" w:cs="Verdana"/>
          <w:sz w:val="20"/>
          <w:sz-cs w:val="20"/>
          <w:spacing w:val="0"/>
        </w:rPr>
        <w:t xml:space="preserve">  </w:t>
      </w:r>
      <w:r>
        <w:rPr>
          <w:rFonts w:ascii="Verdana" w:hAnsi="Verdana" w:cs="Verdana"/>
          <w:sz w:val="20"/>
          <w:sz-cs w:val="20"/>
          <w:i/>
          <w:spacing w:val="0"/>
        </w:rPr>
        <w:t xml:space="preserve">   arts. 20.1 de la Ley general para la defensa de los consumidores y usuarios </w:t>
      </w:r>
      <w:r>
        <w:rPr>
          <w:rFonts w:ascii="Verdana" w:hAnsi="Verdana" w:cs="Verdana"/>
          <w:sz w:val="20"/>
          <w:sz-cs w:val="20"/>
          <w:spacing w:val="0"/>
        </w:rPr>
        <w:t xml:space="preserve">    </w:t>
      </w:r>
      <w:r>
        <w:rPr>
          <w:rFonts w:ascii="Verdana" w:hAnsi="Verdana" w:cs="Verdana"/>
          <w:sz w:val="20"/>
          <w:sz-cs w:val="20"/>
          <w:i/>
          <w:spacing w:val="0"/>
        </w:rPr>
        <w:t xml:space="preserve">; </w:t>
      </w:r>
      <w:r>
        <w:rPr>
          <w:rFonts w:ascii="Verdana" w:hAnsi="Verdana" w:cs="Verdana"/>
          <w:sz w:val="20"/>
          <w:sz-cs w:val="20"/>
          <w:spacing w:val="0"/>
        </w:rPr>
        <w:t xml:space="preserve">  </w:t>
      </w:r>
      <w:r>
        <w:rPr>
          <w:rFonts w:ascii="Verdana" w:hAnsi="Verdana" w:cs="Verdana"/>
          <w:sz w:val="20"/>
          <w:sz-cs w:val="20"/>
          <w:i/>
          <w:spacing w:val="0"/>
        </w:rPr>
        <w:t xml:space="preserve">   16.1 Real Decreto 825/1990, de 22 de junio </w:t>
      </w:r>
      <w:r>
        <w:rPr>
          <w:rFonts w:ascii="Verdana" w:hAnsi="Verdana" w:cs="Verdana"/>
          <w:sz w:val="20"/>
          <w:sz-cs w:val="20"/>
          <w:spacing w:val="0"/>
        </w:rPr>
        <w:t xml:space="preserve">    </w:t>
      </w:r>
      <w:r>
        <w:rPr>
          <w:rFonts w:ascii="Verdana" w:hAnsi="Verdana" w:cs="Verdana"/>
          <w:sz w:val="20"/>
          <w:sz-cs w:val="20"/>
          <w:i/>
          <w:spacing w:val="0"/>
        </w:rPr>
        <w:t xml:space="preserve"> )" ( </w:t>
      </w:r>
      <w:r>
        <w:rPr>
          <w:rFonts w:ascii="Verdana" w:hAnsi="Verdana" w:cs="Verdana"/>
          <w:sz w:val="20"/>
          <w:sz-cs w:val="20"/>
          <w:spacing w:val="0"/>
        </w:rPr>
        <w:t xml:space="preserve">  </w:t>
      </w:r>
      <w:r>
        <w:rPr>
          <w:rFonts w:ascii="Verdana" w:hAnsi="Verdana" w:cs="Verdana"/>
          <w:sz w:val="20"/>
          <w:sz-cs w:val="20"/>
          <w:i/>
          <w:spacing w:val="0"/>
        </w:rPr>
        <w:t xml:space="preserve">   STC 73/2004 </w:t>
      </w:r>
      <w:r>
        <w:rPr>
          <w:rFonts w:ascii="Verdana" w:hAnsi="Verdana" w:cs="Verdana"/>
          <w:sz w:val="20"/>
          <w:sz-cs w:val="20"/>
          <w:spacing w:val="0"/>
        </w:rPr>
        <w:t xml:space="preserve">    </w:t>
      </w:r>
      <w:r>
        <w:rPr>
          <w:rFonts w:ascii="Verdana" w:hAnsi="Verdana" w:cs="Verdana"/>
          <w:sz w:val="20"/>
          <w:sz-cs w:val="20"/>
          <w:i/>
          <w:spacing w:val="0"/>
        </w:rPr>
        <w:t xml:space="preserve">, FJ 5). En segundo lugar, que esta legitimación para actuar en defensa de los intereses de carácter personal de los afiliados puede quedar limitada, por el propio ámbito objetivo de la normativa en que está prevista, a que dichos intereses lo sean en su condición de consumidores y usuarios. Y, por último, que no cabe negar dicha condición cuando por la naturaleza de la controversia de fondo suscitada se evidencie de una manera clara y suficiente que repercute, directamente o por condicionar de manera relevante su comportamiento y decisiones, en los intereses como consumidores y usuarios de los particulares afectados </w:t>
      </w:r>
      <w:r>
        <w:rPr>
          <w:rFonts w:ascii="Verdana" w:hAnsi="Verdana" w:cs="Verdana"/>
          <w:sz w:val="20"/>
          <w:sz-cs w:val="20"/>
          <w:spacing w:val="0"/>
        </w:rPr>
        <w:t xml:space="preserve"> ( </w:t>
      </w:r>
      <w:r>
        <w:rPr>
          <w:rFonts w:ascii="Verdana" w:hAnsi="Verdana" w:cs="Verdana"/>
          <w:sz w:val="20"/>
          <w:sz-cs w:val="20"/>
          <w:i/>
          <w:spacing w:val="0"/>
        </w:rPr>
        <w:t xml:space="preserve"> STC 73/2004 </w:t>
      </w:r>
      <w:r>
        <w:rPr>
          <w:rFonts w:ascii="Verdana" w:hAnsi="Verdana" w:cs="Verdana"/>
          <w:sz w:val="20"/>
          <w:sz-cs w:val="20"/>
          <w:spacing w:val="0"/>
        </w:rPr>
        <w:t xml:space="preserve">, FJ 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todo lo expuesto, debemos estimar el recurso, ordenando, conforme a lo solicitado, retrotraer las actuaciones al acto del juicio, a fin de que se practique la prueba propuesta y admitida.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QUINTO. Costas.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20. </w:t>
      </w:r>
      <w:r>
        <w:rPr>
          <w:rFonts w:ascii="Verdana" w:hAnsi="Verdana" w:cs="Verdana"/>
          <w:sz w:val="20"/>
          <w:sz-cs w:val="20"/>
          <w:spacing w:val="0"/>
        </w:rPr>
        <w:t xml:space="preserve"> Conforme a lo que se establece en el </w:t>
      </w:r>
      <w:r>
        <w:rPr>
          <w:rFonts w:ascii="Verdana" w:hAnsi="Verdana" w:cs="Verdana"/>
          <w:sz w:val="20"/>
          <w:sz-cs w:val="20"/>
          <w:i/>
          <w:spacing w:val="0"/>
        </w:rPr>
        <w:t xml:space="preserve"> art. 398 LEC </w:t>
      </w:r>
      <w:r>
        <w:rPr>
          <w:rFonts w:ascii="Verdana" w:hAnsi="Verdana" w:cs="Verdana"/>
          <w:sz w:val="20"/>
          <w:sz-cs w:val="20"/>
          <w:spacing w:val="0"/>
        </w:rPr>
        <w:t xml:space="preserve">, no procede hacer imposición de las costas, al haberse estimado el recurso, razón por la que es procedente ordenar la devolución del depósito constituido al recurrir.</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PARTE DISPOSITIVA</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Estimamos el recurso de apelación interpuesto por Asociación Usuarios Financieros Catalunya (Asufin Cataluña) contra la </w:t>
      </w:r>
      <w:r>
        <w:rPr>
          <w:rFonts w:ascii="Verdana" w:hAnsi="Verdana" w:cs="Verdana"/>
          <w:sz w:val="20"/>
          <w:sz-cs w:val="20"/>
          <w:i/>
          <w:spacing w:val="0"/>
        </w:rPr>
        <w:t xml:space="preserve"> sentencia del Juzgado Mercantil núm. 2 de Barcelona de fecha 7 de noviembre de 2024 </w:t>
      </w:r>
      <w:r>
        <w:rPr>
          <w:rFonts w:ascii="Verdana" w:hAnsi="Verdana" w:cs="Verdana"/>
          <w:sz w:val="20"/>
          <w:sz-cs w:val="20"/>
          <w:spacing w:val="0"/>
        </w:rPr>
        <w:t xml:space="preserve">, dictada en las actuaciones de las que procede este rollo, que revocamos y ordenamos al juzgado que proceda con la continuación del procedimiento a partir del acto del juicio, sin imposición de las costas del recurso.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Contra la presente resolución las partes legitimadas podrán interponer recurso de casación, ante este tribunal, en el plazo de los veinte días siguientes al de su notificación, conforme a los criterios legales y jurisprudenciales de aplicación.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Remítanse los autos originales al Juzgado de procedencia con testimonio de esta resolución, a los efectos pertinentes.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Así lo pronuncian mandan y firman los ilustrísimos señores magistrados componentes del tribunal.</w:t>
      </w:r>
    </w:p>
    <w:p>
      <w:pPr>
        <w:jc w:val="both"/>
      </w:pPr>
      <w:r>
        <w:rPr>
          <w:rFonts w:ascii="Verdana" w:hAnsi="Verdana" w:cs="Verdana"/>
          <w:sz w:val="20"/>
          <w:sz-cs w:val="20"/>
          <w:spacing w:val="0"/>
        </w:rPr>
        <w:t xml:space="preserve"/>
        <w:tab/>
        <w:t xml:space="preserve"/>
      </w:r>
      <w:r>
        <w:rPr>
          <w:rFonts w:ascii="Times New Roman" w:hAnsi="Times New Roman" w:cs="Times New Roman"/>
          <w:sz w:val="24"/>
          <w:sz-cs w:val="24"/>
        </w:rPr>
        <w:t xml:space="preserve"/>
      </w:r>
    </w:p>
    <w:sectPr>
      <w:pgSz w:w="12240" w:h="15840"/>
      <w:pgMar w:top="1417" w:right="1701" w:bottom="1417"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Aranzazu Ortiz Gonzalez</dc:creator>
</cp:coreProperties>
</file>

<file path=docProps/meta.xml><?xml version="1.0" encoding="utf-8"?>
<meta xmlns="http://schemas.apple.com/cocoa/2006/metadata">
  <generator>CocoaOOXMLWriter/2685.6</generator>
</meta>
</file>