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0B47" w14:textId="505D01FE" w:rsidR="00B56117" w:rsidRPr="009C64EB" w:rsidRDefault="00B56117" w:rsidP="00B56117">
      <w:pPr>
        <w:tabs>
          <w:tab w:val="left" w:pos="993"/>
          <w:tab w:val="left" w:pos="1276"/>
          <w:tab w:val="left" w:pos="4820"/>
        </w:tabs>
        <w:spacing w:after="0" w:line="240" w:lineRule="auto"/>
        <w:ind w:firstLine="720"/>
        <w:jc w:val="right"/>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Administracinė byla Nr. eA-2</w:t>
      </w:r>
      <w:r w:rsidR="00C961F5" w:rsidRPr="009C64EB">
        <w:rPr>
          <w:rFonts w:ascii="Times New Roman" w:eastAsia="Times New Roman" w:hAnsi="Times New Roman" w:cs="Times New Roman"/>
          <w:sz w:val="24"/>
          <w:szCs w:val="24"/>
          <w:lang w:val="lt-LT"/>
        </w:rPr>
        <w:t>1</w:t>
      </w:r>
      <w:r w:rsidRPr="009C64EB">
        <w:rPr>
          <w:rFonts w:ascii="Times New Roman" w:eastAsia="Times New Roman" w:hAnsi="Times New Roman" w:cs="Times New Roman"/>
          <w:sz w:val="24"/>
          <w:szCs w:val="24"/>
          <w:lang w:val="lt-LT"/>
        </w:rPr>
        <w:t>5-629/202</w:t>
      </w:r>
      <w:r w:rsidR="00C961F5" w:rsidRPr="009C64EB">
        <w:rPr>
          <w:rFonts w:ascii="Times New Roman" w:eastAsia="Times New Roman" w:hAnsi="Times New Roman" w:cs="Times New Roman"/>
          <w:sz w:val="24"/>
          <w:szCs w:val="24"/>
          <w:lang w:val="lt-LT"/>
        </w:rPr>
        <w:t>4</w:t>
      </w:r>
    </w:p>
    <w:p w14:paraId="238F8600" w14:textId="77777777" w:rsidR="00B56117" w:rsidRPr="009C64EB" w:rsidRDefault="00B56117" w:rsidP="00B56117">
      <w:pPr>
        <w:tabs>
          <w:tab w:val="left" w:pos="993"/>
          <w:tab w:val="left" w:pos="1276"/>
        </w:tabs>
        <w:spacing w:after="0" w:line="240" w:lineRule="auto"/>
        <w:ind w:firstLine="720"/>
        <w:jc w:val="right"/>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Teisminio proceso Nr. 3-61-3-01686-2018-5</w:t>
      </w:r>
    </w:p>
    <w:p w14:paraId="5414745B" w14:textId="4A010780" w:rsidR="00B56117" w:rsidRPr="009C64EB" w:rsidRDefault="00B56117" w:rsidP="00B56117">
      <w:pPr>
        <w:tabs>
          <w:tab w:val="left" w:pos="993"/>
          <w:tab w:val="left" w:pos="1276"/>
        </w:tabs>
        <w:spacing w:after="0" w:line="240" w:lineRule="auto"/>
        <w:ind w:firstLine="720"/>
        <w:jc w:val="right"/>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Procesinio sprendimo kategorijos: </w:t>
      </w:r>
      <w:r w:rsidR="002069F1" w:rsidRPr="002069F1">
        <w:rPr>
          <w:rFonts w:ascii="Times New Roman" w:eastAsia="Times New Roman" w:hAnsi="Times New Roman" w:cs="Times New Roman"/>
          <w:sz w:val="24"/>
          <w:szCs w:val="24"/>
          <w:lang w:val="lt-LT"/>
        </w:rPr>
        <w:t>1.2.2</w:t>
      </w:r>
      <w:r w:rsidR="00B00B5E">
        <w:rPr>
          <w:rFonts w:ascii="Times New Roman" w:eastAsia="Times New Roman" w:hAnsi="Times New Roman" w:cs="Times New Roman"/>
          <w:sz w:val="24"/>
          <w:szCs w:val="24"/>
          <w:lang w:val="lt-LT"/>
        </w:rPr>
        <w:t xml:space="preserve">; </w:t>
      </w:r>
      <w:r w:rsidRPr="009C64EB">
        <w:rPr>
          <w:rFonts w:ascii="Times New Roman" w:eastAsia="Times New Roman" w:hAnsi="Times New Roman" w:cs="Times New Roman"/>
          <w:sz w:val="24"/>
          <w:szCs w:val="24"/>
          <w:lang w:val="lt-LT"/>
        </w:rPr>
        <w:t>11.2; 11.6</w:t>
      </w:r>
    </w:p>
    <w:p w14:paraId="0F22641D" w14:textId="0D362ADA" w:rsidR="00B56117" w:rsidRDefault="00E3423E" w:rsidP="00E3423E">
      <w:pPr>
        <w:tabs>
          <w:tab w:val="left" w:pos="993"/>
          <w:tab w:val="left" w:pos="1276"/>
        </w:tabs>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(S) </w:t>
      </w:r>
    </w:p>
    <w:p w14:paraId="67F98558" w14:textId="77777777" w:rsidR="00E3423E" w:rsidRPr="009C64EB" w:rsidRDefault="00E3423E" w:rsidP="00BA494C">
      <w:pPr>
        <w:tabs>
          <w:tab w:val="left" w:pos="993"/>
          <w:tab w:val="left" w:pos="1276"/>
        </w:tabs>
        <w:spacing w:after="0" w:line="240" w:lineRule="auto"/>
        <w:rPr>
          <w:rFonts w:ascii="Times New Roman" w:eastAsia="Times New Roman" w:hAnsi="Times New Roman" w:cs="Times New Roman"/>
          <w:sz w:val="24"/>
          <w:szCs w:val="24"/>
          <w:lang w:val="lt-LT"/>
        </w:rPr>
      </w:pPr>
    </w:p>
    <w:p w14:paraId="35676615" w14:textId="5A4935F1" w:rsidR="00B56117" w:rsidRPr="009C64EB" w:rsidRDefault="00BA494C" w:rsidP="00570B0D">
      <w:pPr>
        <w:tabs>
          <w:tab w:val="left" w:pos="993"/>
          <w:tab w:val="left" w:pos="1276"/>
        </w:tabs>
        <w:spacing w:after="0" w:line="240" w:lineRule="auto"/>
        <w:jc w:val="center"/>
        <w:rPr>
          <w:rFonts w:ascii="Times New Roman" w:eastAsia="Times New Roman" w:hAnsi="Times New Roman" w:cs="Times New Roman"/>
          <w:sz w:val="24"/>
          <w:szCs w:val="24"/>
          <w:lang w:val="lt-LT"/>
        </w:rPr>
      </w:pPr>
      <w:r w:rsidRPr="009C64EB">
        <w:rPr>
          <w:rFonts w:ascii="Times New Roman" w:eastAsia="Times New Roman" w:hAnsi="Times New Roman" w:cs="Times New Roman"/>
          <w:bCs/>
          <w:noProof/>
          <w:sz w:val="24"/>
          <w:szCs w:val="24"/>
          <w:lang w:val="lt-LT" w:eastAsia="lt-LT"/>
        </w:rPr>
        <w:drawing>
          <wp:inline distT="0" distB="0" distL="0" distR="0" wp14:anchorId="45A7364B" wp14:editId="3ADAA99F">
            <wp:extent cx="568150" cy="644636"/>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8150" cy="644636"/>
                    </a:xfrm>
                    <a:prstGeom prst="rect">
                      <a:avLst/>
                    </a:prstGeom>
                    <a:noFill/>
                    <a:ln>
                      <a:noFill/>
                    </a:ln>
                  </pic:spPr>
                </pic:pic>
              </a:graphicData>
            </a:graphic>
          </wp:inline>
        </w:drawing>
      </w:r>
    </w:p>
    <w:p w14:paraId="5AC3FA49" w14:textId="77777777" w:rsidR="00B56117" w:rsidRPr="009C64EB" w:rsidRDefault="00B56117" w:rsidP="00570B0D">
      <w:pPr>
        <w:tabs>
          <w:tab w:val="left" w:pos="993"/>
          <w:tab w:val="left" w:pos="1276"/>
        </w:tabs>
        <w:spacing w:after="0" w:line="240" w:lineRule="auto"/>
        <w:jc w:val="center"/>
        <w:rPr>
          <w:rFonts w:ascii="Times New Roman" w:eastAsia="Times New Roman" w:hAnsi="Times New Roman" w:cs="Times New Roman"/>
          <w:sz w:val="24"/>
          <w:szCs w:val="24"/>
          <w:lang w:val="lt-LT"/>
        </w:rPr>
      </w:pPr>
    </w:p>
    <w:p w14:paraId="2B65A760" w14:textId="77777777" w:rsidR="00B56117" w:rsidRPr="009C64EB" w:rsidRDefault="00B56117" w:rsidP="00570B0D">
      <w:pPr>
        <w:tabs>
          <w:tab w:val="left" w:pos="993"/>
          <w:tab w:val="left" w:pos="1276"/>
        </w:tabs>
        <w:spacing w:after="0" w:line="240" w:lineRule="auto"/>
        <w:jc w:val="center"/>
        <w:rPr>
          <w:rFonts w:ascii="Times New Roman" w:eastAsia="Times New Roman" w:hAnsi="Times New Roman" w:cs="Times New Roman"/>
          <w:b/>
          <w:sz w:val="24"/>
          <w:szCs w:val="24"/>
          <w:lang w:val="lt-LT"/>
        </w:rPr>
      </w:pPr>
      <w:r w:rsidRPr="009C64EB">
        <w:rPr>
          <w:rFonts w:ascii="Times New Roman" w:eastAsia="Times New Roman" w:hAnsi="Times New Roman" w:cs="Times New Roman"/>
          <w:b/>
          <w:sz w:val="24"/>
          <w:szCs w:val="24"/>
          <w:lang w:val="lt-LT"/>
        </w:rPr>
        <w:t>LIETUVOS VYRIAUSIASIS ADMINISTRACINIS TEISMAS</w:t>
      </w:r>
    </w:p>
    <w:p w14:paraId="75D2D414" w14:textId="77777777" w:rsidR="00B56117" w:rsidRPr="009C64EB" w:rsidRDefault="00B56117" w:rsidP="00570B0D">
      <w:pPr>
        <w:tabs>
          <w:tab w:val="left" w:pos="993"/>
          <w:tab w:val="left" w:pos="1276"/>
        </w:tabs>
        <w:spacing w:after="0" w:line="240" w:lineRule="auto"/>
        <w:jc w:val="center"/>
        <w:rPr>
          <w:rFonts w:ascii="Times New Roman" w:eastAsia="Times New Roman" w:hAnsi="Times New Roman" w:cs="Times New Roman"/>
          <w:b/>
          <w:sz w:val="24"/>
          <w:szCs w:val="24"/>
          <w:lang w:val="lt-LT"/>
        </w:rPr>
      </w:pPr>
    </w:p>
    <w:p w14:paraId="341F0B09" w14:textId="77777777" w:rsidR="00B56117" w:rsidRPr="009C64EB" w:rsidRDefault="00B56117" w:rsidP="00570B0D">
      <w:pPr>
        <w:tabs>
          <w:tab w:val="left" w:pos="993"/>
          <w:tab w:val="left" w:pos="1276"/>
        </w:tabs>
        <w:spacing w:after="0" w:line="240" w:lineRule="auto"/>
        <w:jc w:val="center"/>
        <w:rPr>
          <w:rFonts w:ascii="Times New Roman" w:eastAsia="Times New Roman" w:hAnsi="Times New Roman" w:cs="Times New Roman"/>
          <w:b/>
          <w:sz w:val="24"/>
          <w:szCs w:val="24"/>
          <w:lang w:val="lt-LT"/>
        </w:rPr>
      </w:pPr>
      <w:r w:rsidRPr="009C64EB">
        <w:rPr>
          <w:rFonts w:ascii="Times New Roman" w:eastAsia="Times New Roman" w:hAnsi="Times New Roman" w:cs="Times New Roman"/>
          <w:b/>
          <w:sz w:val="24"/>
          <w:szCs w:val="24"/>
          <w:lang w:val="lt-LT"/>
        </w:rPr>
        <w:t>N U T A R T I S</w:t>
      </w:r>
    </w:p>
    <w:p w14:paraId="25F73735" w14:textId="77777777" w:rsidR="00B56117" w:rsidRPr="009C64EB" w:rsidRDefault="00B56117" w:rsidP="00570B0D">
      <w:pPr>
        <w:tabs>
          <w:tab w:val="left" w:pos="993"/>
          <w:tab w:val="left" w:pos="1276"/>
        </w:tabs>
        <w:spacing w:after="0" w:line="240" w:lineRule="auto"/>
        <w:jc w:val="center"/>
        <w:rPr>
          <w:rFonts w:ascii="Times New Roman" w:eastAsia="Times New Roman" w:hAnsi="Times New Roman" w:cs="Times New Roman"/>
          <w:b/>
          <w:sz w:val="24"/>
          <w:szCs w:val="24"/>
          <w:lang w:val="lt-LT"/>
        </w:rPr>
      </w:pPr>
      <w:r w:rsidRPr="009C64EB">
        <w:rPr>
          <w:rFonts w:ascii="Times New Roman" w:eastAsia="Times New Roman" w:hAnsi="Times New Roman" w:cs="Times New Roman"/>
          <w:b/>
          <w:sz w:val="24"/>
          <w:szCs w:val="24"/>
          <w:lang w:val="lt-LT"/>
        </w:rPr>
        <w:t>LIETUVOS RESPUBLIKOS VARDU</w:t>
      </w:r>
    </w:p>
    <w:p w14:paraId="180DA50D" w14:textId="77777777" w:rsidR="00B56117" w:rsidRPr="009C64EB" w:rsidRDefault="00B56117" w:rsidP="00570B0D">
      <w:pPr>
        <w:tabs>
          <w:tab w:val="left" w:pos="993"/>
          <w:tab w:val="left" w:pos="1276"/>
        </w:tabs>
        <w:spacing w:after="0" w:line="240" w:lineRule="auto"/>
        <w:jc w:val="center"/>
        <w:rPr>
          <w:rFonts w:ascii="Times New Roman" w:eastAsia="Times New Roman" w:hAnsi="Times New Roman" w:cs="Times New Roman"/>
          <w:b/>
          <w:sz w:val="24"/>
          <w:szCs w:val="24"/>
          <w:lang w:val="lt-LT"/>
        </w:rPr>
      </w:pPr>
    </w:p>
    <w:p w14:paraId="5E81B16C" w14:textId="479373A5" w:rsidR="00B56117" w:rsidRPr="009C64EB" w:rsidRDefault="00B56117" w:rsidP="00570B0D">
      <w:pPr>
        <w:tabs>
          <w:tab w:val="left" w:pos="993"/>
          <w:tab w:val="left" w:pos="1276"/>
        </w:tabs>
        <w:spacing w:after="0" w:line="240" w:lineRule="auto"/>
        <w:jc w:val="center"/>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202</w:t>
      </w:r>
      <w:r w:rsidR="00C961F5" w:rsidRPr="009C64EB">
        <w:rPr>
          <w:rFonts w:ascii="Times New Roman" w:eastAsia="Times New Roman" w:hAnsi="Times New Roman" w:cs="Times New Roman"/>
          <w:sz w:val="24"/>
          <w:szCs w:val="24"/>
          <w:lang w:val="lt-LT"/>
        </w:rPr>
        <w:t>4</w:t>
      </w:r>
      <w:r w:rsidRPr="009C64EB">
        <w:rPr>
          <w:rFonts w:ascii="Times New Roman" w:eastAsia="Times New Roman" w:hAnsi="Times New Roman" w:cs="Times New Roman"/>
          <w:sz w:val="24"/>
          <w:szCs w:val="24"/>
          <w:lang w:val="lt-LT"/>
        </w:rPr>
        <w:t xml:space="preserve"> m. </w:t>
      </w:r>
      <w:r w:rsidR="00A83F1F">
        <w:rPr>
          <w:rFonts w:ascii="Times New Roman" w:eastAsia="Times New Roman" w:hAnsi="Times New Roman" w:cs="Times New Roman"/>
          <w:sz w:val="24"/>
          <w:szCs w:val="24"/>
          <w:lang w:val="lt-LT"/>
        </w:rPr>
        <w:t>lapkričio 13</w:t>
      </w:r>
      <w:r w:rsidR="00570B0D" w:rsidRPr="009C64EB">
        <w:rPr>
          <w:rFonts w:ascii="Times New Roman" w:eastAsia="Times New Roman" w:hAnsi="Times New Roman" w:cs="Times New Roman"/>
          <w:sz w:val="24"/>
          <w:szCs w:val="24"/>
          <w:lang w:val="lt-LT"/>
        </w:rPr>
        <w:t xml:space="preserve"> </w:t>
      </w:r>
      <w:r w:rsidRPr="009C64EB">
        <w:rPr>
          <w:rFonts w:ascii="Times New Roman" w:eastAsia="Times New Roman" w:hAnsi="Times New Roman" w:cs="Times New Roman"/>
          <w:sz w:val="24"/>
          <w:szCs w:val="24"/>
          <w:lang w:val="lt-LT"/>
        </w:rPr>
        <w:t>d.</w:t>
      </w:r>
    </w:p>
    <w:p w14:paraId="308063F0" w14:textId="77777777" w:rsidR="00B56117" w:rsidRPr="009C64EB" w:rsidRDefault="00B56117" w:rsidP="00570B0D">
      <w:pPr>
        <w:tabs>
          <w:tab w:val="left" w:pos="993"/>
          <w:tab w:val="left" w:pos="1276"/>
        </w:tabs>
        <w:spacing w:after="0" w:line="240" w:lineRule="auto"/>
        <w:jc w:val="center"/>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Vilnius</w:t>
      </w:r>
    </w:p>
    <w:p w14:paraId="4886B0A6" w14:textId="77777777" w:rsidR="00B56117" w:rsidRPr="009C64EB" w:rsidRDefault="00B56117" w:rsidP="00B56117">
      <w:pPr>
        <w:tabs>
          <w:tab w:val="left" w:pos="993"/>
          <w:tab w:val="left" w:pos="1276"/>
        </w:tabs>
        <w:spacing w:after="0" w:line="240" w:lineRule="auto"/>
        <w:ind w:firstLine="720"/>
        <w:jc w:val="center"/>
        <w:rPr>
          <w:rFonts w:ascii="Times New Roman" w:eastAsia="Times New Roman" w:hAnsi="Times New Roman" w:cs="Times New Roman"/>
          <w:sz w:val="24"/>
          <w:szCs w:val="24"/>
          <w:lang w:val="lt-LT"/>
        </w:rPr>
      </w:pPr>
    </w:p>
    <w:p w14:paraId="7233AE90" w14:textId="01EF6879" w:rsidR="00B56117" w:rsidRPr="009C64EB" w:rsidRDefault="00B56117" w:rsidP="00B56117">
      <w:pPr>
        <w:tabs>
          <w:tab w:val="left" w:pos="993"/>
          <w:tab w:val="left" w:pos="1276"/>
        </w:tabs>
        <w:spacing w:after="0" w:line="240" w:lineRule="auto"/>
        <w:ind w:firstLine="720"/>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Lietuvos vyriausiojo administracinio teismo išplėstinė teisėjų kolegija, susidedanti iš teisėjų Artūro </w:t>
      </w:r>
      <w:proofErr w:type="spellStart"/>
      <w:r w:rsidRPr="009C64EB">
        <w:rPr>
          <w:rFonts w:ascii="Times New Roman" w:eastAsia="Times New Roman" w:hAnsi="Times New Roman" w:cs="Times New Roman"/>
          <w:sz w:val="24"/>
          <w:szCs w:val="24"/>
          <w:lang w:val="lt-LT"/>
        </w:rPr>
        <w:t>Drigoto</w:t>
      </w:r>
      <w:proofErr w:type="spellEnd"/>
      <w:r w:rsidRPr="009C64EB">
        <w:rPr>
          <w:rFonts w:ascii="Times New Roman" w:eastAsia="Times New Roman" w:hAnsi="Times New Roman" w:cs="Times New Roman"/>
          <w:sz w:val="24"/>
          <w:szCs w:val="24"/>
          <w:lang w:val="lt-LT"/>
        </w:rPr>
        <w:t xml:space="preserve">, </w:t>
      </w:r>
      <w:r w:rsidR="00C961F5" w:rsidRPr="009C64EB">
        <w:rPr>
          <w:rFonts w:ascii="Times New Roman" w:eastAsia="Times New Roman" w:hAnsi="Times New Roman" w:cs="Times New Roman"/>
          <w:sz w:val="24"/>
          <w:szCs w:val="24"/>
          <w:lang w:val="lt-LT"/>
        </w:rPr>
        <w:t>Ramūno Gadliausko</w:t>
      </w:r>
      <w:r w:rsidRPr="009C64EB">
        <w:rPr>
          <w:rFonts w:ascii="Times New Roman" w:eastAsia="Times New Roman" w:hAnsi="Times New Roman" w:cs="Times New Roman"/>
          <w:sz w:val="24"/>
          <w:szCs w:val="24"/>
          <w:lang w:val="lt-LT"/>
        </w:rPr>
        <w:t xml:space="preserve">, </w:t>
      </w:r>
      <w:bookmarkStart w:id="0" w:name="_Hlk56686108"/>
      <w:r w:rsidRPr="009C64EB">
        <w:rPr>
          <w:rFonts w:ascii="Times New Roman" w:eastAsia="Times New Roman" w:hAnsi="Times New Roman" w:cs="Times New Roman"/>
          <w:sz w:val="24"/>
          <w:szCs w:val="24"/>
          <w:lang w:val="lt-LT"/>
        </w:rPr>
        <w:t xml:space="preserve">Mildos Vainienės </w:t>
      </w:r>
      <w:bookmarkEnd w:id="0"/>
      <w:r w:rsidRPr="009C64EB">
        <w:rPr>
          <w:rFonts w:ascii="Times New Roman" w:eastAsia="Times New Roman" w:hAnsi="Times New Roman" w:cs="Times New Roman"/>
          <w:sz w:val="24"/>
          <w:szCs w:val="24"/>
          <w:lang w:val="lt-LT"/>
        </w:rPr>
        <w:t xml:space="preserve">(pranešėja), </w:t>
      </w:r>
      <w:bookmarkStart w:id="1" w:name="_Hlk56686134"/>
      <w:r w:rsidRPr="009C64EB">
        <w:rPr>
          <w:rFonts w:ascii="Times New Roman" w:eastAsia="Times New Roman" w:hAnsi="Times New Roman" w:cs="Times New Roman"/>
          <w:sz w:val="24"/>
          <w:szCs w:val="24"/>
          <w:lang w:val="lt-LT"/>
        </w:rPr>
        <w:t xml:space="preserve">Dalios </w:t>
      </w:r>
      <w:proofErr w:type="spellStart"/>
      <w:r w:rsidRPr="009C64EB">
        <w:rPr>
          <w:rFonts w:ascii="Times New Roman" w:eastAsia="Times New Roman" w:hAnsi="Times New Roman" w:cs="Times New Roman"/>
          <w:sz w:val="24"/>
          <w:szCs w:val="24"/>
          <w:lang w:val="lt-LT"/>
        </w:rPr>
        <w:t>Višinskienės</w:t>
      </w:r>
      <w:proofErr w:type="spellEnd"/>
      <w:r w:rsidRPr="009C64EB">
        <w:rPr>
          <w:rFonts w:ascii="Times New Roman" w:eastAsia="Times New Roman" w:hAnsi="Times New Roman" w:cs="Times New Roman"/>
          <w:sz w:val="24"/>
          <w:szCs w:val="24"/>
          <w:lang w:val="lt-LT"/>
        </w:rPr>
        <w:t xml:space="preserve"> </w:t>
      </w:r>
      <w:bookmarkEnd w:id="1"/>
      <w:r w:rsidRPr="009C64EB">
        <w:rPr>
          <w:rFonts w:ascii="Times New Roman" w:eastAsia="Times New Roman" w:hAnsi="Times New Roman" w:cs="Times New Roman"/>
          <w:sz w:val="24"/>
          <w:szCs w:val="24"/>
          <w:lang w:val="lt-LT"/>
        </w:rPr>
        <w:t xml:space="preserve">ir </w:t>
      </w:r>
      <w:bookmarkStart w:id="2" w:name="_Hlk56686159"/>
      <w:r w:rsidRPr="009C64EB">
        <w:rPr>
          <w:rFonts w:ascii="Times New Roman" w:eastAsia="Times New Roman" w:hAnsi="Times New Roman" w:cs="Times New Roman"/>
          <w:sz w:val="24"/>
          <w:szCs w:val="24"/>
          <w:lang w:val="lt-LT"/>
        </w:rPr>
        <w:t>Skirgailės Žalimienės</w:t>
      </w:r>
      <w:bookmarkEnd w:id="2"/>
      <w:r w:rsidRPr="009C64EB">
        <w:rPr>
          <w:rFonts w:ascii="Times New Roman" w:eastAsia="Times New Roman" w:hAnsi="Times New Roman" w:cs="Times New Roman"/>
          <w:sz w:val="24"/>
          <w:szCs w:val="24"/>
          <w:lang w:val="lt-LT"/>
        </w:rPr>
        <w:t xml:space="preserve"> (kolegijos pirmininkė),</w:t>
      </w:r>
    </w:p>
    <w:p w14:paraId="43BCB77C" w14:textId="33ABD884" w:rsidR="00B56117" w:rsidRPr="009C64EB" w:rsidRDefault="00C961F5" w:rsidP="00B56117">
      <w:pPr>
        <w:tabs>
          <w:tab w:val="left" w:pos="993"/>
          <w:tab w:val="left" w:pos="1276"/>
        </w:tabs>
        <w:spacing w:after="0" w:line="240" w:lineRule="auto"/>
        <w:ind w:firstLine="720"/>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s</w:t>
      </w:r>
      <w:r w:rsidR="00B56117" w:rsidRPr="009C64EB">
        <w:rPr>
          <w:rFonts w:ascii="Times New Roman" w:eastAsia="Times New Roman" w:hAnsi="Times New Roman" w:cs="Times New Roman"/>
          <w:sz w:val="24"/>
          <w:szCs w:val="24"/>
          <w:lang w:val="lt-LT"/>
        </w:rPr>
        <w:t>ekretoriaujant</w:t>
      </w:r>
      <w:r w:rsidRPr="009C64EB">
        <w:rPr>
          <w:rFonts w:ascii="Times New Roman" w:eastAsia="Times New Roman" w:hAnsi="Times New Roman" w:cs="Times New Roman"/>
          <w:sz w:val="24"/>
          <w:szCs w:val="24"/>
          <w:lang w:val="lt-LT"/>
        </w:rPr>
        <w:t xml:space="preserve"> Aušrai </w:t>
      </w:r>
      <w:proofErr w:type="spellStart"/>
      <w:r w:rsidRPr="009C64EB">
        <w:rPr>
          <w:rFonts w:ascii="Times New Roman" w:eastAsia="Times New Roman" w:hAnsi="Times New Roman" w:cs="Times New Roman"/>
          <w:sz w:val="24"/>
          <w:szCs w:val="24"/>
          <w:lang w:val="lt-LT"/>
        </w:rPr>
        <w:t>Dzičkanecienei</w:t>
      </w:r>
      <w:proofErr w:type="spellEnd"/>
      <w:r w:rsidRPr="009C64EB">
        <w:rPr>
          <w:rFonts w:ascii="Times New Roman" w:eastAsia="Times New Roman" w:hAnsi="Times New Roman" w:cs="Times New Roman"/>
          <w:sz w:val="24"/>
          <w:szCs w:val="24"/>
          <w:lang w:val="lt-LT"/>
        </w:rPr>
        <w:t>,</w:t>
      </w:r>
    </w:p>
    <w:p w14:paraId="0C7E9734" w14:textId="643FB2D4" w:rsidR="00570B0D" w:rsidRPr="009C64EB" w:rsidRDefault="00B56117" w:rsidP="00570B0D">
      <w:pPr>
        <w:tabs>
          <w:tab w:val="left" w:pos="993"/>
          <w:tab w:val="left" w:pos="1276"/>
        </w:tabs>
        <w:spacing w:after="0" w:line="240" w:lineRule="auto"/>
        <w:ind w:firstLine="720"/>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dalyvaujant pareiškėjų</w:t>
      </w:r>
      <w:r w:rsidR="00570B0D" w:rsidRPr="009C64EB">
        <w:rPr>
          <w:rFonts w:ascii="Times New Roman" w:eastAsia="Times New Roman" w:hAnsi="Times New Roman" w:cs="Times New Roman"/>
          <w:sz w:val="24"/>
          <w:szCs w:val="24"/>
          <w:lang w:val="lt-LT"/>
        </w:rPr>
        <w:t xml:space="preserve"> Lietuvos notarų rūmų, </w:t>
      </w:r>
      <w:bookmarkStart w:id="3" w:name="Buk_74"/>
      <w:bookmarkStart w:id="4" w:name="_Hlk170826177"/>
      <w:r w:rsidR="00756415" w:rsidRPr="00E3423E">
        <w:rPr>
          <w:rFonts w:ascii="Times New Roman" w:eastAsia="Times New Roman" w:hAnsi="Times New Roman" w:cs="Times New Roman"/>
          <w:sz w:val="24"/>
          <w:szCs w:val="24"/>
          <w:lang w:val="lt-LT"/>
        </w:rPr>
        <w:t>M. S.</w:t>
      </w:r>
      <w:bookmarkEnd w:id="3"/>
      <w:r w:rsidR="00570B0D" w:rsidRPr="009C64EB">
        <w:rPr>
          <w:rFonts w:ascii="Times New Roman" w:eastAsia="Times New Roman" w:hAnsi="Times New Roman" w:cs="Times New Roman"/>
          <w:sz w:val="24"/>
          <w:szCs w:val="24"/>
          <w:lang w:val="lt-LT"/>
        </w:rPr>
        <w:t xml:space="preserve">, </w:t>
      </w:r>
      <w:bookmarkStart w:id="5" w:name="Buk_107"/>
      <w:r w:rsidR="00756415" w:rsidRPr="00E3423E">
        <w:rPr>
          <w:rFonts w:ascii="Times New Roman" w:eastAsia="Times New Roman" w:hAnsi="Times New Roman" w:cs="Times New Roman"/>
          <w:sz w:val="24"/>
          <w:szCs w:val="24"/>
          <w:lang w:val="lt-LT"/>
        </w:rPr>
        <w:t>S. Š.</w:t>
      </w:r>
      <w:bookmarkEnd w:id="5"/>
      <w:r w:rsidR="00570B0D" w:rsidRPr="009C64EB">
        <w:rPr>
          <w:rFonts w:ascii="Times New Roman" w:eastAsia="Times New Roman" w:hAnsi="Times New Roman" w:cs="Times New Roman"/>
          <w:sz w:val="24"/>
          <w:szCs w:val="24"/>
          <w:lang w:val="lt-LT"/>
        </w:rPr>
        <w:t xml:space="preserve">, </w:t>
      </w:r>
      <w:bookmarkStart w:id="6" w:name="Buk_47"/>
      <w:r w:rsidR="00756415" w:rsidRPr="00E3423E">
        <w:rPr>
          <w:rFonts w:ascii="Times New Roman" w:eastAsia="Times New Roman" w:hAnsi="Times New Roman" w:cs="Times New Roman"/>
          <w:sz w:val="24"/>
          <w:szCs w:val="24"/>
          <w:lang w:val="lt-LT"/>
        </w:rPr>
        <w:t>D. V.</w:t>
      </w:r>
      <w:bookmarkEnd w:id="6"/>
      <w:r w:rsidR="00570B0D" w:rsidRPr="009C64EB">
        <w:rPr>
          <w:rFonts w:ascii="Times New Roman" w:eastAsia="Times New Roman" w:hAnsi="Times New Roman" w:cs="Times New Roman"/>
          <w:sz w:val="24"/>
          <w:szCs w:val="24"/>
          <w:lang w:val="lt-LT"/>
        </w:rPr>
        <w:t xml:space="preserve">, </w:t>
      </w:r>
      <w:bookmarkStart w:id="7" w:name="Buk_133"/>
      <w:r w:rsidR="00756415" w:rsidRPr="00E3423E">
        <w:rPr>
          <w:rFonts w:ascii="Times New Roman" w:eastAsia="Times New Roman" w:hAnsi="Times New Roman" w:cs="Times New Roman"/>
          <w:sz w:val="24"/>
          <w:szCs w:val="24"/>
          <w:lang w:val="lt-LT"/>
        </w:rPr>
        <w:t>V. P.</w:t>
      </w:r>
      <w:bookmarkEnd w:id="7"/>
      <w:r w:rsidR="00570B0D" w:rsidRPr="009C64EB">
        <w:rPr>
          <w:rFonts w:ascii="Times New Roman" w:eastAsia="Times New Roman" w:hAnsi="Times New Roman" w:cs="Times New Roman"/>
          <w:sz w:val="24"/>
          <w:szCs w:val="24"/>
          <w:lang w:val="lt-LT"/>
        </w:rPr>
        <w:t xml:space="preserve">, </w:t>
      </w:r>
      <w:bookmarkStart w:id="8" w:name="Buk_67"/>
      <w:r w:rsidR="00756415" w:rsidRPr="00E3423E">
        <w:rPr>
          <w:rFonts w:ascii="Times New Roman" w:eastAsia="Times New Roman" w:hAnsi="Times New Roman" w:cs="Times New Roman"/>
          <w:sz w:val="24"/>
          <w:szCs w:val="24"/>
          <w:lang w:val="lt-LT"/>
        </w:rPr>
        <w:t>J. P.</w:t>
      </w:r>
      <w:bookmarkEnd w:id="8"/>
      <w:r w:rsidR="00570B0D" w:rsidRPr="009C64EB">
        <w:rPr>
          <w:rFonts w:ascii="Times New Roman" w:eastAsia="Times New Roman" w:hAnsi="Times New Roman" w:cs="Times New Roman"/>
          <w:sz w:val="24"/>
          <w:szCs w:val="24"/>
          <w:lang w:val="lt-LT"/>
        </w:rPr>
        <w:t xml:space="preserve">, </w:t>
      </w:r>
      <w:bookmarkStart w:id="9" w:name="Buk_40"/>
      <w:r w:rsidR="00756415" w:rsidRPr="00E3423E">
        <w:rPr>
          <w:rFonts w:ascii="Times New Roman" w:eastAsia="Times New Roman" w:hAnsi="Times New Roman" w:cs="Times New Roman"/>
          <w:sz w:val="24"/>
          <w:szCs w:val="24"/>
          <w:lang w:val="lt-LT"/>
        </w:rPr>
        <w:t>D. L.</w:t>
      </w:r>
      <w:bookmarkEnd w:id="9"/>
      <w:r w:rsidR="00665B34">
        <w:rPr>
          <w:rFonts w:ascii="Times New Roman" w:eastAsia="Times New Roman" w:hAnsi="Times New Roman" w:cs="Times New Roman"/>
          <w:sz w:val="24"/>
          <w:szCs w:val="24"/>
          <w:lang w:val="lt-LT"/>
        </w:rPr>
        <w:t>-</w:t>
      </w:r>
      <w:r w:rsidR="00570B0D" w:rsidRPr="009C64EB">
        <w:rPr>
          <w:rFonts w:ascii="Times New Roman" w:eastAsia="Times New Roman" w:hAnsi="Times New Roman" w:cs="Times New Roman"/>
          <w:sz w:val="24"/>
          <w:szCs w:val="24"/>
          <w:lang w:val="lt-LT"/>
        </w:rPr>
        <w:t>B</w:t>
      </w:r>
      <w:r w:rsidR="00756415">
        <w:rPr>
          <w:rFonts w:ascii="Times New Roman" w:eastAsia="Times New Roman" w:hAnsi="Times New Roman" w:cs="Times New Roman"/>
          <w:sz w:val="24"/>
          <w:szCs w:val="24"/>
          <w:lang w:val="lt-LT"/>
        </w:rPr>
        <w:t>.</w:t>
      </w:r>
      <w:r w:rsidR="00570B0D" w:rsidRPr="009C64EB">
        <w:rPr>
          <w:rFonts w:ascii="Times New Roman" w:eastAsia="Times New Roman" w:hAnsi="Times New Roman" w:cs="Times New Roman"/>
          <w:sz w:val="24"/>
          <w:szCs w:val="24"/>
          <w:lang w:val="lt-LT"/>
        </w:rPr>
        <w:t xml:space="preserve">, </w:t>
      </w:r>
      <w:bookmarkStart w:id="10" w:name="Buk_1"/>
      <w:r w:rsidR="00756415" w:rsidRPr="00E3423E">
        <w:rPr>
          <w:rFonts w:ascii="Times New Roman" w:eastAsia="Times New Roman" w:hAnsi="Times New Roman" w:cs="Times New Roman"/>
          <w:sz w:val="24"/>
          <w:szCs w:val="24"/>
          <w:lang w:val="lt-LT"/>
        </w:rPr>
        <w:t xml:space="preserve">D. P. </w:t>
      </w:r>
      <w:bookmarkEnd w:id="10"/>
      <w:r w:rsidR="00570B0D" w:rsidRPr="009C64EB">
        <w:rPr>
          <w:rFonts w:ascii="Times New Roman" w:eastAsia="Times New Roman" w:hAnsi="Times New Roman" w:cs="Times New Roman"/>
          <w:sz w:val="24"/>
          <w:szCs w:val="24"/>
          <w:lang w:val="lt-LT"/>
        </w:rPr>
        <w:t>ir R</w:t>
      </w:r>
      <w:r w:rsidR="00756415">
        <w:rPr>
          <w:rFonts w:ascii="Times New Roman" w:eastAsia="Times New Roman" w:hAnsi="Times New Roman" w:cs="Times New Roman"/>
          <w:sz w:val="24"/>
          <w:szCs w:val="24"/>
          <w:lang w:val="lt-LT"/>
        </w:rPr>
        <w:t>.</w:t>
      </w:r>
      <w:r w:rsidR="00570B0D" w:rsidRPr="009C64EB">
        <w:rPr>
          <w:rFonts w:ascii="Times New Roman" w:eastAsia="Times New Roman" w:hAnsi="Times New Roman" w:cs="Times New Roman"/>
          <w:sz w:val="24"/>
          <w:szCs w:val="24"/>
          <w:lang w:val="lt-LT"/>
        </w:rPr>
        <w:t xml:space="preserve"> </w:t>
      </w:r>
      <w:bookmarkStart w:id="11" w:name="Buk_100"/>
      <w:bookmarkEnd w:id="4"/>
      <w:r w:rsidR="00756415" w:rsidRPr="00E3423E">
        <w:rPr>
          <w:rFonts w:ascii="Times New Roman" w:eastAsia="Times New Roman" w:hAnsi="Times New Roman" w:cs="Times New Roman"/>
          <w:sz w:val="24"/>
          <w:szCs w:val="24"/>
          <w:lang w:val="lt-LT"/>
        </w:rPr>
        <w:t xml:space="preserve">O. I. </w:t>
      </w:r>
      <w:bookmarkEnd w:id="11"/>
      <w:r w:rsidR="00570B0D" w:rsidRPr="009C64EB">
        <w:rPr>
          <w:rFonts w:ascii="Times New Roman" w:eastAsia="Times New Roman" w:hAnsi="Times New Roman" w:cs="Times New Roman"/>
          <w:sz w:val="24"/>
          <w:szCs w:val="24"/>
          <w:lang w:val="lt-LT"/>
        </w:rPr>
        <w:t xml:space="preserve">atstovui advokatui Laurui Butkevičiui, pareiškėjo Lietuvos notarų rūmų atstovams Eglei </w:t>
      </w:r>
      <w:proofErr w:type="spellStart"/>
      <w:r w:rsidR="00570B0D" w:rsidRPr="009C64EB">
        <w:rPr>
          <w:rFonts w:ascii="Times New Roman" w:eastAsia="Times New Roman" w:hAnsi="Times New Roman" w:cs="Times New Roman"/>
          <w:sz w:val="24"/>
          <w:szCs w:val="24"/>
          <w:lang w:val="lt-LT"/>
        </w:rPr>
        <w:t>Čaplinskienei</w:t>
      </w:r>
      <w:proofErr w:type="spellEnd"/>
      <w:r w:rsidR="00570B0D" w:rsidRPr="009C64EB">
        <w:rPr>
          <w:rFonts w:ascii="Times New Roman" w:eastAsia="Times New Roman" w:hAnsi="Times New Roman" w:cs="Times New Roman"/>
          <w:sz w:val="24"/>
          <w:szCs w:val="24"/>
          <w:lang w:val="lt-LT"/>
        </w:rPr>
        <w:t xml:space="preserve">, Sandrai </w:t>
      </w:r>
      <w:proofErr w:type="spellStart"/>
      <w:r w:rsidR="00570B0D" w:rsidRPr="009C64EB">
        <w:rPr>
          <w:rFonts w:ascii="Times New Roman" w:eastAsia="Times New Roman" w:hAnsi="Times New Roman" w:cs="Times New Roman"/>
          <w:sz w:val="24"/>
          <w:szCs w:val="24"/>
          <w:lang w:val="lt-LT"/>
        </w:rPr>
        <w:t>Ražanaitei</w:t>
      </w:r>
      <w:proofErr w:type="spellEnd"/>
      <w:r w:rsidR="00570B0D" w:rsidRPr="009C64EB">
        <w:rPr>
          <w:rFonts w:ascii="Times New Roman" w:eastAsia="Times New Roman" w:hAnsi="Times New Roman" w:cs="Times New Roman"/>
          <w:sz w:val="24"/>
          <w:szCs w:val="24"/>
          <w:lang w:val="lt-LT"/>
        </w:rPr>
        <w:t xml:space="preserve"> ir advokatui </w:t>
      </w:r>
      <w:proofErr w:type="spellStart"/>
      <w:r w:rsidR="00570B0D" w:rsidRPr="009C64EB">
        <w:rPr>
          <w:rFonts w:ascii="Times New Roman" w:eastAsia="Times New Roman" w:hAnsi="Times New Roman" w:cs="Times New Roman"/>
          <w:sz w:val="24"/>
          <w:szCs w:val="24"/>
          <w:lang w:val="lt-LT"/>
        </w:rPr>
        <w:t>Vilenui</w:t>
      </w:r>
      <w:proofErr w:type="spellEnd"/>
      <w:r w:rsidR="00570B0D" w:rsidRPr="009C64EB">
        <w:rPr>
          <w:rFonts w:ascii="Times New Roman" w:eastAsia="Times New Roman" w:hAnsi="Times New Roman" w:cs="Times New Roman"/>
          <w:sz w:val="24"/>
          <w:szCs w:val="24"/>
          <w:lang w:val="lt-LT"/>
        </w:rPr>
        <w:t xml:space="preserve"> Vadapalui,</w:t>
      </w:r>
    </w:p>
    <w:p w14:paraId="2934D229" w14:textId="297D8632" w:rsidR="00B56117" w:rsidRPr="009C64EB" w:rsidRDefault="00B56117" w:rsidP="00B56117">
      <w:pPr>
        <w:tabs>
          <w:tab w:val="left" w:pos="993"/>
          <w:tab w:val="left" w:pos="1276"/>
        </w:tabs>
        <w:spacing w:after="0" w:line="240" w:lineRule="auto"/>
        <w:ind w:firstLine="720"/>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atsakovo </w:t>
      </w:r>
      <w:r w:rsidR="00570B0D" w:rsidRPr="009C64EB">
        <w:rPr>
          <w:rFonts w:ascii="Times New Roman" w:eastAsia="Times New Roman" w:hAnsi="Times New Roman" w:cs="Times New Roman"/>
          <w:sz w:val="24"/>
          <w:szCs w:val="24"/>
          <w:lang w:val="lt-LT"/>
        </w:rPr>
        <w:t xml:space="preserve">Lietuvos Respublikos konkurencijos tarybos atstovėms Eglei Malonytei ir Monikai </w:t>
      </w:r>
      <w:proofErr w:type="spellStart"/>
      <w:r w:rsidR="00570B0D" w:rsidRPr="009C64EB">
        <w:rPr>
          <w:rFonts w:ascii="Times New Roman" w:eastAsia="Times New Roman" w:hAnsi="Times New Roman" w:cs="Times New Roman"/>
          <w:sz w:val="24"/>
          <w:szCs w:val="24"/>
          <w:lang w:val="lt-LT"/>
        </w:rPr>
        <w:t>Dumbrytei</w:t>
      </w:r>
      <w:r w:rsidR="00665B34">
        <w:rPr>
          <w:rFonts w:ascii="Times New Roman" w:eastAsia="Times New Roman" w:hAnsi="Times New Roman" w:cs="Times New Roman"/>
          <w:sz w:val="24"/>
          <w:szCs w:val="24"/>
          <w:lang w:val="lt-LT"/>
        </w:rPr>
        <w:t>-</w:t>
      </w:r>
      <w:r w:rsidR="00570B0D" w:rsidRPr="009C64EB">
        <w:rPr>
          <w:rFonts w:ascii="Times New Roman" w:eastAsia="Times New Roman" w:hAnsi="Times New Roman" w:cs="Times New Roman"/>
          <w:sz w:val="24"/>
          <w:szCs w:val="24"/>
          <w:lang w:val="lt-LT"/>
        </w:rPr>
        <w:t>Ožiūnienei</w:t>
      </w:r>
      <w:proofErr w:type="spellEnd"/>
      <w:r w:rsidR="00570B0D" w:rsidRPr="009C64EB">
        <w:rPr>
          <w:rFonts w:ascii="Times New Roman" w:eastAsia="Times New Roman" w:hAnsi="Times New Roman" w:cs="Times New Roman"/>
          <w:sz w:val="24"/>
          <w:szCs w:val="24"/>
          <w:lang w:val="lt-LT"/>
        </w:rPr>
        <w:t>,</w:t>
      </w:r>
    </w:p>
    <w:p w14:paraId="63F7FE1C" w14:textId="42F907C9" w:rsidR="00570B0D" w:rsidRPr="009C64EB" w:rsidRDefault="00B56117" w:rsidP="00570B0D">
      <w:pPr>
        <w:tabs>
          <w:tab w:val="left" w:pos="993"/>
          <w:tab w:val="left" w:pos="1276"/>
        </w:tabs>
        <w:spacing w:after="0" w:line="240" w:lineRule="auto"/>
        <w:ind w:firstLine="720"/>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trečiojo suinteresuoto asmens </w:t>
      </w:r>
      <w:r w:rsidR="00570B0D" w:rsidRPr="009C64EB">
        <w:rPr>
          <w:rFonts w:ascii="Times New Roman" w:eastAsia="Times New Roman" w:hAnsi="Times New Roman" w:cs="Times New Roman"/>
          <w:sz w:val="24"/>
          <w:szCs w:val="24"/>
          <w:lang w:val="lt-LT"/>
        </w:rPr>
        <w:t xml:space="preserve">Lietuvos Respublikos teisingumo ministerijos atstovams </w:t>
      </w:r>
      <w:proofErr w:type="spellStart"/>
      <w:r w:rsidR="00570B0D" w:rsidRPr="009C64EB">
        <w:rPr>
          <w:rFonts w:ascii="Times New Roman" w:eastAsia="Times New Roman" w:hAnsi="Times New Roman" w:cs="Times New Roman"/>
          <w:sz w:val="24"/>
          <w:szCs w:val="24"/>
          <w:lang w:val="lt-LT"/>
        </w:rPr>
        <w:t>Boženai</w:t>
      </w:r>
      <w:proofErr w:type="spellEnd"/>
      <w:r w:rsidR="00570B0D" w:rsidRPr="009C64EB">
        <w:rPr>
          <w:rFonts w:ascii="Times New Roman" w:eastAsia="Times New Roman" w:hAnsi="Times New Roman" w:cs="Times New Roman"/>
          <w:sz w:val="24"/>
          <w:szCs w:val="24"/>
          <w:lang w:val="lt-LT"/>
        </w:rPr>
        <w:t xml:space="preserve"> Rus ir Ričard</w:t>
      </w:r>
      <w:r w:rsidR="00D83C2D">
        <w:rPr>
          <w:rFonts w:ascii="Times New Roman" w:eastAsia="Times New Roman" w:hAnsi="Times New Roman" w:cs="Times New Roman"/>
          <w:sz w:val="24"/>
          <w:szCs w:val="24"/>
          <w:lang w:val="lt-LT"/>
        </w:rPr>
        <w:t>ui</w:t>
      </w:r>
      <w:r w:rsidR="00570B0D" w:rsidRPr="009C64EB">
        <w:rPr>
          <w:rFonts w:ascii="Times New Roman" w:eastAsia="Times New Roman" w:hAnsi="Times New Roman" w:cs="Times New Roman"/>
          <w:sz w:val="24"/>
          <w:szCs w:val="24"/>
          <w:lang w:val="lt-LT"/>
        </w:rPr>
        <w:t xml:space="preserve"> </w:t>
      </w:r>
      <w:proofErr w:type="spellStart"/>
      <w:r w:rsidR="00570B0D" w:rsidRPr="009C64EB">
        <w:rPr>
          <w:rFonts w:ascii="Times New Roman" w:eastAsia="Times New Roman" w:hAnsi="Times New Roman" w:cs="Times New Roman"/>
          <w:sz w:val="24"/>
          <w:szCs w:val="24"/>
          <w:lang w:val="lt-LT"/>
        </w:rPr>
        <w:t>Dzikovič</w:t>
      </w:r>
      <w:r w:rsidR="00AD5002">
        <w:rPr>
          <w:rFonts w:ascii="Times New Roman" w:eastAsia="Times New Roman" w:hAnsi="Times New Roman" w:cs="Times New Roman"/>
          <w:sz w:val="24"/>
          <w:szCs w:val="24"/>
          <w:lang w:val="lt-LT"/>
        </w:rPr>
        <w:t>iui</w:t>
      </w:r>
      <w:proofErr w:type="spellEnd"/>
      <w:r w:rsidR="00AD5002">
        <w:rPr>
          <w:rFonts w:ascii="Times New Roman" w:eastAsia="Times New Roman" w:hAnsi="Times New Roman" w:cs="Times New Roman"/>
          <w:sz w:val="24"/>
          <w:szCs w:val="24"/>
          <w:lang w:val="lt-LT"/>
        </w:rPr>
        <w:t xml:space="preserve"> (</w:t>
      </w:r>
      <w:proofErr w:type="spellStart"/>
      <w:r w:rsidR="00D83C2D" w:rsidRPr="009C64EB">
        <w:rPr>
          <w:rFonts w:ascii="Times New Roman" w:eastAsia="Times New Roman" w:hAnsi="Times New Roman" w:cs="Times New Roman"/>
          <w:sz w:val="24"/>
          <w:szCs w:val="24"/>
          <w:lang w:val="lt-LT"/>
        </w:rPr>
        <w:t>Ričard</w:t>
      </w:r>
      <w:proofErr w:type="spellEnd"/>
      <w:r w:rsidR="00D83C2D">
        <w:rPr>
          <w:rFonts w:ascii="Times New Roman" w:eastAsia="Times New Roman" w:hAnsi="Times New Roman" w:cs="Times New Roman"/>
          <w:sz w:val="24"/>
          <w:szCs w:val="24"/>
          <w:lang w:val="lt-LT"/>
        </w:rPr>
        <w:t xml:space="preserve"> </w:t>
      </w:r>
      <w:proofErr w:type="spellStart"/>
      <w:r w:rsidR="00AD5002">
        <w:rPr>
          <w:rFonts w:ascii="Times New Roman" w:eastAsia="Times New Roman" w:hAnsi="Times New Roman" w:cs="Times New Roman"/>
          <w:sz w:val="24"/>
          <w:szCs w:val="24"/>
          <w:lang w:val="lt-LT"/>
        </w:rPr>
        <w:t>Dzikovič</w:t>
      </w:r>
      <w:proofErr w:type="spellEnd"/>
      <w:r w:rsidR="00AD5002">
        <w:rPr>
          <w:rFonts w:ascii="Times New Roman" w:eastAsia="Times New Roman" w:hAnsi="Times New Roman" w:cs="Times New Roman"/>
          <w:sz w:val="24"/>
          <w:szCs w:val="24"/>
          <w:lang w:val="lt-LT"/>
        </w:rPr>
        <w:t>)</w:t>
      </w:r>
      <w:r w:rsidR="00570B0D" w:rsidRPr="009C64EB">
        <w:rPr>
          <w:rFonts w:ascii="Times New Roman" w:eastAsia="Times New Roman" w:hAnsi="Times New Roman" w:cs="Times New Roman"/>
          <w:sz w:val="24"/>
          <w:szCs w:val="24"/>
          <w:lang w:val="lt-LT"/>
        </w:rPr>
        <w:t>,</w:t>
      </w:r>
    </w:p>
    <w:p w14:paraId="452760F1" w14:textId="1543EDDA" w:rsidR="00B56117" w:rsidRPr="009C64EB" w:rsidRDefault="00B56117" w:rsidP="00B56117">
      <w:pPr>
        <w:tabs>
          <w:tab w:val="left" w:pos="993"/>
          <w:tab w:val="left" w:pos="1276"/>
        </w:tabs>
        <w:spacing w:after="0" w:line="240" w:lineRule="auto"/>
        <w:ind w:firstLine="720"/>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viešame teismo posėdyje apeliacine žodinio proceso tvarka išnagrinėjo administracinę bylą pagal atsakovo Lietuvos Respublikos konkurencijos tarybos apeliacinį skundą dėl Vilniaus apygardos administracinio teismo 2019 m. vasario 19 d. sprendimo administracinėje byloje pagal pareiškėjų Lietuvos notarų rūmų, </w:t>
      </w:r>
      <w:bookmarkStart w:id="12" w:name="Buk_75"/>
      <w:bookmarkStart w:id="13" w:name="_Hlk58317321"/>
      <w:r w:rsidR="00756415" w:rsidRPr="00E3423E">
        <w:rPr>
          <w:rFonts w:ascii="Times New Roman" w:eastAsia="Times New Roman" w:hAnsi="Times New Roman" w:cs="Times New Roman"/>
          <w:sz w:val="24"/>
          <w:szCs w:val="24"/>
          <w:lang w:val="lt-LT"/>
        </w:rPr>
        <w:t>M. S.</w:t>
      </w:r>
      <w:bookmarkEnd w:id="12"/>
      <w:r w:rsidRPr="009C64EB">
        <w:rPr>
          <w:rFonts w:ascii="Times New Roman" w:eastAsia="Times New Roman" w:hAnsi="Times New Roman" w:cs="Times New Roman"/>
          <w:sz w:val="24"/>
          <w:szCs w:val="24"/>
          <w:lang w:val="lt-LT"/>
        </w:rPr>
        <w:t xml:space="preserve">, </w:t>
      </w:r>
      <w:bookmarkStart w:id="14" w:name="Buk_108"/>
      <w:r w:rsidR="00756415" w:rsidRPr="00E3423E">
        <w:rPr>
          <w:rFonts w:ascii="Times New Roman" w:eastAsia="Times New Roman" w:hAnsi="Times New Roman" w:cs="Times New Roman"/>
          <w:sz w:val="24"/>
          <w:szCs w:val="24"/>
          <w:lang w:val="lt-LT"/>
        </w:rPr>
        <w:t>S. Š.</w:t>
      </w:r>
      <w:bookmarkEnd w:id="14"/>
      <w:r w:rsidRPr="009C64EB">
        <w:rPr>
          <w:rFonts w:ascii="Times New Roman" w:eastAsia="Times New Roman" w:hAnsi="Times New Roman" w:cs="Times New Roman"/>
          <w:sz w:val="24"/>
          <w:szCs w:val="24"/>
          <w:lang w:val="lt-LT"/>
        </w:rPr>
        <w:t xml:space="preserve">, </w:t>
      </w:r>
      <w:bookmarkStart w:id="15" w:name="Buk_48"/>
      <w:r w:rsidR="00756415" w:rsidRPr="00E3423E">
        <w:rPr>
          <w:rFonts w:ascii="Times New Roman" w:eastAsia="Times New Roman" w:hAnsi="Times New Roman" w:cs="Times New Roman"/>
          <w:sz w:val="24"/>
          <w:szCs w:val="24"/>
          <w:lang w:val="lt-LT"/>
        </w:rPr>
        <w:t>D. V.</w:t>
      </w:r>
      <w:bookmarkEnd w:id="15"/>
      <w:r w:rsidRPr="009C64EB">
        <w:rPr>
          <w:rFonts w:ascii="Times New Roman" w:eastAsia="Times New Roman" w:hAnsi="Times New Roman" w:cs="Times New Roman"/>
          <w:sz w:val="24"/>
          <w:szCs w:val="24"/>
          <w:lang w:val="lt-LT"/>
        </w:rPr>
        <w:t xml:space="preserve">, </w:t>
      </w:r>
      <w:bookmarkStart w:id="16" w:name="Buk_134"/>
      <w:r w:rsidR="00756415" w:rsidRPr="00E3423E">
        <w:rPr>
          <w:rFonts w:ascii="Times New Roman" w:eastAsia="Times New Roman" w:hAnsi="Times New Roman" w:cs="Times New Roman"/>
          <w:sz w:val="24"/>
          <w:szCs w:val="24"/>
          <w:lang w:val="lt-LT"/>
        </w:rPr>
        <w:t>V. P.</w:t>
      </w:r>
      <w:bookmarkEnd w:id="16"/>
      <w:r w:rsidRPr="009C64EB">
        <w:rPr>
          <w:rFonts w:ascii="Times New Roman" w:eastAsia="Times New Roman" w:hAnsi="Times New Roman" w:cs="Times New Roman"/>
          <w:sz w:val="24"/>
          <w:szCs w:val="24"/>
          <w:lang w:val="lt-LT"/>
        </w:rPr>
        <w:t xml:space="preserve">, </w:t>
      </w:r>
      <w:bookmarkStart w:id="17" w:name="Buk_68"/>
      <w:r w:rsidR="00756415" w:rsidRPr="00E3423E">
        <w:rPr>
          <w:rFonts w:ascii="Times New Roman" w:eastAsia="Times New Roman" w:hAnsi="Times New Roman" w:cs="Times New Roman"/>
          <w:sz w:val="24"/>
          <w:szCs w:val="24"/>
          <w:lang w:val="lt-LT"/>
        </w:rPr>
        <w:t>J. P.</w:t>
      </w:r>
      <w:bookmarkEnd w:id="17"/>
      <w:r w:rsidRPr="009C64EB">
        <w:rPr>
          <w:rFonts w:ascii="Times New Roman" w:eastAsia="Times New Roman" w:hAnsi="Times New Roman" w:cs="Times New Roman"/>
          <w:sz w:val="24"/>
          <w:szCs w:val="24"/>
          <w:lang w:val="lt-LT"/>
        </w:rPr>
        <w:t xml:space="preserve">, </w:t>
      </w:r>
      <w:bookmarkStart w:id="18" w:name="Buk_41"/>
      <w:r w:rsidR="00756415" w:rsidRPr="00E3423E">
        <w:rPr>
          <w:rFonts w:ascii="Times New Roman" w:eastAsia="Times New Roman" w:hAnsi="Times New Roman" w:cs="Times New Roman"/>
          <w:sz w:val="24"/>
          <w:szCs w:val="24"/>
          <w:lang w:val="lt-LT"/>
        </w:rPr>
        <w:t>D. L.</w:t>
      </w:r>
      <w:bookmarkEnd w:id="18"/>
      <w:r w:rsidRPr="009C64EB">
        <w:rPr>
          <w:rFonts w:ascii="Times New Roman" w:eastAsia="Times New Roman" w:hAnsi="Times New Roman" w:cs="Times New Roman"/>
          <w:sz w:val="24"/>
          <w:szCs w:val="24"/>
          <w:lang w:val="lt-LT"/>
        </w:rPr>
        <w:t>-B</w:t>
      </w:r>
      <w:r w:rsidR="00756415">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w:t>
      </w:r>
      <w:bookmarkStart w:id="19" w:name="Buk_2"/>
      <w:r w:rsidR="00756415" w:rsidRPr="00E3423E">
        <w:rPr>
          <w:rFonts w:ascii="Times New Roman" w:eastAsia="Times New Roman" w:hAnsi="Times New Roman" w:cs="Times New Roman"/>
          <w:sz w:val="24"/>
          <w:szCs w:val="24"/>
          <w:lang w:val="lt-LT"/>
        </w:rPr>
        <w:t xml:space="preserve">D. P. </w:t>
      </w:r>
      <w:bookmarkEnd w:id="19"/>
      <w:r w:rsidRPr="009C64EB">
        <w:rPr>
          <w:rFonts w:ascii="Times New Roman" w:eastAsia="Times New Roman" w:hAnsi="Times New Roman" w:cs="Times New Roman"/>
          <w:sz w:val="24"/>
          <w:szCs w:val="24"/>
          <w:lang w:val="lt-LT"/>
        </w:rPr>
        <w:t>ir R</w:t>
      </w:r>
      <w:r w:rsidR="00756415">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w:t>
      </w:r>
      <w:bookmarkStart w:id="20" w:name="Buk_101"/>
      <w:bookmarkEnd w:id="13"/>
      <w:r w:rsidR="00756415" w:rsidRPr="00E3423E">
        <w:rPr>
          <w:rFonts w:ascii="Times New Roman" w:eastAsia="Times New Roman" w:hAnsi="Times New Roman" w:cs="Times New Roman"/>
          <w:sz w:val="24"/>
          <w:szCs w:val="24"/>
          <w:lang w:val="lt-LT"/>
        </w:rPr>
        <w:t xml:space="preserve">O. I. </w:t>
      </w:r>
      <w:bookmarkEnd w:id="20"/>
      <w:r w:rsidRPr="009C64EB">
        <w:rPr>
          <w:rFonts w:ascii="Times New Roman" w:eastAsia="Times New Roman" w:hAnsi="Times New Roman" w:cs="Times New Roman"/>
          <w:sz w:val="24"/>
          <w:szCs w:val="24"/>
          <w:lang w:val="lt-LT"/>
        </w:rPr>
        <w:t xml:space="preserve">skundą atsakovui </w:t>
      </w:r>
      <w:bookmarkStart w:id="21" w:name="_Hlk15288792"/>
      <w:r w:rsidRPr="009C64EB">
        <w:rPr>
          <w:rFonts w:ascii="Times New Roman" w:eastAsia="Times New Roman" w:hAnsi="Times New Roman" w:cs="Times New Roman"/>
          <w:sz w:val="24"/>
          <w:szCs w:val="24"/>
          <w:lang w:val="lt-LT"/>
        </w:rPr>
        <w:t>Lietuvos Respublikos konkurencijos tarybai</w:t>
      </w:r>
      <w:bookmarkEnd w:id="21"/>
      <w:r w:rsidR="00D85FD8">
        <w:rPr>
          <w:rFonts w:ascii="Times New Roman" w:eastAsia="Times New Roman" w:hAnsi="Times New Roman" w:cs="Times New Roman"/>
          <w:sz w:val="24"/>
          <w:szCs w:val="24"/>
          <w:lang w:val="lt-LT"/>
        </w:rPr>
        <w:t xml:space="preserve"> (</w:t>
      </w:r>
      <w:r w:rsidRPr="009C64EB">
        <w:rPr>
          <w:rFonts w:ascii="Times New Roman" w:eastAsia="Times New Roman" w:hAnsi="Times New Roman" w:cs="Times New Roman"/>
          <w:sz w:val="24"/>
          <w:szCs w:val="24"/>
          <w:lang w:val="lt-LT"/>
        </w:rPr>
        <w:t>tretie</w:t>
      </w:r>
      <w:r w:rsidR="00D85FD8">
        <w:rPr>
          <w:rFonts w:ascii="Times New Roman" w:eastAsia="Times New Roman" w:hAnsi="Times New Roman" w:cs="Times New Roman"/>
          <w:sz w:val="24"/>
          <w:szCs w:val="24"/>
          <w:lang w:val="lt-LT"/>
        </w:rPr>
        <w:t xml:space="preserve">ji </w:t>
      </w:r>
      <w:r w:rsidRPr="009C64EB">
        <w:rPr>
          <w:rFonts w:ascii="Times New Roman" w:eastAsia="Times New Roman" w:hAnsi="Times New Roman" w:cs="Times New Roman"/>
          <w:sz w:val="24"/>
          <w:szCs w:val="24"/>
          <w:lang w:val="lt-LT"/>
        </w:rPr>
        <w:t>suinteresuoti asmen</w:t>
      </w:r>
      <w:r w:rsidR="00D85FD8">
        <w:rPr>
          <w:rFonts w:ascii="Times New Roman" w:eastAsia="Times New Roman" w:hAnsi="Times New Roman" w:cs="Times New Roman"/>
          <w:sz w:val="24"/>
          <w:szCs w:val="24"/>
          <w:lang w:val="lt-LT"/>
        </w:rPr>
        <w:t>ys</w:t>
      </w:r>
      <w:r w:rsidRPr="009C64EB">
        <w:rPr>
          <w:rFonts w:ascii="Times New Roman" w:eastAsia="Times New Roman" w:hAnsi="Times New Roman" w:cs="Times New Roman"/>
          <w:sz w:val="24"/>
          <w:szCs w:val="24"/>
          <w:lang w:val="lt-LT"/>
        </w:rPr>
        <w:t xml:space="preserve"> – Lietuvos Respublikos teisingumo ministerija ir Lietuvos Respublikos finansų ministerija</w:t>
      </w:r>
      <w:r w:rsidR="00D85FD8">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dėl nutarimo </w:t>
      </w:r>
      <w:r w:rsidR="00E05E82" w:rsidRPr="00573716">
        <w:rPr>
          <w:rFonts w:ascii="Times New Roman" w:eastAsia="Times New Roman" w:hAnsi="Times New Roman" w:cs="Times New Roman"/>
          <w:sz w:val="24"/>
          <w:szCs w:val="24"/>
          <w:lang w:val="lt-LT"/>
        </w:rPr>
        <w:t>dalies</w:t>
      </w:r>
      <w:r w:rsidR="00E05E82">
        <w:rPr>
          <w:rFonts w:ascii="Times New Roman" w:eastAsia="Times New Roman" w:hAnsi="Times New Roman" w:cs="Times New Roman"/>
          <w:sz w:val="24"/>
          <w:szCs w:val="24"/>
          <w:lang w:val="lt-LT"/>
        </w:rPr>
        <w:t xml:space="preserve"> </w:t>
      </w:r>
      <w:r w:rsidRPr="009C64EB">
        <w:rPr>
          <w:rFonts w:ascii="Times New Roman" w:eastAsia="Times New Roman" w:hAnsi="Times New Roman" w:cs="Times New Roman"/>
          <w:sz w:val="24"/>
          <w:szCs w:val="24"/>
          <w:lang w:val="lt-LT"/>
        </w:rPr>
        <w:t>panaikinimo.</w:t>
      </w:r>
    </w:p>
    <w:p w14:paraId="12BED658" w14:textId="77777777" w:rsidR="00B56117" w:rsidRPr="009C64EB" w:rsidRDefault="00B56117" w:rsidP="00B56117">
      <w:pPr>
        <w:tabs>
          <w:tab w:val="left" w:pos="993"/>
          <w:tab w:val="left" w:pos="1276"/>
        </w:tabs>
        <w:spacing w:after="0" w:line="240" w:lineRule="auto"/>
        <w:ind w:firstLine="720"/>
        <w:jc w:val="both"/>
        <w:rPr>
          <w:rFonts w:ascii="Times New Roman" w:eastAsia="Times New Roman" w:hAnsi="Times New Roman" w:cs="Times New Roman"/>
          <w:sz w:val="24"/>
          <w:szCs w:val="24"/>
          <w:lang w:val="lt-LT"/>
        </w:rPr>
      </w:pPr>
    </w:p>
    <w:p w14:paraId="3E31AAD0" w14:textId="77777777" w:rsidR="00B56117" w:rsidRPr="009C64EB" w:rsidRDefault="00B56117" w:rsidP="00B56117">
      <w:pPr>
        <w:tabs>
          <w:tab w:val="left" w:pos="993"/>
          <w:tab w:val="left" w:pos="1276"/>
        </w:tabs>
        <w:spacing w:after="0" w:line="240" w:lineRule="auto"/>
        <w:ind w:firstLine="720"/>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Išplėstinė teisėjų kolegija</w:t>
      </w:r>
    </w:p>
    <w:p w14:paraId="1272B3EC" w14:textId="77777777" w:rsidR="00B56117" w:rsidRPr="009C64EB" w:rsidRDefault="00B56117" w:rsidP="00B56117">
      <w:pPr>
        <w:tabs>
          <w:tab w:val="left" w:pos="993"/>
          <w:tab w:val="left" w:pos="1276"/>
        </w:tabs>
        <w:spacing w:after="0" w:line="240" w:lineRule="auto"/>
        <w:ind w:firstLine="720"/>
        <w:jc w:val="both"/>
        <w:rPr>
          <w:rFonts w:ascii="Times New Roman" w:eastAsia="Times New Roman" w:hAnsi="Times New Roman" w:cs="Times New Roman"/>
          <w:sz w:val="24"/>
          <w:szCs w:val="24"/>
          <w:lang w:val="lt-LT"/>
        </w:rPr>
      </w:pPr>
    </w:p>
    <w:p w14:paraId="556D2DB7" w14:textId="77777777" w:rsidR="00B56117" w:rsidRPr="009C64EB" w:rsidRDefault="00B56117" w:rsidP="00B56117">
      <w:pPr>
        <w:tabs>
          <w:tab w:val="left" w:pos="993"/>
          <w:tab w:val="left" w:pos="1276"/>
        </w:tabs>
        <w:spacing w:after="0" w:line="240" w:lineRule="auto"/>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n u s t a t ė:</w:t>
      </w:r>
    </w:p>
    <w:p w14:paraId="587F9C2C" w14:textId="77777777" w:rsidR="00B56117" w:rsidRPr="009C64EB" w:rsidRDefault="00B56117" w:rsidP="00B56117">
      <w:pPr>
        <w:tabs>
          <w:tab w:val="left" w:pos="993"/>
          <w:tab w:val="left" w:pos="1276"/>
        </w:tabs>
        <w:spacing w:after="0" w:line="240" w:lineRule="auto"/>
        <w:ind w:firstLine="720"/>
        <w:jc w:val="both"/>
        <w:rPr>
          <w:rFonts w:ascii="Times New Roman" w:eastAsia="Times New Roman" w:hAnsi="Times New Roman" w:cs="Times New Roman"/>
          <w:sz w:val="24"/>
          <w:szCs w:val="24"/>
          <w:lang w:val="lt-LT"/>
        </w:rPr>
      </w:pPr>
    </w:p>
    <w:p w14:paraId="329723E5" w14:textId="77777777" w:rsidR="00B56117" w:rsidRPr="009C64EB" w:rsidRDefault="00B56117" w:rsidP="00B56117">
      <w:pPr>
        <w:tabs>
          <w:tab w:val="left" w:pos="993"/>
          <w:tab w:val="left" w:pos="1134"/>
        </w:tabs>
        <w:spacing w:after="0" w:line="240" w:lineRule="auto"/>
        <w:ind w:firstLine="720"/>
        <w:jc w:val="center"/>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I.</w:t>
      </w:r>
    </w:p>
    <w:p w14:paraId="6B48CED9" w14:textId="77777777" w:rsidR="00B56117" w:rsidRPr="009C64EB" w:rsidRDefault="00B56117" w:rsidP="00B56117">
      <w:pPr>
        <w:tabs>
          <w:tab w:val="left" w:pos="993"/>
          <w:tab w:val="left" w:pos="1134"/>
        </w:tabs>
        <w:spacing w:after="0" w:line="240" w:lineRule="auto"/>
        <w:ind w:firstLine="720"/>
        <w:jc w:val="center"/>
        <w:rPr>
          <w:rFonts w:ascii="Times New Roman" w:eastAsia="Times New Roman" w:hAnsi="Times New Roman" w:cs="Times New Roman"/>
          <w:sz w:val="24"/>
          <w:szCs w:val="24"/>
          <w:lang w:val="lt-LT"/>
        </w:rPr>
      </w:pPr>
    </w:p>
    <w:p w14:paraId="63343FAF" w14:textId="712044A6"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Pareiškėjai Lietuvos notarų rūmai, </w:t>
      </w:r>
      <w:bookmarkStart w:id="22" w:name="Buk_82"/>
      <w:bookmarkStart w:id="23" w:name="_Hlk58317359"/>
      <w:r w:rsidR="00756415" w:rsidRPr="00E3423E">
        <w:rPr>
          <w:rFonts w:ascii="Times New Roman" w:eastAsia="Times New Roman" w:hAnsi="Times New Roman" w:cs="Times New Roman"/>
          <w:sz w:val="24"/>
          <w:szCs w:val="24"/>
          <w:lang w:val="lt-LT"/>
        </w:rPr>
        <w:t>M. S.</w:t>
      </w:r>
      <w:bookmarkEnd w:id="22"/>
      <w:r w:rsidRPr="009C64EB">
        <w:rPr>
          <w:rFonts w:ascii="Times New Roman" w:eastAsia="Times New Roman" w:hAnsi="Times New Roman" w:cs="Times New Roman"/>
          <w:sz w:val="24"/>
          <w:szCs w:val="24"/>
          <w:lang w:val="lt-LT"/>
        </w:rPr>
        <w:t xml:space="preserve">, </w:t>
      </w:r>
      <w:bookmarkStart w:id="24" w:name="Buk_109"/>
      <w:r w:rsidR="00756415" w:rsidRPr="00E3423E">
        <w:rPr>
          <w:rFonts w:ascii="Times New Roman" w:eastAsia="Times New Roman" w:hAnsi="Times New Roman" w:cs="Times New Roman"/>
          <w:sz w:val="24"/>
          <w:szCs w:val="24"/>
          <w:lang w:val="lt-LT"/>
        </w:rPr>
        <w:t>S. Š.</w:t>
      </w:r>
      <w:bookmarkEnd w:id="24"/>
      <w:r w:rsidRPr="009C64EB">
        <w:rPr>
          <w:rFonts w:ascii="Times New Roman" w:eastAsia="Times New Roman" w:hAnsi="Times New Roman" w:cs="Times New Roman"/>
          <w:sz w:val="24"/>
          <w:szCs w:val="24"/>
          <w:lang w:val="lt-LT"/>
        </w:rPr>
        <w:t xml:space="preserve">, </w:t>
      </w:r>
      <w:bookmarkStart w:id="25" w:name="Buk_28"/>
      <w:r w:rsidR="00756415" w:rsidRPr="00E3423E">
        <w:rPr>
          <w:rFonts w:ascii="Times New Roman" w:eastAsia="Times New Roman" w:hAnsi="Times New Roman" w:cs="Times New Roman"/>
          <w:sz w:val="24"/>
          <w:szCs w:val="24"/>
          <w:lang w:val="lt-LT"/>
        </w:rPr>
        <w:t>D. V.</w:t>
      </w:r>
      <w:bookmarkEnd w:id="25"/>
      <w:r w:rsidRPr="009C64EB">
        <w:rPr>
          <w:rFonts w:ascii="Times New Roman" w:eastAsia="Times New Roman" w:hAnsi="Times New Roman" w:cs="Times New Roman"/>
          <w:sz w:val="24"/>
          <w:szCs w:val="24"/>
          <w:lang w:val="lt-LT"/>
        </w:rPr>
        <w:t xml:space="preserve">, </w:t>
      </w:r>
      <w:bookmarkStart w:id="26" w:name="Buk_122"/>
      <w:r w:rsidR="00756415" w:rsidRPr="00E3423E">
        <w:rPr>
          <w:rFonts w:ascii="Times New Roman" w:eastAsia="Times New Roman" w:hAnsi="Times New Roman" w:cs="Times New Roman"/>
          <w:sz w:val="24"/>
          <w:szCs w:val="24"/>
          <w:lang w:val="lt-LT"/>
        </w:rPr>
        <w:t>V. P.</w:t>
      </w:r>
      <w:bookmarkEnd w:id="26"/>
      <w:r w:rsidRPr="009C64EB">
        <w:rPr>
          <w:rFonts w:ascii="Times New Roman" w:eastAsia="Times New Roman" w:hAnsi="Times New Roman" w:cs="Times New Roman"/>
          <w:sz w:val="24"/>
          <w:szCs w:val="24"/>
          <w:lang w:val="lt-LT"/>
        </w:rPr>
        <w:t xml:space="preserve">, </w:t>
      </w:r>
      <w:bookmarkStart w:id="27" w:name="Buk_56"/>
      <w:r w:rsidR="00756415" w:rsidRPr="00E3423E">
        <w:rPr>
          <w:rFonts w:ascii="Times New Roman" w:eastAsia="Times New Roman" w:hAnsi="Times New Roman" w:cs="Times New Roman"/>
          <w:sz w:val="24"/>
          <w:szCs w:val="24"/>
          <w:lang w:val="lt-LT"/>
        </w:rPr>
        <w:t>J. P.</w:t>
      </w:r>
      <w:bookmarkEnd w:id="27"/>
      <w:r w:rsidRPr="009C64EB">
        <w:rPr>
          <w:rFonts w:ascii="Times New Roman" w:eastAsia="Times New Roman" w:hAnsi="Times New Roman" w:cs="Times New Roman"/>
          <w:sz w:val="24"/>
          <w:szCs w:val="24"/>
          <w:lang w:val="lt-LT"/>
        </w:rPr>
        <w:t xml:space="preserve">, </w:t>
      </w:r>
      <w:bookmarkStart w:id="28" w:name="Buk_16"/>
      <w:r w:rsidR="00756415" w:rsidRPr="00E3423E">
        <w:rPr>
          <w:rFonts w:ascii="Times New Roman" w:eastAsia="Times New Roman" w:hAnsi="Times New Roman" w:cs="Times New Roman"/>
          <w:sz w:val="24"/>
          <w:szCs w:val="24"/>
          <w:lang w:val="lt-LT"/>
        </w:rPr>
        <w:t>D. L.</w:t>
      </w:r>
      <w:bookmarkEnd w:id="28"/>
      <w:r w:rsidRPr="009C64EB">
        <w:rPr>
          <w:rFonts w:ascii="Times New Roman" w:eastAsia="Times New Roman" w:hAnsi="Times New Roman" w:cs="Times New Roman"/>
          <w:sz w:val="24"/>
          <w:szCs w:val="24"/>
          <w:lang w:val="lt-LT"/>
        </w:rPr>
        <w:t>-B</w:t>
      </w:r>
      <w:r w:rsidR="00756415">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w:t>
      </w:r>
      <w:bookmarkStart w:id="29" w:name="Buk_9"/>
      <w:r w:rsidR="00756415" w:rsidRPr="00E3423E">
        <w:rPr>
          <w:rFonts w:ascii="Times New Roman" w:eastAsia="Times New Roman" w:hAnsi="Times New Roman" w:cs="Times New Roman"/>
          <w:sz w:val="24"/>
          <w:szCs w:val="24"/>
          <w:lang w:val="lt-LT"/>
        </w:rPr>
        <w:t xml:space="preserve">D. P. </w:t>
      </w:r>
      <w:bookmarkEnd w:id="29"/>
      <w:r w:rsidRPr="009C64EB">
        <w:rPr>
          <w:rFonts w:ascii="Times New Roman" w:eastAsia="Times New Roman" w:hAnsi="Times New Roman" w:cs="Times New Roman"/>
          <w:sz w:val="24"/>
          <w:szCs w:val="24"/>
          <w:lang w:val="lt-LT"/>
        </w:rPr>
        <w:t>ir R</w:t>
      </w:r>
      <w:r w:rsidR="00756415">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w:t>
      </w:r>
      <w:bookmarkStart w:id="30" w:name="Buk_89"/>
      <w:bookmarkEnd w:id="23"/>
      <w:r w:rsidR="00756415" w:rsidRPr="00E3423E">
        <w:rPr>
          <w:rFonts w:ascii="Times New Roman" w:eastAsia="Times New Roman" w:hAnsi="Times New Roman" w:cs="Times New Roman"/>
          <w:sz w:val="24"/>
          <w:szCs w:val="24"/>
          <w:lang w:val="lt-LT"/>
        </w:rPr>
        <w:t xml:space="preserve">O. I. </w:t>
      </w:r>
      <w:bookmarkEnd w:id="30"/>
      <w:r w:rsidRPr="009C64EB">
        <w:rPr>
          <w:rFonts w:ascii="Times New Roman" w:eastAsia="Times New Roman" w:hAnsi="Times New Roman" w:cs="Times New Roman"/>
          <w:sz w:val="24"/>
          <w:szCs w:val="24"/>
          <w:lang w:val="lt-LT"/>
        </w:rPr>
        <w:t xml:space="preserve">(toliau – ir pareiškėjai) kreipėsi į teismą su skundu, prašydami panaikinti </w:t>
      </w:r>
      <w:bookmarkStart w:id="31" w:name="_Hlk170826220"/>
      <w:bookmarkStart w:id="32" w:name="_Hlk58315108"/>
      <w:r w:rsidRPr="009C64EB">
        <w:rPr>
          <w:rFonts w:ascii="Times New Roman" w:eastAsia="Times New Roman" w:hAnsi="Times New Roman" w:cs="Times New Roman"/>
          <w:sz w:val="24"/>
          <w:szCs w:val="24"/>
          <w:lang w:val="lt-LT" w:eastAsia="lt-LT"/>
        </w:rPr>
        <w:t xml:space="preserve">Lietuvos Respublikos konkurencijos tarybos (toliau – ir </w:t>
      </w:r>
      <w:r w:rsidR="002226DE">
        <w:rPr>
          <w:rFonts w:ascii="Times New Roman" w:eastAsia="Times New Roman" w:hAnsi="Times New Roman" w:cs="Times New Roman"/>
          <w:sz w:val="24"/>
          <w:szCs w:val="24"/>
          <w:lang w:val="lt-LT" w:eastAsia="lt-LT"/>
        </w:rPr>
        <w:t xml:space="preserve">Konkurencijos taryba, </w:t>
      </w:r>
      <w:r w:rsidRPr="009C64EB">
        <w:rPr>
          <w:rFonts w:ascii="Times New Roman" w:eastAsia="Times New Roman" w:hAnsi="Times New Roman" w:cs="Times New Roman"/>
          <w:sz w:val="24"/>
          <w:szCs w:val="24"/>
          <w:lang w:val="lt-LT" w:eastAsia="lt-LT"/>
        </w:rPr>
        <w:t>Taryba</w:t>
      </w:r>
      <w:r w:rsidR="003257EA">
        <w:rPr>
          <w:rFonts w:ascii="Times New Roman" w:eastAsia="Times New Roman" w:hAnsi="Times New Roman" w:cs="Times New Roman"/>
          <w:sz w:val="24"/>
          <w:szCs w:val="24"/>
          <w:lang w:val="lt-LT" w:eastAsia="lt-LT"/>
        </w:rPr>
        <w:t>, atsakovas</w:t>
      </w:r>
      <w:r w:rsidRPr="009C64EB">
        <w:rPr>
          <w:rFonts w:ascii="Times New Roman" w:eastAsia="Times New Roman" w:hAnsi="Times New Roman" w:cs="Times New Roman"/>
          <w:sz w:val="24"/>
          <w:szCs w:val="24"/>
          <w:lang w:val="lt-LT" w:eastAsia="lt-LT"/>
        </w:rPr>
        <w:t>) 2018</w:t>
      </w:r>
      <w:r w:rsidR="001F5EE7">
        <w:rPr>
          <w:rFonts w:ascii="Times New Roman" w:eastAsia="Times New Roman" w:hAnsi="Times New Roman" w:cs="Times New Roman"/>
          <w:sz w:val="24"/>
          <w:szCs w:val="24"/>
          <w:lang w:val="lt-LT" w:eastAsia="lt-LT"/>
        </w:rPr>
        <w:t> </w:t>
      </w:r>
      <w:r w:rsidRPr="009C64EB">
        <w:rPr>
          <w:rFonts w:ascii="Times New Roman" w:eastAsia="Times New Roman" w:hAnsi="Times New Roman" w:cs="Times New Roman"/>
          <w:sz w:val="24"/>
          <w:szCs w:val="24"/>
          <w:lang w:val="lt-LT" w:eastAsia="lt-LT"/>
        </w:rPr>
        <w:t xml:space="preserve">m. balandžio 26 d. nutarimo Nr. 2S-2(2018) „Dėl Lietuvos notarų rūmų ir notarų veiksmų atitikties Lietuvos Respublikos konkurencijos įstatymo 5 straipsnio ir Sutarties dėl Europos Sąjungos veikimo 101 straipsnio </w:t>
      </w:r>
      <w:r w:rsidRPr="009C64EB">
        <w:rPr>
          <w:rFonts w:ascii="Times New Roman" w:eastAsia="Times New Roman" w:hAnsi="Times New Roman" w:cs="Times New Roman"/>
          <w:sz w:val="24"/>
          <w:szCs w:val="24"/>
          <w:lang w:val="lt-LT" w:eastAsia="lt-LT"/>
        </w:rPr>
        <w:lastRenderedPageBreak/>
        <w:t xml:space="preserve">reikalavimams“ </w:t>
      </w:r>
      <w:bookmarkEnd w:id="31"/>
      <w:r w:rsidRPr="009C64EB">
        <w:rPr>
          <w:rFonts w:ascii="Times New Roman" w:eastAsia="Times New Roman" w:hAnsi="Times New Roman" w:cs="Times New Roman"/>
          <w:sz w:val="24"/>
          <w:szCs w:val="24"/>
          <w:lang w:val="lt-LT" w:eastAsia="lt-LT"/>
        </w:rPr>
        <w:t xml:space="preserve">(toliau – ir Nutarimas) </w:t>
      </w:r>
      <w:r w:rsidRPr="009C64EB">
        <w:rPr>
          <w:rFonts w:ascii="Times New Roman" w:eastAsia="Times New Roman" w:hAnsi="Times New Roman" w:cs="Times New Roman"/>
          <w:sz w:val="24"/>
          <w:szCs w:val="24"/>
          <w:lang w:val="lt-LT"/>
        </w:rPr>
        <w:t xml:space="preserve">rezoliucinės dalies 1, 2 ir 3 punktus, kuriais pareiškėjai pripažinti pažeidę </w:t>
      </w:r>
      <w:r w:rsidRPr="009C64EB">
        <w:rPr>
          <w:rFonts w:ascii="Times New Roman" w:eastAsia="Times New Roman" w:hAnsi="Times New Roman" w:cs="Times New Roman"/>
          <w:sz w:val="24"/>
          <w:szCs w:val="24"/>
          <w:lang w:val="lt-LT" w:eastAsia="lt-LT"/>
        </w:rPr>
        <w:t xml:space="preserve">Lietuvos Respublikos konkurencijos įstatymo (toliau – ir Konkurencijos įstatymas) </w:t>
      </w:r>
      <w:r w:rsidRPr="009C64EB">
        <w:rPr>
          <w:rFonts w:ascii="Times New Roman" w:eastAsia="Times New Roman" w:hAnsi="Times New Roman" w:cs="Times New Roman"/>
          <w:sz w:val="24"/>
          <w:szCs w:val="24"/>
          <w:lang w:val="lt-LT"/>
        </w:rPr>
        <w:t xml:space="preserve">5 straipsnio 1 dalies 1 punkto ir </w:t>
      </w:r>
      <w:r w:rsidRPr="009C64EB">
        <w:rPr>
          <w:rFonts w:ascii="Times New Roman" w:eastAsia="Times New Roman" w:hAnsi="Times New Roman" w:cs="Times New Roman"/>
          <w:sz w:val="24"/>
          <w:szCs w:val="24"/>
          <w:lang w:val="lt-LT" w:eastAsia="lt-LT"/>
        </w:rPr>
        <w:t>Sutarties dėl Europos Sąjungos veikimo (toliau – ir SESV)</w:t>
      </w:r>
      <w:r w:rsidRPr="009C64EB">
        <w:rPr>
          <w:rFonts w:ascii="Times New Roman" w:eastAsia="Times New Roman" w:hAnsi="Times New Roman" w:cs="Times New Roman"/>
          <w:sz w:val="24"/>
          <w:szCs w:val="24"/>
          <w:lang w:val="lt-LT"/>
        </w:rPr>
        <w:t xml:space="preserve"> 101 straipsnio 1 dalies a punkto reikalavimus, taip pat kuriais pareiškėjai įpareigoti nutraukti pažeidimą, jei jis dar tęsiamas, ir jiems paskirtos piniginės baudos.</w:t>
      </w:r>
      <w:bookmarkEnd w:id="32"/>
    </w:p>
    <w:p w14:paraId="667C094B" w14:textId="031D7F32"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Pareiškėjai nurodė, kad Tarybos 2017 m. kovo 20 d. nutarimu Nr. 1S-31 (2017) buvo pradėtas tyrimas dėl </w:t>
      </w:r>
      <w:r w:rsidR="00CF3FBA" w:rsidRPr="009C64EB">
        <w:rPr>
          <w:rFonts w:ascii="Times New Roman" w:eastAsia="Times New Roman" w:hAnsi="Times New Roman" w:cs="Times New Roman"/>
          <w:sz w:val="24"/>
          <w:szCs w:val="24"/>
          <w:lang w:val="lt-LT"/>
        </w:rPr>
        <w:t xml:space="preserve">Lietuvos notarų rūmų </w:t>
      </w:r>
      <w:r w:rsidRPr="009C64EB">
        <w:rPr>
          <w:rFonts w:ascii="Times New Roman" w:eastAsia="Times New Roman" w:hAnsi="Times New Roman" w:cs="Times New Roman"/>
          <w:sz w:val="24"/>
          <w:szCs w:val="24"/>
          <w:lang w:val="lt-LT"/>
        </w:rPr>
        <w:t>gal</w:t>
      </w:r>
      <w:r w:rsidR="00CF3FBA">
        <w:rPr>
          <w:rFonts w:ascii="Times New Roman" w:eastAsia="Times New Roman" w:hAnsi="Times New Roman" w:cs="Times New Roman"/>
          <w:sz w:val="24"/>
          <w:szCs w:val="24"/>
          <w:lang w:val="lt-LT"/>
        </w:rPr>
        <w:t xml:space="preserve">būt atlikto </w:t>
      </w:r>
      <w:r w:rsidRPr="009C64EB">
        <w:rPr>
          <w:rFonts w:ascii="Times New Roman" w:eastAsia="Times New Roman" w:hAnsi="Times New Roman" w:cs="Times New Roman"/>
          <w:sz w:val="24"/>
          <w:szCs w:val="24"/>
          <w:lang w:val="lt-LT" w:eastAsia="lt-LT"/>
        </w:rPr>
        <w:t xml:space="preserve">Konkurencijos įstatymo 5 straipsnio pažeidimo. Pagrindas pradėti tyrimą – įtarimai, kad Lietuvos notarų rūmai </w:t>
      </w:r>
      <w:r w:rsidR="00E05E82" w:rsidRPr="002C26DE">
        <w:rPr>
          <w:rFonts w:ascii="Times New Roman" w:eastAsia="Times New Roman" w:hAnsi="Times New Roman" w:cs="Times New Roman"/>
          <w:sz w:val="24"/>
          <w:szCs w:val="24"/>
          <w:lang w:val="lt-LT" w:eastAsia="lt-LT"/>
        </w:rPr>
        <w:t>(toliau – ir Notarų rūmai)</w:t>
      </w:r>
      <w:r w:rsidR="00E05E82">
        <w:rPr>
          <w:rFonts w:ascii="Times New Roman" w:eastAsia="Times New Roman" w:hAnsi="Times New Roman" w:cs="Times New Roman"/>
          <w:sz w:val="24"/>
          <w:szCs w:val="24"/>
          <w:lang w:val="lt-LT" w:eastAsia="lt-LT"/>
        </w:rPr>
        <w:t xml:space="preserve"> </w:t>
      </w:r>
      <w:r w:rsidRPr="009C64EB">
        <w:rPr>
          <w:rFonts w:ascii="Times New Roman" w:eastAsia="Times New Roman" w:hAnsi="Times New Roman" w:cs="Times New Roman"/>
          <w:sz w:val="24"/>
          <w:szCs w:val="24"/>
          <w:lang w:val="lt-LT" w:eastAsia="lt-LT"/>
        </w:rPr>
        <w:t>galimai sudarė konkurenciją ribojantį susitarimą, kuriuo nustatė įkainius už hipotekos sandorių tvirtinimą ir jų taikymo aplinkybes bei už kitus notarinius veiksmus. Tarybos 2017 m. spalio 31 d. nutarimu į tyrimą buvo įtraukti ir pareiškėjai (Lietuvos notarų rūmų prezidiumo nariai), o 2017 m. lapkričio 14 d. nutarimu Nr. 1S-117 (2017) tyrimas buvo papildytas SESV 101 straipsnio vertinimu. Tarybos 2017 m. lapkričio 16 d. pranešimu Nr. 6S-14 (2017) pareiškėjai buvo informuoti apie atliktą tyrimą, siūlymus ir priimtas išvadas. Po Tarybos posėdžio, įvykusio 2018 m. vasario 14 d., Taryba 2018</w:t>
      </w:r>
      <w:r w:rsidR="00C73397">
        <w:rPr>
          <w:rFonts w:ascii="Times New Roman" w:eastAsia="Times New Roman" w:hAnsi="Times New Roman" w:cs="Times New Roman"/>
          <w:sz w:val="24"/>
          <w:szCs w:val="24"/>
          <w:lang w:val="lt-LT" w:eastAsia="lt-LT"/>
        </w:rPr>
        <w:t> </w:t>
      </w:r>
      <w:r w:rsidRPr="009C64EB">
        <w:rPr>
          <w:rFonts w:ascii="Times New Roman" w:eastAsia="Times New Roman" w:hAnsi="Times New Roman" w:cs="Times New Roman"/>
          <w:sz w:val="24"/>
          <w:szCs w:val="24"/>
          <w:lang w:val="lt-LT" w:eastAsia="lt-LT"/>
        </w:rPr>
        <w:t>m. kovo 5 d. pareiškėjams pateikė dalį tyrimo medžiagos, kuri nebuvo atskleista kartu su išvadomis, todėl dėl medžiagos pareiškėjai neturėjo galimybės pasisakyti 2018 m. vasario 14 d. posėdyje. Taryba priėmė Nutarimą, kuriame, be kita ko, nutarė kreiptis į Lietuvos Respublikos Vyriausybę su siūlymu inicijuoti Lietuvos Respublikos notariato įstatymo (toliau – ir Notariato įstatymas) 19 straipsnio pakeitimą. Nutarimas priimtas dėl Lietuvos notarų rūmų prezidiumo (toliau – ir Prezidiumas), kaip valdymo organo, priimtų išaiškinimų dėl Lietuvos Respublikos teisingumo ministro 1996 m. rugsėjo 12</w:t>
      </w:r>
      <w:r w:rsidR="00C73397">
        <w:rPr>
          <w:rFonts w:ascii="Times New Roman" w:eastAsia="Times New Roman" w:hAnsi="Times New Roman" w:cs="Times New Roman"/>
          <w:sz w:val="24"/>
          <w:szCs w:val="24"/>
          <w:lang w:val="lt-LT" w:eastAsia="lt-LT"/>
        </w:rPr>
        <w:t> </w:t>
      </w:r>
      <w:r w:rsidRPr="009C64EB">
        <w:rPr>
          <w:rFonts w:ascii="Times New Roman" w:eastAsia="Times New Roman" w:hAnsi="Times New Roman" w:cs="Times New Roman"/>
          <w:sz w:val="24"/>
          <w:szCs w:val="24"/>
          <w:lang w:val="lt-LT" w:eastAsia="lt-LT"/>
        </w:rPr>
        <w:t xml:space="preserve">d. įsakymu Nr. 57 patvirtintų Notarų imamo atlyginimo už notarinių veiksmų atlikimą, sandorių projektų parengimą, konsultacijas ir technines paslaugas laikinųjų dydžių (toliau – ir Išaiškinimai), prilygintų konkurentų </w:t>
      </w:r>
      <w:r w:rsidRPr="009C64EB">
        <w:rPr>
          <w:rFonts w:ascii="Times New Roman" w:eastAsia="Times New Roman" w:hAnsi="Times New Roman" w:cs="Times New Roman"/>
          <w:sz w:val="24"/>
          <w:szCs w:val="24"/>
          <w:lang w:val="lt-LT"/>
        </w:rPr>
        <w:t>antikonkurenciniam susitarimui (karteliui).</w:t>
      </w:r>
    </w:p>
    <w:p w14:paraId="3F7D7197" w14:textId="604A36FB" w:rsidR="00B56117" w:rsidRPr="002E06C0"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Pareiškėjai, p</w:t>
      </w:r>
      <w:r w:rsidRPr="009C64EB">
        <w:rPr>
          <w:rFonts w:ascii="Times New Roman" w:eastAsia="Times New Roman" w:hAnsi="Times New Roman" w:cs="Times New Roman"/>
          <w:sz w:val="24"/>
          <w:szCs w:val="24"/>
          <w:lang w:val="lt-LT" w:eastAsia="lt-LT"/>
        </w:rPr>
        <w:t>agrįsdami ginčijamų Nutarimo punktų neteisėtumą</w:t>
      </w:r>
      <w:r w:rsidR="0069097B">
        <w:rPr>
          <w:rFonts w:ascii="Times New Roman" w:eastAsia="Times New Roman" w:hAnsi="Times New Roman" w:cs="Times New Roman"/>
          <w:sz w:val="24"/>
          <w:szCs w:val="24"/>
          <w:lang w:val="lt-LT" w:eastAsia="lt-LT"/>
        </w:rPr>
        <w:t>,</w:t>
      </w:r>
      <w:r w:rsidRPr="009C64EB">
        <w:rPr>
          <w:rFonts w:ascii="Times New Roman" w:eastAsia="Times New Roman" w:hAnsi="Times New Roman" w:cs="Times New Roman"/>
          <w:sz w:val="24"/>
          <w:szCs w:val="24"/>
          <w:lang w:val="lt-LT" w:eastAsia="lt-LT"/>
        </w:rPr>
        <w:t xml:space="preserve"> nurodė, jog Taryba, priėmusi išvadą, jog Prezidiumo veiksmai, aiškinant Lietuvos Respublikos teisingumo ministro 1996 m. rugsėjo 12 d. įsakymu Nr. 57 patvirtintus Notarų imamo atlyginimo už notarinių veiksmų atlikimą, sandorių projektų parengimą, konsultacijas ir technines paslaugas laikinuosius dydžius (toliau – ir Laikinieji dydžiai), laikytini konkurencijos teisės pažeidimu, ignoravo Lietuvos notariatą reglamentuojančias teisė</w:t>
      </w:r>
      <w:r w:rsidR="0069097B">
        <w:rPr>
          <w:rFonts w:ascii="Times New Roman" w:eastAsia="Times New Roman" w:hAnsi="Times New Roman" w:cs="Times New Roman"/>
          <w:sz w:val="24"/>
          <w:szCs w:val="24"/>
          <w:lang w:val="lt-LT" w:eastAsia="lt-LT"/>
        </w:rPr>
        <w:t>s</w:t>
      </w:r>
      <w:r w:rsidRPr="009C64EB">
        <w:rPr>
          <w:rFonts w:ascii="Times New Roman" w:eastAsia="Times New Roman" w:hAnsi="Times New Roman" w:cs="Times New Roman"/>
          <w:sz w:val="24"/>
          <w:szCs w:val="24"/>
          <w:lang w:val="lt-LT" w:eastAsia="lt-LT"/>
        </w:rPr>
        <w:t xml:space="preserve"> nuostatas, nes Konkurencijos įstatymo 5 straipsnio 1 dalis ir SESV 101 straipsnio 1 dalis negali būti taikoma Lietuvos notarų </w:t>
      </w:r>
      <w:r w:rsidRPr="002E06C0">
        <w:rPr>
          <w:rFonts w:ascii="Times New Roman" w:eastAsia="Times New Roman" w:hAnsi="Times New Roman" w:cs="Times New Roman"/>
          <w:sz w:val="24"/>
          <w:szCs w:val="24"/>
          <w:lang w:val="lt-LT" w:eastAsia="lt-LT"/>
        </w:rPr>
        <w:t xml:space="preserve">rūmų kolegialaus valdymo organo priimtiems sprendimams, kuriais, vienodinant notarinę praktiką, patvirtintos rekomendacijos dėl notaro atlyginimų dydžių. Notarinės praktikos apibendrinimas pirmiausia būtinas siekiant užtikrinti tinkamą notarams pavestų viešo pobūdžio funkcijų vykdymą bei garantuoti vienodą notarų pareigų vykdymo standartą. Notarų praktikos vienodinimas atliekamas taip, kad aiškinimai neišeitų iš teisės aktais nustatytų ribų. Be to, Prezidiumo priimti sprendimai negali pakeisti ir nepakeičia Lietuvos Respublikos teisingumo ministerijos </w:t>
      </w:r>
      <w:r w:rsidR="00CF3FBA">
        <w:rPr>
          <w:rFonts w:ascii="Times New Roman" w:eastAsia="Times New Roman" w:hAnsi="Times New Roman" w:cs="Times New Roman"/>
          <w:sz w:val="24"/>
          <w:szCs w:val="24"/>
          <w:lang w:val="lt-LT" w:eastAsia="lt-LT"/>
        </w:rPr>
        <w:t xml:space="preserve">(toliau – ir Teisingumo ministerija) </w:t>
      </w:r>
      <w:r w:rsidRPr="002E06C0">
        <w:rPr>
          <w:rFonts w:ascii="Times New Roman" w:eastAsia="Times New Roman" w:hAnsi="Times New Roman" w:cs="Times New Roman"/>
          <w:sz w:val="24"/>
          <w:szCs w:val="24"/>
          <w:lang w:val="lt-LT" w:eastAsia="lt-LT"/>
        </w:rPr>
        <w:t>nustatyto teisinio reguliavimo. Pareiškėjai pabrėžė, kad Prezidiumo išleistos rekomendacijos nėra privalomos Lietuvos notarams</w:t>
      </w:r>
      <w:r w:rsidRPr="002E06C0">
        <w:rPr>
          <w:rFonts w:ascii="Times New Roman" w:eastAsia="Times New Roman" w:hAnsi="Times New Roman" w:cs="Times New Roman"/>
          <w:sz w:val="24"/>
          <w:szCs w:val="24"/>
          <w:lang w:val="lt-LT"/>
        </w:rPr>
        <w:t>.</w:t>
      </w:r>
    </w:p>
    <w:p w14:paraId="4A7B848C" w14:textId="29D94486"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Pareiškėjai </w:t>
      </w:r>
      <w:r w:rsidRPr="009C64EB">
        <w:rPr>
          <w:rFonts w:ascii="Times New Roman" w:eastAsia="Times New Roman" w:hAnsi="Times New Roman" w:cs="Times New Roman"/>
          <w:sz w:val="24"/>
          <w:szCs w:val="24"/>
          <w:lang w:val="lt-LT" w:eastAsia="lt-LT"/>
        </w:rPr>
        <w:t>nurodė, jog Teisingumo ministerija žinojo apie Tarybos tiriamus Išaiškinimus, jų turinį, tačiau jokios kritikos Lietuvos notarų rūm</w:t>
      </w:r>
      <w:r w:rsidR="00CF3FBA">
        <w:rPr>
          <w:rFonts w:ascii="Times New Roman" w:eastAsia="Times New Roman" w:hAnsi="Times New Roman" w:cs="Times New Roman"/>
          <w:sz w:val="24"/>
          <w:szCs w:val="24"/>
          <w:lang w:val="lt-LT" w:eastAsia="lt-LT"/>
        </w:rPr>
        <w:t>ams</w:t>
      </w:r>
      <w:r w:rsidRPr="009C64EB">
        <w:rPr>
          <w:rFonts w:ascii="Times New Roman" w:eastAsia="Times New Roman" w:hAnsi="Times New Roman" w:cs="Times New Roman"/>
          <w:sz w:val="24"/>
          <w:szCs w:val="24"/>
          <w:lang w:val="lt-LT" w:eastAsia="lt-LT"/>
        </w:rPr>
        <w:t xml:space="preserve"> dėl Išaiškinimų nepateikė, taip pat nesiėmė iniciatyvos keisti Laikinųjų dydžių. Visa tai tik įrodo, kad Tarybos tirti Lietuvos notarų rūmų priimti teisės aktai atitiko galiojančias teisės normas ir joms neprieštaravo.</w:t>
      </w:r>
    </w:p>
    <w:p w14:paraId="7F98CEC4"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Pareiškėjai </w:t>
      </w:r>
      <w:r w:rsidRPr="009C64EB">
        <w:rPr>
          <w:rFonts w:ascii="Times New Roman" w:eastAsia="Times New Roman" w:hAnsi="Times New Roman" w:cs="Times New Roman"/>
          <w:sz w:val="24"/>
          <w:szCs w:val="24"/>
          <w:lang w:val="lt-LT" w:eastAsia="lt-LT"/>
        </w:rPr>
        <w:t>nesutiko, kad už tariamą antikonkurencinį susitarimą (kartelį) sankcijos buvo pritaikytos tiek notarų savivaldos institucijai – Lietuvos notarų rūmams, tiek Prezidiumo nariams. Iš Nutarimo taip pat nėra aiškus atsakomybėn patrauktų asmenų statusas, t. y. ar Prezidiumo nariai patraukti atsakomybėn kaip savarankiški notarai, ar kaip savivaldos organo – Prezidiumo nariai. Išaiškinimus priėmė Prezidiumas (jo nariai), todėl nėra suprantama, kodėl sankcijos buvo pritaikytos ir pačiai savivaldos institucijai</w:t>
      </w:r>
      <w:r w:rsidRPr="009C64EB">
        <w:rPr>
          <w:rFonts w:ascii="Times New Roman" w:eastAsia="Times New Roman" w:hAnsi="Times New Roman" w:cs="Times New Roman"/>
          <w:sz w:val="24"/>
          <w:szCs w:val="24"/>
          <w:lang w:val="lt-LT"/>
        </w:rPr>
        <w:t xml:space="preserve">. Pareiškėjai atkreipė dėmesį, kad </w:t>
      </w:r>
      <w:r w:rsidRPr="009C64EB">
        <w:rPr>
          <w:rFonts w:ascii="Times New Roman" w:eastAsia="Times New Roman" w:hAnsi="Times New Roman" w:cs="Times New Roman"/>
          <w:sz w:val="24"/>
          <w:szCs w:val="24"/>
          <w:lang w:val="lt-LT" w:eastAsia="lt-LT"/>
        </w:rPr>
        <w:t xml:space="preserve">Taryba nusprendė fizinius asmenis patraukti </w:t>
      </w:r>
      <w:r w:rsidRPr="009C64EB">
        <w:rPr>
          <w:rFonts w:ascii="Times New Roman" w:eastAsia="Times New Roman" w:hAnsi="Times New Roman" w:cs="Times New Roman"/>
          <w:sz w:val="24"/>
          <w:szCs w:val="24"/>
          <w:lang w:val="lt-LT" w:eastAsia="lt-LT"/>
        </w:rPr>
        <w:lastRenderedPageBreak/>
        <w:t>atsakomybėn už jų veiklą notarų savivaldoje, Prezidiume, tačiau baudos šiems asmenims buvo apskaičiuotos remiantis ne pajamomis, kurias gavo už veiklą Prezidiume, o remiantis pajamomis, kurias jie gavo vykdydami notarų veiklą.</w:t>
      </w:r>
    </w:p>
    <w:p w14:paraId="2441223A" w14:textId="39B0F876"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Pareiškėja</w:t>
      </w:r>
      <w:r w:rsidR="00D85FD8">
        <w:rPr>
          <w:rFonts w:ascii="Times New Roman" w:eastAsia="Times New Roman" w:hAnsi="Times New Roman" w:cs="Times New Roman"/>
          <w:sz w:val="24"/>
          <w:szCs w:val="24"/>
          <w:lang w:val="lt-LT"/>
        </w:rPr>
        <w:t>i</w:t>
      </w:r>
      <w:r w:rsidRPr="009C64EB">
        <w:rPr>
          <w:rFonts w:ascii="Times New Roman" w:eastAsia="Times New Roman" w:hAnsi="Times New Roman" w:cs="Times New Roman"/>
          <w:sz w:val="24"/>
          <w:szCs w:val="24"/>
          <w:lang w:val="lt-LT"/>
        </w:rPr>
        <w:t xml:space="preserve"> pažymėjo, kad </w:t>
      </w:r>
      <w:r w:rsidRPr="009C64EB">
        <w:rPr>
          <w:rFonts w:ascii="Times New Roman" w:eastAsia="Times New Roman" w:hAnsi="Times New Roman" w:cs="Times New Roman"/>
          <w:sz w:val="24"/>
          <w:szCs w:val="24"/>
          <w:lang w:val="lt-LT" w:eastAsia="lt-LT"/>
        </w:rPr>
        <w:t>Taryba, nusprendusi pradėti tyrimą, pažeidė Lietuvos Respublikos viešojo administravimo įstatyme įtvirtintus proporcingumo, efektyvumo ir minimalios bei proporcingos priežiūros naštos principus. Taryba turėjo kreiptis į notariato priežiūrą atliekančią Teisingumo ministeriją, toks būdas būtų kur kas efektyvesnis ir mažiau ribojantis. Pareiškėjai manė, kad Taryba juos nubaudė už Laikinųjų dydžių aiškinimą, įtardama, kad patys Laikinieji dydžiai neatitinka teisės aktų nuostatų, o tai tik dar kartą parodo vykdytos administracinės procedūros netinkamumą</w:t>
      </w:r>
      <w:r w:rsidRPr="009C64EB">
        <w:rPr>
          <w:rFonts w:ascii="Times New Roman" w:eastAsia="Times New Roman" w:hAnsi="Times New Roman" w:cs="Times New Roman"/>
          <w:sz w:val="24"/>
          <w:szCs w:val="24"/>
          <w:lang w:val="lt-LT"/>
        </w:rPr>
        <w:t>.</w:t>
      </w:r>
    </w:p>
    <w:p w14:paraId="71CAC9A2" w14:textId="782A349A"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Pareiškėjai nurodė, kad </w:t>
      </w:r>
      <w:r w:rsidRPr="009C64EB">
        <w:rPr>
          <w:rFonts w:ascii="Times New Roman" w:eastAsia="Times New Roman" w:hAnsi="Times New Roman" w:cs="Times New Roman"/>
          <w:sz w:val="24"/>
          <w:szCs w:val="24"/>
          <w:lang w:val="lt-LT" w:eastAsia="lt-LT"/>
        </w:rPr>
        <w:t>Taryba padarė procedūrinio pobūdžio pažeidimų, nes neturėjo pagrindo atlikti patikrinimą Lietuvos notarų rūmų patalpose, jis nebuvo būtinas. Nutarimą grindžiant tariamu antikonkurenciniu susitarimu, nesiremta jokiais slaptais, tretiesiems suinteresuotiems asmenims neprieinamais dokumentais ar informacija. Visus dokumentus Taryba galėjo gauti mažiau ribojančiomis priemonėmis. Apie visus Lietuvos notarų rūmų priimtus sprendimus buvo žinoma Teisingumo ministerijai, todėl nebuvo pagrindo vykdyti netikėto patikrinimo su policijos pareigūnais ir taikyti neproporcingas prievartos priemones Lietuvos notarų rūm</w:t>
      </w:r>
      <w:r w:rsidR="00CF3FBA">
        <w:rPr>
          <w:rFonts w:ascii="Times New Roman" w:eastAsia="Times New Roman" w:hAnsi="Times New Roman" w:cs="Times New Roman"/>
          <w:sz w:val="24"/>
          <w:szCs w:val="24"/>
          <w:lang w:val="lt-LT" w:eastAsia="lt-LT"/>
        </w:rPr>
        <w:t>ams</w:t>
      </w:r>
      <w:r w:rsidRPr="009C64EB">
        <w:rPr>
          <w:rFonts w:ascii="Times New Roman" w:eastAsia="Times New Roman" w:hAnsi="Times New Roman" w:cs="Times New Roman"/>
          <w:sz w:val="24"/>
          <w:szCs w:val="24"/>
          <w:lang w:val="lt-LT" w:eastAsia="lt-LT"/>
        </w:rPr>
        <w:t>. Prezidiumo nariai neturėjo jokios galimybės pateikti paaiškinimų tyrimo metu, jie į tyrimą buvo įtraukti prieš pat jo pabaigą, o po to nedelsiant priimtos Tyrimo išvados. Su visa tyrimo medžiaga Prezidiumo nariams buvo leista susipažinti tik po Tarybos posėdžio. Taryba ilgą laiką neatskleidė esminės informacijos, susijusios su tyrimo pradėjimu. Tyrimo metu pareiškėjai laikėsi pozicijos, kad į tyrimą turėtų būti įtraukta Teisingumo ministerija, kuriai būtų sudaryta galimybė pateikti paaiškinimus ir dalyvauti Tarybos posėdyje. Tačiau tyrimo medžiagoje nėra jokios oficialios Teisingumo ministerijos informacijos tyrimo metu nagrinėtais klausimais, išskyrus kelis atsakymus. Analogiškai buvo elgiamasi ir</w:t>
      </w:r>
      <w:r w:rsidR="002A74C5">
        <w:rPr>
          <w:rFonts w:ascii="Times New Roman" w:eastAsia="Times New Roman" w:hAnsi="Times New Roman" w:cs="Times New Roman"/>
          <w:sz w:val="24"/>
          <w:szCs w:val="24"/>
          <w:lang w:val="lt-LT" w:eastAsia="lt-LT"/>
        </w:rPr>
        <w:t xml:space="preserve"> dėl</w:t>
      </w:r>
      <w:r w:rsidRPr="009C64EB">
        <w:rPr>
          <w:rFonts w:ascii="Times New Roman" w:eastAsia="Times New Roman" w:hAnsi="Times New Roman" w:cs="Times New Roman"/>
          <w:sz w:val="24"/>
          <w:szCs w:val="24"/>
          <w:lang w:val="lt-LT" w:eastAsia="lt-LT"/>
        </w:rPr>
        <w:t xml:space="preserve"> Lietuvos Respublikos finansų ministerijos, kuri dalyvavo įtvirtinant teisinį reguliavimą dėl atlyginimo už notarinius veiksmus. Pareiškėjai pabrėžė, kad Nutarimas neatitinka individualiam administraciniam aktui keliamų reikalavimų, jame gausu neobjektyvių ir tikrovės neatitinkančių teiginių.</w:t>
      </w:r>
    </w:p>
    <w:p w14:paraId="0BA63F65" w14:textId="4D74D58D"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eastAsia="lt-LT"/>
        </w:rPr>
        <w:t xml:space="preserve">Pareiškėjai nurodė, kad </w:t>
      </w:r>
      <w:r w:rsidRPr="009C64EB">
        <w:rPr>
          <w:rFonts w:ascii="Times New Roman" w:eastAsia="Times New Roman" w:hAnsi="Times New Roman" w:cs="Times New Roman"/>
          <w:sz w:val="24"/>
          <w:szCs w:val="24"/>
          <w:lang w:val="lt-LT"/>
        </w:rPr>
        <w:t>Taryba klaidingai taikė SESV 101 straipsnį, nes šios teisės normos net teoriškai negali būti taikomos Lietuvos notarų rūmų ir Prezidiumo veiksmų atžvilgiu. Nutarime iš esmės ignoruojama esminė aplinkybė, kad E</w:t>
      </w:r>
      <w:r w:rsidR="002A74C5">
        <w:rPr>
          <w:rFonts w:ascii="Times New Roman" w:eastAsia="Times New Roman" w:hAnsi="Times New Roman" w:cs="Times New Roman"/>
          <w:sz w:val="24"/>
          <w:szCs w:val="24"/>
          <w:lang w:val="lt-LT"/>
        </w:rPr>
        <w:t xml:space="preserve">uropos </w:t>
      </w:r>
      <w:r w:rsidRPr="009C64EB">
        <w:rPr>
          <w:rFonts w:ascii="Times New Roman" w:eastAsia="Times New Roman" w:hAnsi="Times New Roman" w:cs="Times New Roman"/>
          <w:sz w:val="24"/>
          <w:szCs w:val="24"/>
          <w:lang w:val="lt-LT"/>
        </w:rPr>
        <w:t>S</w:t>
      </w:r>
      <w:r w:rsidR="002A74C5">
        <w:rPr>
          <w:rFonts w:ascii="Times New Roman" w:eastAsia="Times New Roman" w:hAnsi="Times New Roman" w:cs="Times New Roman"/>
          <w:sz w:val="24"/>
          <w:szCs w:val="24"/>
          <w:lang w:val="lt-LT"/>
        </w:rPr>
        <w:t>ąjungos (toliau – ir ES)</w:t>
      </w:r>
      <w:r w:rsidRPr="009C64EB">
        <w:rPr>
          <w:rFonts w:ascii="Times New Roman" w:eastAsia="Times New Roman" w:hAnsi="Times New Roman" w:cs="Times New Roman"/>
          <w:sz w:val="24"/>
          <w:szCs w:val="24"/>
          <w:lang w:val="lt-LT"/>
        </w:rPr>
        <w:t xml:space="preserve"> valstybių narių notarinių paslaugų rinkos dėl notarinių veiksmų pobūdžio ir nacionalinio reguliavimo kiekvienoje valstybėje nesudaro bendros notarinių paslaugų rinkos ir todėl joms negali tiesiogiai būti taikomas SESV 101 straipsnis. Notariniai veiksmai ir visa notarinė veikla nėra harmonizuota ES lygmeniu ir valstybės narės yra laisvos pasirinkti nacionalinį notarų veiklos reglamentavimo modelį.</w:t>
      </w:r>
    </w:p>
    <w:p w14:paraId="03DABCC5"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Atsakovas Lietuvos Respublikos konkurencijos taryba prašė pareiškėjų skundą atmesti. </w:t>
      </w:r>
    </w:p>
    <w:p w14:paraId="79887215" w14:textId="1631620F"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Atsakovas atsiliepime nurodė, kad Taryba tyrimo metu nustatė, jog pareiškėjai tvirtino Išaiškin</w:t>
      </w:r>
      <w:r w:rsidR="00AA01CC">
        <w:rPr>
          <w:rFonts w:ascii="Times New Roman" w:eastAsia="Times New Roman" w:hAnsi="Times New Roman" w:cs="Times New Roman"/>
          <w:sz w:val="24"/>
          <w:szCs w:val="24"/>
          <w:lang w:val="lt-LT"/>
        </w:rPr>
        <w:t>i</w:t>
      </w:r>
      <w:r w:rsidRPr="009C64EB">
        <w:rPr>
          <w:rFonts w:ascii="Times New Roman" w:eastAsia="Times New Roman" w:hAnsi="Times New Roman" w:cs="Times New Roman"/>
          <w:sz w:val="24"/>
          <w:szCs w:val="24"/>
          <w:lang w:val="lt-LT"/>
        </w:rPr>
        <w:t>mus, kaip turėtų būti skaičiuojami notarų atlyginimo dydžiai už tam tikrų notarinių veiksmų atlikimą ir nustatė notarų atlyginimo dydžių apskaičiavimo mechanizmą, kuris visais atvejais nustatė didžiausias galimas kainas pagal Laikinuosius dydžius, taikomus tvirtinant hipotekos, mainų ir servituto sandorius, kuriais įkeičiami, perleidžiami ar apsunkinami keli daiktai. Taryba vertino, jog buvo netiesiogiai nustatyti notarų taikomi atlyginimo dydži</w:t>
      </w:r>
      <w:bookmarkStart w:id="33" w:name="_Hlk511887009"/>
      <w:r w:rsidRPr="009C64EB">
        <w:rPr>
          <w:rFonts w:ascii="Times New Roman" w:eastAsia="Times New Roman" w:hAnsi="Times New Roman" w:cs="Times New Roman"/>
          <w:sz w:val="24"/>
          <w:szCs w:val="24"/>
          <w:lang w:val="lt-LT"/>
        </w:rPr>
        <w:t xml:space="preserve">ai, nors iki Išaiškinimų priėmimo notarai turėjo </w:t>
      </w:r>
      <w:proofErr w:type="spellStart"/>
      <w:r w:rsidRPr="009C64EB">
        <w:rPr>
          <w:rFonts w:ascii="Times New Roman" w:eastAsia="Times New Roman" w:hAnsi="Times New Roman" w:cs="Times New Roman"/>
          <w:sz w:val="24"/>
          <w:szCs w:val="24"/>
          <w:lang w:val="lt-LT"/>
        </w:rPr>
        <w:t>diskreciją</w:t>
      </w:r>
      <w:proofErr w:type="spellEnd"/>
      <w:r w:rsidRPr="009C64EB">
        <w:rPr>
          <w:rFonts w:ascii="Times New Roman" w:eastAsia="Times New Roman" w:hAnsi="Times New Roman" w:cs="Times New Roman"/>
          <w:sz w:val="24"/>
          <w:szCs w:val="24"/>
          <w:lang w:val="lt-LT"/>
        </w:rPr>
        <w:t xml:space="preserve"> konkrečiais atvejais nustatyti ir mažesnius atlyginimo dydžius. Pareiškėjai taip pat tiesiogiai nustatė notarų taikytiną atlyginimo dydį – maksimalų intervalo atlyginimo dydį – imamą už hipotekos (įkeitimo) tvirtinimą tuo atveju, kai šalys nenurodo įkeičiamo objekto vertės.</w:t>
      </w:r>
      <w:bookmarkEnd w:id="33"/>
      <w:r w:rsidRPr="009C64EB">
        <w:rPr>
          <w:rFonts w:ascii="Times New Roman" w:eastAsia="Times New Roman" w:hAnsi="Times New Roman" w:cs="Times New Roman"/>
          <w:sz w:val="24"/>
          <w:szCs w:val="24"/>
          <w:lang w:val="lt-LT"/>
        </w:rPr>
        <w:t xml:space="preserve"> Taryba priėjo prie išvados, kad pareiškėjai sudarė draudžiamą susitarimą, kuriuo buvo nustatyti atlyginimo dydžiai už tam tikrų notarinių veiksmų atlikimą</w:t>
      </w:r>
      <w:r w:rsidR="002A74C5">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ir toks susitarimas pažeidžia Konkurencijos įstatymo 5 straipsnį ir SESV 101 straipsnį.</w:t>
      </w:r>
    </w:p>
    <w:p w14:paraId="028D8964" w14:textId="324BD86D"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lastRenderedPageBreak/>
        <w:t>Atsakovas nurodė, kad tyrimo metu buvo vertin</w:t>
      </w:r>
      <w:r w:rsidR="00D85FD8">
        <w:rPr>
          <w:rFonts w:ascii="Times New Roman" w:eastAsia="Times New Roman" w:hAnsi="Times New Roman" w:cs="Times New Roman"/>
          <w:sz w:val="24"/>
          <w:szCs w:val="24"/>
          <w:lang w:val="lt-LT"/>
        </w:rPr>
        <w:t>t</w:t>
      </w:r>
      <w:r w:rsidRPr="009C64EB">
        <w:rPr>
          <w:rFonts w:ascii="Times New Roman" w:eastAsia="Times New Roman" w:hAnsi="Times New Roman" w:cs="Times New Roman"/>
          <w:sz w:val="24"/>
          <w:szCs w:val="24"/>
          <w:lang w:val="lt-LT"/>
        </w:rPr>
        <w:t xml:space="preserve">a pareiškėjų veiksmų atitiktis konkurencijos teisės reikalavimams ir buvo analizuojama, ar pagal esamą teisinį reguliavimą notarai turi galimybę konkuruoti kainomis bei ar pareiškėjų veiksmai buvo nulemti teisinio reglamentavimo, tačiau nevertino, kokia notariato sistema turėtų būti pagal lotyniškojo notariato sampratą. Atsakovas pažymėjo, kad pagal susiklosčiusią Europos Sąjungos Teisingumo Teismo (toliau – ir </w:t>
      </w:r>
      <w:r w:rsidR="00B06D31" w:rsidRPr="009C64EB">
        <w:rPr>
          <w:rFonts w:ascii="Times New Roman" w:eastAsia="Times New Roman" w:hAnsi="Times New Roman" w:cs="Times New Roman"/>
          <w:sz w:val="24"/>
          <w:szCs w:val="24"/>
          <w:lang w:val="lt-LT"/>
        </w:rPr>
        <w:t xml:space="preserve">ESTT, </w:t>
      </w:r>
      <w:r w:rsidRPr="009C64EB">
        <w:rPr>
          <w:rFonts w:ascii="Times New Roman" w:eastAsia="Times New Roman" w:hAnsi="Times New Roman" w:cs="Times New Roman"/>
          <w:sz w:val="24"/>
          <w:szCs w:val="24"/>
          <w:lang w:val="lt-LT"/>
        </w:rPr>
        <w:t>Teisingumo Teismas) praktiką ūkio subjekto samprata Europos Sąjungos konkurencijos teisėje yra funkcinė, t. y. apie tam tikro asmens atitiktį ūkio subjekto požymiams sprendžiama ne iš jo teisinės formos, o iš to, kokio pobūdžio veiklą jis vykdo. Ūkinė veikla suprantama kaip bet kokia veikla, kuri pasižymi prekių ir paslaugų siūlymu rinkoje. Teisingumo Teismas, be kita ko, yra nurodęs, jog laisvųjų profesijų atstovai, kurių veiklai valstybė yra nustačiusi tam tikrus apribojimus ir siekiant verstis tam tikra profesija reikia atitikti reikalavimus, taip pat laikytini ūkio subjektais. Atsakovas nurodė, kad Taryba darė išvadą, jog notarai yra ūkio subjektai (atlieka įstatymų nustatytas funkcijas, už paslaugas ima atlyginimą ir t. t.), kadangi viešo pobūdžio funkcijų atlikimas nėra tapatinamas su viešosios valdžios funkcijų atlikimu. Atsakovas taip pat vertino, kad Lietuvos notarų rūmai yra ūkio subjektus (notarus) vienijanti asociacija, kurios nariais yra visi Lietuvos notarai Notariato įstatymo nuostatų pagrindu. Notarų valdymo organų narius renka patys notarai, o valstybės institucijos neturi galimybių daryti įtak</w:t>
      </w:r>
      <w:r w:rsidR="00D85FD8">
        <w:rPr>
          <w:rFonts w:ascii="Times New Roman" w:eastAsia="Times New Roman" w:hAnsi="Times New Roman" w:cs="Times New Roman"/>
          <w:sz w:val="24"/>
          <w:szCs w:val="24"/>
          <w:lang w:val="lt-LT"/>
        </w:rPr>
        <w:t>ą</w:t>
      </w:r>
      <w:r w:rsidRPr="009C64EB">
        <w:rPr>
          <w:rFonts w:ascii="Times New Roman" w:eastAsia="Times New Roman" w:hAnsi="Times New Roman" w:cs="Times New Roman"/>
          <w:sz w:val="24"/>
          <w:szCs w:val="24"/>
          <w:lang w:val="lt-LT"/>
        </w:rPr>
        <w:t xml:space="preserve"> </w:t>
      </w:r>
      <w:r w:rsidR="002A74C5">
        <w:rPr>
          <w:rFonts w:ascii="Times New Roman" w:eastAsia="Times New Roman" w:hAnsi="Times New Roman" w:cs="Times New Roman"/>
          <w:sz w:val="24"/>
          <w:szCs w:val="24"/>
          <w:lang w:val="lt-LT"/>
        </w:rPr>
        <w:t>jų rinkimo procese.</w:t>
      </w:r>
      <w:r w:rsidRPr="009C64EB">
        <w:rPr>
          <w:rFonts w:ascii="Times New Roman" w:eastAsia="Times New Roman" w:hAnsi="Times New Roman" w:cs="Times New Roman"/>
          <w:sz w:val="24"/>
          <w:szCs w:val="24"/>
          <w:lang w:val="lt-LT"/>
        </w:rPr>
        <w:t xml:space="preserve"> Lietuvos notarų rūmai atstovauja notarų interes</w:t>
      </w:r>
      <w:r w:rsidR="002A74C5">
        <w:rPr>
          <w:rFonts w:ascii="Times New Roman" w:eastAsia="Times New Roman" w:hAnsi="Times New Roman" w:cs="Times New Roman"/>
          <w:sz w:val="24"/>
          <w:szCs w:val="24"/>
          <w:lang w:val="lt-LT"/>
        </w:rPr>
        <w:t>ams</w:t>
      </w:r>
      <w:r w:rsidRPr="009C64EB">
        <w:rPr>
          <w:rFonts w:ascii="Times New Roman" w:eastAsia="Times New Roman" w:hAnsi="Times New Roman" w:cs="Times New Roman"/>
          <w:sz w:val="24"/>
          <w:szCs w:val="24"/>
          <w:lang w:val="lt-LT"/>
        </w:rPr>
        <w:t>, jų veiksmai daro įtaką (arba ketinimai, jeigu būtų įgyvendinti, galėtų daryti įtaką) notarų ūkinei veiklai Lietuvos Respublikoje ir dėl to, jog Lietuvos notarų rūmai priima nutarimus, kuriais notarai turi vadovautis ir kad Prezidiumas turi teisę kelti notarams drausmės bylas už šių nutarimų nesilaikymą.</w:t>
      </w:r>
    </w:p>
    <w:p w14:paraId="0ADC7B40" w14:textId="061DA2E0" w:rsidR="00B56117" w:rsidRPr="009C64EB" w:rsidRDefault="002A74C5"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w:t>
      </w:r>
      <w:r w:rsidR="00B56117" w:rsidRPr="009C64EB">
        <w:rPr>
          <w:rFonts w:ascii="Times New Roman" w:eastAsia="Times New Roman" w:hAnsi="Times New Roman" w:cs="Times New Roman"/>
          <w:sz w:val="24"/>
          <w:szCs w:val="24"/>
          <w:lang w:val="lt-LT"/>
        </w:rPr>
        <w:t xml:space="preserve">ėl notarų tarpusavio konkurencijos tik paslaugų kokybe </w:t>
      </w:r>
      <w:r>
        <w:rPr>
          <w:rFonts w:ascii="Times New Roman" w:eastAsia="Times New Roman" w:hAnsi="Times New Roman" w:cs="Times New Roman"/>
          <w:sz w:val="24"/>
          <w:szCs w:val="24"/>
          <w:lang w:val="lt-LT"/>
        </w:rPr>
        <w:t>a</w:t>
      </w:r>
      <w:r w:rsidRPr="008A01DF">
        <w:rPr>
          <w:rFonts w:ascii="Times New Roman" w:eastAsia="Times New Roman" w:hAnsi="Times New Roman" w:cs="Times New Roman"/>
          <w:sz w:val="24"/>
          <w:szCs w:val="24"/>
          <w:lang w:val="lt-LT"/>
        </w:rPr>
        <w:t>tsakovas</w:t>
      </w:r>
      <w:r w:rsidRPr="009C64EB">
        <w:rPr>
          <w:rFonts w:ascii="Times New Roman" w:eastAsia="Times New Roman" w:hAnsi="Times New Roman" w:cs="Times New Roman"/>
          <w:sz w:val="24"/>
          <w:szCs w:val="24"/>
          <w:lang w:val="lt-LT"/>
        </w:rPr>
        <w:t xml:space="preserve"> </w:t>
      </w:r>
      <w:r w:rsidR="00B56117" w:rsidRPr="009C64EB">
        <w:rPr>
          <w:rFonts w:ascii="Times New Roman" w:eastAsia="Times New Roman" w:hAnsi="Times New Roman" w:cs="Times New Roman"/>
          <w:sz w:val="24"/>
          <w:szCs w:val="24"/>
          <w:lang w:val="lt-LT"/>
        </w:rPr>
        <w:t>nurodė, kad Notariato įstatyme yra įtvirtinta, jog atlyginimo dydžius už notarinių veiksmų atlikimą nustato Lietuvos Respublikos teisingumo ministras, suderinęs juos su Lietuvos Respublikos finansų ministru ir Lietuvos notarų rūmais. Tačiau nei Notariato įstatyme, nei jokiame kitame teisės akte nėra numatyta, jog notarai tarpusavyje negali konkuruoti kainomis, jei Laikinuosiuose dydžiuose nėra įtvirtintas fiksuotas atlyginimo dydis už notarinio veiksmo atlikimą. Taryba Nutarime nustatė, kad</w:t>
      </w:r>
      <w:r w:rsidR="008A01DF">
        <w:rPr>
          <w:rFonts w:ascii="Times New Roman" w:eastAsia="Times New Roman" w:hAnsi="Times New Roman" w:cs="Times New Roman"/>
          <w:sz w:val="24"/>
          <w:szCs w:val="24"/>
          <w:lang w:val="lt-LT"/>
        </w:rPr>
        <w:t>,</w:t>
      </w:r>
      <w:r w:rsidR="009E76C9">
        <w:rPr>
          <w:rFonts w:ascii="Times New Roman" w:eastAsia="Times New Roman" w:hAnsi="Times New Roman" w:cs="Times New Roman"/>
          <w:sz w:val="24"/>
          <w:szCs w:val="24"/>
          <w:lang w:val="lt-LT"/>
        </w:rPr>
        <w:t xml:space="preserve"> atlikdami</w:t>
      </w:r>
      <w:r w:rsidR="00B56117" w:rsidRPr="009C64EB">
        <w:rPr>
          <w:rFonts w:ascii="Times New Roman" w:eastAsia="Times New Roman" w:hAnsi="Times New Roman" w:cs="Times New Roman"/>
          <w:sz w:val="24"/>
          <w:szCs w:val="24"/>
          <w:lang w:val="lt-LT"/>
        </w:rPr>
        <w:t xml:space="preserve"> didžiąją dalį notarinių veiksmų, notarai turi teisę individualiai nustatyti užmokesčio už notarinio veiksmo atlikimą dydį, kadangi Laikinuosiuose dydžiuose dauguma atlyginimo dydžių yra nustatyti intervalo metodu, o fiksuoti atlyginimo dydžiai sudaro tik nedidelę dalį atlyginimo dydžio.</w:t>
      </w:r>
    </w:p>
    <w:p w14:paraId="47710963" w14:textId="66AD0EF3"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Atsakovas pažymėjo, kad Notariato įstatymo 19</w:t>
      </w:r>
      <w:r w:rsidRPr="009C64EB">
        <w:rPr>
          <w:rFonts w:ascii="Times New Roman" w:eastAsia="Times New Roman" w:hAnsi="Times New Roman" w:cs="Times New Roman"/>
          <w:sz w:val="24"/>
          <w:szCs w:val="24"/>
          <w:vertAlign w:val="superscript"/>
          <w:lang w:val="lt-LT"/>
        </w:rPr>
        <w:t>1</w:t>
      </w:r>
      <w:r w:rsidRPr="009C64EB">
        <w:rPr>
          <w:rFonts w:ascii="Times New Roman" w:eastAsia="Times New Roman" w:hAnsi="Times New Roman" w:cs="Times New Roman"/>
          <w:sz w:val="24"/>
          <w:szCs w:val="24"/>
          <w:lang w:val="lt-LT"/>
        </w:rPr>
        <w:t xml:space="preserve"> straipsnyje įtvirtintais kriterijais privalo vadovautis </w:t>
      </w:r>
      <w:r w:rsidR="002A74C5">
        <w:rPr>
          <w:rFonts w:ascii="Times New Roman" w:eastAsia="Times New Roman" w:hAnsi="Times New Roman" w:cs="Times New Roman"/>
          <w:sz w:val="24"/>
          <w:szCs w:val="24"/>
          <w:lang w:val="lt-LT"/>
        </w:rPr>
        <w:t>t</w:t>
      </w:r>
      <w:r w:rsidRPr="009C64EB">
        <w:rPr>
          <w:rFonts w:ascii="Times New Roman" w:eastAsia="Times New Roman" w:hAnsi="Times New Roman" w:cs="Times New Roman"/>
          <w:sz w:val="24"/>
          <w:szCs w:val="24"/>
          <w:lang w:val="lt-LT"/>
        </w:rPr>
        <w:t>eisingumo ministras, nustatydamas notarų atlyginimo dydžius Laikinuosiuose dydžiuose, o ne notarai nustatydami atlyginimo dydį tais atvejais, kai Laikinuosiuose dydžiuose nėra įtvirtintas fiksuotas atlyginimo dydis. Net ir tuo atveju, jei būtų vertinama, jog vis dėlto notarai privalo vadovautis minėtais kriterijais, kiekvieno notaro nustatyti atlyginimo dydžiai skirtųsi. Visų notarų sąnaudos yra nevienodo dydžio, t. y. jos skiriasi priklausomai nuo notaro biuro vietos ir įrengimo, samdomų darbuotojų skaičiaus ir pan., taip pat kiekvienas notaras gali skirtingai vertinti notaro ekonominio nepriklausomumo, notarinio veiksmo vertės bei paslaugos pobūdžio kriterijų įtaką galutiniam notaro atlyginimo dydžiui.</w:t>
      </w:r>
    </w:p>
    <w:p w14:paraId="56820235" w14:textId="69D2673C"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Atsakovas pažymėjo, kad Taryba tiria būtent Konkurencijos įstatymo pažeidimus ir taiko pažeidėjams Konkurencijos įstatyme numatytas sankcijas, todėl Taryba, o ne Teisingumo ministerija, yra kompetentinga vertinti Lietuvos notarų rūmų ir notarų veiksmų atitiktį konkurencijos teisės reikalavimams. Atsakovas teigė, kad dėl to, jog Teisingumo ministerija toleravo pareiškėjų veiksmus, kuriais buvo pažeidžiama konkurencijos teisė, pareiškėjams sumažinta bauda 5 proc. </w:t>
      </w:r>
      <w:r w:rsidR="00D85FD8">
        <w:rPr>
          <w:rFonts w:ascii="Times New Roman" w:eastAsia="Times New Roman" w:hAnsi="Times New Roman" w:cs="Times New Roman"/>
          <w:sz w:val="24"/>
          <w:szCs w:val="24"/>
          <w:lang w:val="lt-LT"/>
        </w:rPr>
        <w:t>A</w:t>
      </w:r>
      <w:r w:rsidRPr="009C64EB">
        <w:rPr>
          <w:rFonts w:ascii="Times New Roman" w:eastAsia="Times New Roman" w:hAnsi="Times New Roman" w:cs="Times New Roman"/>
          <w:sz w:val="24"/>
          <w:szCs w:val="24"/>
          <w:lang w:val="lt-LT"/>
        </w:rPr>
        <w:t>tsakovas pažymėjo, kad pareiškėjų padarytas pažeidimas yra draudžiamas jau vien pagal tikslą riboti konkurenciją, jų sudarytas susitarimas daro ar gali daryti įtaką visų notarinių veiksmų rinkoje veikiančių ūkio subjektų (konkurentų) elgesiui, o kaip savo praktikoje yra išaiškinęs Lietuvos vyriausiasis administracinis teismas, susitarimai dėl kainų nustatymo vertintini kaip sunkūs konkurencijos teisės pažeidimai.</w:t>
      </w:r>
    </w:p>
    <w:p w14:paraId="549B8158" w14:textId="631DA974"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lastRenderedPageBreak/>
        <w:t>Atsakovas paaiškino, kad Notarų rūmai, veikdami per savo valdymo organą – Prezidiumą, ir visi tiriamieji notarai, veikdami kaip Prezidiumo nariai, išreiškė valią sudaryti susitarimą, kuriuo būtų tiesiogiai ir netiesiogiai nustatyti notarų taikomi atlyginimo dydžiai už įvairių notarinių veiksmų atlikimą. Teisės aktuose nėra įtvirtinta, kad Prezidiumo nariai, atlikdami Prezidiumo nario funkcijas, privalo balsuoti, nepaisydami savo, kaip notarų interesų. Priešingai, kiekvienas Prezidiumo narys yra atskaitingas apygardos, iškėlusios jį į kandidatus, notarams. Dėl to nėra pagrindo sutikti su Lietuvos notarų rūmų ir notarų argumentu, kad Taryba nepagrįstai konstatavo, jog už draudžiamo susitarimo sudarymą yra atsakingi tiek notarai, tiek Lietuvos notarų rūmai. Atsakovas nurodė, kad notarai priėmė Išaiškinimus eidami Prezidiumo narių pareigas, todėl bazinis baudos dydis apskaičiuotas remiantis ūkio subjekto tiesiogiai ir netiesiogiai su pažeidimu susijusių prekių pardavimų pajamomis. Taryba Nutarime nurodė, kad notarai nustatė notarų atlyginimo dydžių apskaičiavimo mechanizmą, taikomą tais atvejais, kai sandorio šalys nenurodo įkeičiamo objekto vertės už hipotekos (įkeitimo) sandorio patvirtinimą; kai viena sutartimi nustatomas servitutas keliems nekilnojamiems daiktams; kai viena sutartimi mainomos kelių daiktų dalys; kai vienu hipotekos sandoriu įkeičiami keli nekilnojamieji daiktai, todėl bazinis baudos dydis buvo apskaičiuotas remiantis notarų pajamomis, gautomis už minėtų notarinių veiksmų atlikimą.</w:t>
      </w:r>
    </w:p>
    <w:p w14:paraId="6CBE01DB"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Atsakovas pažymėjo, kad susitarimai, kurie draudžiami pagal Konkurencijos įstatymo 5 straipsnį, dažnai vyksta slaptai ir yra parengiama kuo mažiau su tuo susijusių dokumentų, todėl patikrinimo metu surinkti įrodymai yra ypatingos reikšmės ir dažnai gali būti vieninteliai įrodymai formuojant tyrimo išvadas dėl įtariamų ūkio subjektų konkurenciją ribojančių ar galinčių riboti susitarimų bei kitų galimų Konkurencijos įstatymo pažeidimų.</w:t>
      </w:r>
    </w:p>
    <w:p w14:paraId="505A162F"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Trečiasis suinteresuotas asmuo Lietuvos Respublikos teisingumo ministerija prašė pareiškėjų skundą tenkinti.</w:t>
      </w:r>
    </w:p>
    <w:p w14:paraId="2B11EB02" w14:textId="1D90A9A1"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Teisingumo ministerija atsiliepime į pareiškėjų skundą nurodė, kad atsiradus poreikiui nustatyti notarų atlyginimo dydžius už naujų konkrečių notarinių veiksmų atlikimą, Teisingumo ministerija inicijavo Laikinųjų dydžių pakeitimo projektus. Vadovaudamasi Notariato įstatymo 19 straipsnio 1 dalimi, Laikinųjų dydžių pakeitimo projektai buvo derinami su </w:t>
      </w:r>
      <w:r w:rsidR="002A74C5">
        <w:rPr>
          <w:rFonts w:ascii="Times New Roman" w:eastAsia="Times New Roman" w:hAnsi="Times New Roman" w:cs="Times New Roman"/>
          <w:sz w:val="24"/>
          <w:szCs w:val="24"/>
          <w:lang w:val="lt-LT"/>
        </w:rPr>
        <w:t>Lietuvos Respublikos f</w:t>
      </w:r>
      <w:r w:rsidRPr="009C64EB">
        <w:rPr>
          <w:rFonts w:ascii="Times New Roman" w:eastAsia="Times New Roman" w:hAnsi="Times New Roman" w:cs="Times New Roman"/>
          <w:sz w:val="24"/>
          <w:szCs w:val="24"/>
          <w:lang w:val="lt-LT"/>
        </w:rPr>
        <w:t>inansų ministerija ir Lietuvos notarų rūmais, taip pat buvo konsultuojamasi ir su visuomene.</w:t>
      </w:r>
    </w:p>
    <w:p w14:paraId="69716EB6" w14:textId="5DEEF57A"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Teisingumo ministerija nesutiko su Tarybos išvadomis dėl notarų teisinės padėties. Teisingumo ministerija nurodė, kad jei notarai ir gali būti laikomi ūkio subjektais, tai jų teisinė padėtis, statusas ir veiklos reguliavimas negali būti prilygintas kitiems ūkio subjektams. Notaras yra valstybės įgaliotas asmuo, atliekantis įstatymu įgaliotas funkcijas. Teisingumo ministerija pažymėjo, kad notaro statusas yra dvejopas. Notaras yra valstybės įgaliotas asmuo, užtikrinantis viešąsias funkcijas, tačiau kartu notaras yra laisvosios profesijos atstovas, kuris verčiasi savarankiška profesine veikla. Tačiau notaro veikla nelaikytina tradicine ūkine veikla. Notaro atliekamų viešąjį interesą užtikrinančių funkcijų pobūdis </w:t>
      </w:r>
      <w:r w:rsidR="000F16CE">
        <w:rPr>
          <w:rFonts w:ascii="Times New Roman" w:eastAsia="Times New Roman" w:hAnsi="Times New Roman" w:cs="Times New Roman"/>
          <w:sz w:val="24"/>
          <w:szCs w:val="24"/>
          <w:lang w:val="lt-LT"/>
        </w:rPr>
        <w:t>lemia</w:t>
      </w:r>
      <w:r w:rsidRPr="009C64EB">
        <w:rPr>
          <w:rFonts w:ascii="Times New Roman" w:eastAsia="Times New Roman" w:hAnsi="Times New Roman" w:cs="Times New Roman"/>
          <w:sz w:val="24"/>
          <w:szCs w:val="24"/>
          <w:lang w:val="lt-LT"/>
        </w:rPr>
        <w:t xml:space="preserve"> valstybės pareigą kontroliuoti perduotų funkcijų vykdymą bei užtikrinti notarinių veiksmų atlikimą. Teisingumo ministerija nurodė, kad notarų atlyginimo dydžiai Laikinuosiuose dydžiuose buvo nustatyti remiantis Notariato įstatymo 19</w:t>
      </w:r>
      <w:r w:rsidRPr="009C64EB">
        <w:rPr>
          <w:rFonts w:ascii="Times New Roman" w:eastAsia="Times New Roman" w:hAnsi="Times New Roman" w:cs="Times New Roman"/>
          <w:sz w:val="24"/>
          <w:szCs w:val="24"/>
          <w:vertAlign w:val="superscript"/>
          <w:lang w:val="lt-LT"/>
        </w:rPr>
        <w:t>1</w:t>
      </w:r>
      <w:r w:rsidRPr="009C64EB">
        <w:rPr>
          <w:rFonts w:ascii="Times New Roman" w:eastAsia="Times New Roman" w:hAnsi="Times New Roman" w:cs="Times New Roman"/>
          <w:sz w:val="24"/>
          <w:szCs w:val="24"/>
          <w:lang w:val="lt-LT"/>
        </w:rPr>
        <w:t xml:space="preserve"> straipsnyje nustatytais notarų atlyginimų nustatymo kriterijais. Teisingumo ministerija vertino, kad mišrus notarų atlyginimo nustatymo modelis, t. y. nustatant procentinius dydžius, konkrečias fiksuotas sumas, leidžia nustatyti notarinio atlyginimo dydžius laikantis įstatyme nustatytų kriterijų.</w:t>
      </w:r>
    </w:p>
    <w:p w14:paraId="3FB124CB"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Teisingumo ministerija taip pat akcentavo, kad Notariato įstatymo 9 straipsnio 5 punkte nustatytų Lietuvos notarų rūmų vienas iš uždavinių – vienodinti notarinę praktiką. Praktikai vienodinti Lietuvos notarų rūmai teikia savo išvadas notarams, tačiau teikdami Išaiškinimus Notarų rūmai negali keisti, plėsti, siaurinti nustatyto teisinio reguliavimo.</w:t>
      </w:r>
    </w:p>
    <w:p w14:paraId="09DD5013" w14:textId="77777777" w:rsidR="00B56117" w:rsidRPr="009C64EB" w:rsidRDefault="00B56117" w:rsidP="00B56117">
      <w:pPr>
        <w:tabs>
          <w:tab w:val="left" w:pos="567"/>
          <w:tab w:val="left" w:pos="1134"/>
        </w:tabs>
        <w:spacing w:after="0" w:line="240" w:lineRule="auto"/>
        <w:ind w:firstLine="720"/>
        <w:contextualSpacing/>
        <w:jc w:val="both"/>
        <w:rPr>
          <w:rFonts w:ascii="Times New Roman" w:eastAsia="Times New Roman" w:hAnsi="Times New Roman" w:cs="Times New Roman"/>
          <w:sz w:val="24"/>
          <w:szCs w:val="24"/>
          <w:lang w:val="lt-LT"/>
        </w:rPr>
      </w:pPr>
    </w:p>
    <w:p w14:paraId="0A559198" w14:textId="77777777" w:rsidR="00B56117" w:rsidRPr="009C64EB" w:rsidRDefault="00B56117" w:rsidP="00B56117">
      <w:pPr>
        <w:tabs>
          <w:tab w:val="left" w:pos="993"/>
          <w:tab w:val="left" w:pos="1040"/>
          <w:tab w:val="left" w:pos="1276"/>
        </w:tabs>
        <w:spacing w:after="0" w:line="240" w:lineRule="auto"/>
        <w:ind w:firstLine="720"/>
        <w:contextualSpacing/>
        <w:jc w:val="center"/>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II.</w:t>
      </w:r>
    </w:p>
    <w:p w14:paraId="0FBF1989" w14:textId="77777777" w:rsidR="00B56117" w:rsidRPr="009C64EB" w:rsidRDefault="00B56117" w:rsidP="00B56117">
      <w:pPr>
        <w:tabs>
          <w:tab w:val="left" w:pos="993"/>
          <w:tab w:val="left" w:pos="1276"/>
        </w:tabs>
        <w:spacing w:after="0" w:line="240" w:lineRule="auto"/>
        <w:ind w:firstLine="720"/>
        <w:jc w:val="both"/>
        <w:rPr>
          <w:rFonts w:ascii="Times New Roman" w:eastAsia="Times New Roman" w:hAnsi="Times New Roman" w:cs="Times New Roman"/>
          <w:sz w:val="24"/>
          <w:szCs w:val="24"/>
          <w:lang w:val="lt-LT"/>
        </w:rPr>
      </w:pPr>
    </w:p>
    <w:p w14:paraId="314361C8" w14:textId="728064E5"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Vilniaus apygardos administracinis teismas 2019 m. vasario 19 d. sprendimu pareiškėjų </w:t>
      </w:r>
      <w:r w:rsidRPr="009C64EB">
        <w:rPr>
          <w:rFonts w:ascii="Times New Roman" w:eastAsia="Times New Roman" w:hAnsi="Times New Roman" w:cs="Times New Roman"/>
          <w:sz w:val="24"/>
          <w:szCs w:val="24"/>
          <w:lang w:val="lt-LT" w:eastAsia="lt-LT"/>
        </w:rPr>
        <w:t xml:space="preserve">Lietuvos notarų rūmų, </w:t>
      </w:r>
      <w:bookmarkStart w:id="34" w:name="Buk_76"/>
      <w:r w:rsidR="00756415" w:rsidRPr="00E3423E">
        <w:rPr>
          <w:rFonts w:ascii="Times New Roman" w:eastAsia="Times New Roman" w:hAnsi="Times New Roman" w:cs="Times New Roman"/>
          <w:sz w:val="24"/>
          <w:szCs w:val="24"/>
          <w:lang w:val="lt-LT" w:eastAsia="lt-LT"/>
        </w:rPr>
        <w:t>M. S.</w:t>
      </w:r>
      <w:bookmarkEnd w:id="34"/>
      <w:r w:rsidRPr="009C64EB">
        <w:rPr>
          <w:rFonts w:ascii="Times New Roman" w:eastAsia="Times New Roman" w:hAnsi="Times New Roman" w:cs="Times New Roman"/>
          <w:sz w:val="24"/>
          <w:szCs w:val="24"/>
          <w:lang w:val="lt-LT" w:eastAsia="lt-LT"/>
        </w:rPr>
        <w:t xml:space="preserve">, </w:t>
      </w:r>
      <w:bookmarkStart w:id="35" w:name="Buk_110"/>
      <w:r w:rsidR="00756415" w:rsidRPr="00E3423E">
        <w:rPr>
          <w:rFonts w:ascii="Times New Roman" w:eastAsia="Times New Roman" w:hAnsi="Times New Roman" w:cs="Times New Roman"/>
          <w:sz w:val="24"/>
          <w:szCs w:val="24"/>
          <w:lang w:val="lt-LT" w:eastAsia="lt-LT"/>
        </w:rPr>
        <w:t>S. Š.</w:t>
      </w:r>
      <w:bookmarkEnd w:id="35"/>
      <w:r w:rsidRPr="009C64EB">
        <w:rPr>
          <w:rFonts w:ascii="Times New Roman" w:eastAsia="Times New Roman" w:hAnsi="Times New Roman" w:cs="Times New Roman"/>
          <w:sz w:val="24"/>
          <w:szCs w:val="24"/>
          <w:lang w:val="lt-LT" w:eastAsia="lt-LT"/>
        </w:rPr>
        <w:t xml:space="preserve">, </w:t>
      </w:r>
      <w:bookmarkStart w:id="36" w:name="Buk_49"/>
      <w:r w:rsidR="00756415" w:rsidRPr="00E3423E">
        <w:rPr>
          <w:rFonts w:ascii="Times New Roman" w:eastAsia="Times New Roman" w:hAnsi="Times New Roman" w:cs="Times New Roman"/>
          <w:sz w:val="24"/>
          <w:szCs w:val="24"/>
          <w:lang w:val="lt-LT" w:eastAsia="lt-LT"/>
        </w:rPr>
        <w:t>D. V.</w:t>
      </w:r>
      <w:bookmarkEnd w:id="36"/>
      <w:r w:rsidRPr="009C64EB">
        <w:rPr>
          <w:rFonts w:ascii="Times New Roman" w:eastAsia="Times New Roman" w:hAnsi="Times New Roman" w:cs="Times New Roman"/>
          <w:sz w:val="24"/>
          <w:szCs w:val="24"/>
          <w:lang w:val="lt-LT" w:eastAsia="lt-LT"/>
        </w:rPr>
        <w:t xml:space="preserve">, </w:t>
      </w:r>
      <w:bookmarkStart w:id="37" w:name="Buk_135"/>
      <w:r w:rsidR="00756415" w:rsidRPr="00E3423E">
        <w:rPr>
          <w:rFonts w:ascii="Times New Roman" w:eastAsia="Times New Roman" w:hAnsi="Times New Roman" w:cs="Times New Roman"/>
          <w:sz w:val="24"/>
          <w:szCs w:val="24"/>
          <w:lang w:val="lt-LT" w:eastAsia="lt-LT"/>
        </w:rPr>
        <w:t>V. P.</w:t>
      </w:r>
      <w:bookmarkEnd w:id="37"/>
      <w:r w:rsidRPr="009C64EB">
        <w:rPr>
          <w:rFonts w:ascii="Times New Roman" w:eastAsia="Times New Roman" w:hAnsi="Times New Roman" w:cs="Times New Roman"/>
          <w:sz w:val="24"/>
          <w:szCs w:val="24"/>
          <w:lang w:val="lt-LT" w:eastAsia="lt-LT"/>
        </w:rPr>
        <w:t xml:space="preserve">, </w:t>
      </w:r>
      <w:bookmarkStart w:id="38" w:name="Buk_69"/>
      <w:r w:rsidR="00756415" w:rsidRPr="00E3423E">
        <w:rPr>
          <w:rFonts w:ascii="Times New Roman" w:eastAsia="Times New Roman" w:hAnsi="Times New Roman" w:cs="Times New Roman"/>
          <w:sz w:val="24"/>
          <w:szCs w:val="24"/>
          <w:lang w:val="lt-LT" w:eastAsia="lt-LT"/>
        </w:rPr>
        <w:t>J. P.</w:t>
      </w:r>
      <w:bookmarkEnd w:id="38"/>
      <w:r w:rsidRPr="009C64EB">
        <w:rPr>
          <w:rFonts w:ascii="Times New Roman" w:eastAsia="Times New Roman" w:hAnsi="Times New Roman" w:cs="Times New Roman"/>
          <w:sz w:val="24"/>
          <w:szCs w:val="24"/>
          <w:lang w:val="lt-LT" w:eastAsia="lt-LT"/>
        </w:rPr>
        <w:t xml:space="preserve">, </w:t>
      </w:r>
      <w:bookmarkStart w:id="39" w:name="Buk_42"/>
      <w:r w:rsidR="00756415" w:rsidRPr="00E3423E">
        <w:rPr>
          <w:rFonts w:ascii="Times New Roman" w:eastAsia="Times New Roman" w:hAnsi="Times New Roman" w:cs="Times New Roman"/>
          <w:sz w:val="24"/>
          <w:szCs w:val="24"/>
          <w:lang w:val="lt-LT" w:eastAsia="lt-LT"/>
        </w:rPr>
        <w:t>D. L.</w:t>
      </w:r>
      <w:bookmarkEnd w:id="39"/>
      <w:r w:rsidRPr="009C64EB">
        <w:rPr>
          <w:rFonts w:ascii="Times New Roman" w:eastAsia="Times New Roman" w:hAnsi="Times New Roman" w:cs="Times New Roman"/>
          <w:sz w:val="24"/>
          <w:szCs w:val="24"/>
          <w:lang w:val="lt-LT" w:eastAsia="lt-LT"/>
        </w:rPr>
        <w:t>-B</w:t>
      </w:r>
      <w:r w:rsidR="008B004C">
        <w:rPr>
          <w:rFonts w:ascii="Times New Roman" w:eastAsia="Times New Roman" w:hAnsi="Times New Roman" w:cs="Times New Roman"/>
          <w:sz w:val="24"/>
          <w:szCs w:val="24"/>
          <w:lang w:val="lt-LT" w:eastAsia="lt-LT"/>
        </w:rPr>
        <w:t>.</w:t>
      </w:r>
      <w:r w:rsidRPr="009C64EB">
        <w:rPr>
          <w:rFonts w:ascii="Times New Roman" w:eastAsia="Times New Roman" w:hAnsi="Times New Roman" w:cs="Times New Roman"/>
          <w:sz w:val="24"/>
          <w:szCs w:val="24"/>
          <w:lang w:val="lt-LT" w:eastAsia="lt-LT"/>
        </w:rPr>
        <w:t xml:space="preserve">, </w:t>
      </w:r>
      <w:bookmarkStart w:id="40" w:name="Buk_3"/>
      <w:r w:rsidR="00756415" w:rsidRPr="00E3423E">
        <w:rPr>
          <w:rFonts w:ascii="Times New Roman" w:eastAsia="Times New Roman" w:hAnsi="Times New Roman" w:cs="Times New Roman"/>
          <w:sz w:val="24"/>
          <w:szCs w:val="24"/>
          <w:lang w:val="lt-LT" w:eastAsia="lt-LT"/>
        </w:rPr>
        <w:t xml:space="preserve">D. P. </w:t>
      </w:r>
      <w:bookmarkEnd w:id="40"/>
      <w:r w:rsidRPr="009C64EB">
        <w:rPr>
          <w:rFonts w:ascii="Times New Roman" w:eastAsia="Times New Roman" w:hAnsi="Times New Roman" w:cs="Times New Roman"/>
          <w:sz w:val="24"/>
          <w:szCs w:val="24"/>
          <w:lang w:val="lt-LT" w:eastAsia="lt-LT"/>
        </w:rPr>
        <w:t>ir R</w:t>
      </w:r>
      <w:r w:rsidR="008B004C">
        <w:rPr>
          <w:rFonts w:ascii="Times New Roman" w:eastAsia="Times New Roman" w:hAnsi="Times New Roman" w:cs="Times New Roman"/>
          <w:sz w:val="24"/>
          <w:szCs w:val="24"/>
          <w:lang w:val="lt-LT" w:eastAsia="lt-LT"/>
        </w:rPr>
        <w:t>.</w:t>
      </w:r>
      <w:r w:rsidRPr="009C64EB">
        <w:rPr>
          <w:rFonts w:ascii="Times New Roman" w:eastAsia="Times New Roman" w:hAnsi="Times New Roman" w:cs="Times New Roman"/>
          <w:sz w:val="24"/>
          <w:szCs w:val="24"/>
          <w:lang w:val="lt-LT" w:eastAsia="lt-LT"/>
        </w:rPr>
        <w:t xml:space="preserve"> </w:t>
      </w:r>
      <w:bookmarkStart w:id="41" w:name="Buk_102"/>
      <w:r w:rsidR="00756415" w:rsidRPr="00E3423E">
        <w:rPr>
          <w:rFonts w:ascii="Times New Roman" w:eastAsia="Times New Roman" w:hAnsi="Times New Roman" w:cs="Times New Roman"/>
          <w:sz w:val="24"/>
          <w:szCs w:val="24"/>
          <w:lang w:val="lt-LT" w:eastAsia="lt-LT"/>
        </w:rPr>
        <w:t xml:space="preserve">O. I. </w:t>
      </w:r>
      <w:bookmarkEnd w:id="41"/>
      <w:r w:rsidRPr="009C64EB">
        <w:rPr>
          <w:rFonts w:ascii="Times New Roman" w:eastAsia="Times New Roman" w:hAnsi="Times New Roman" w:cs="Times New Roman"/>
          <w:sz w:val="24"/>
          <w:szCs w:val="24"/>
          <w:lang w:val="lt-LT" w:eastAsia="lt-LT"/>
        </w:rPr>
        <w:t>skundą tenkino</w:t>
      </w:r>
      <w:r w:rsidRPr="009C64EB">
        <w:rPr>
          <w:rFonts w:ascii="Times New Roman" w:eastAsia="Times New Roman" w:hAnsi="Times New Roman" w:cs="Times New Roman"/>
          <w:sz w:val="24"/>
          <w:szCs w:val="24"/>
          <w:lang w:val="lt-LT"/>
        </w:rPr>
        <w:t xml:space="preserve">, </w:t>
      </w:r>
      <w:r w:rsidRPr="009C64EB">
        <w:rPr>
          <w:rFonts w:ascii="Times New Roman" w:eastAsia="Times New Roman" w:hAnsi="Times New Roman" w:cs="Times New Roman"/>
          <w:sz w:val="24"/>
          <w:szCs w:val="24"/>
          <w:lang w:val="lt-LT" w:eastAsia="lt-LT"/>
        </w:rPr>
        <w:t xml:space="preserve">panaikino Tarybos Nutarimo </w:t>
      </w:r>
      <w:r w:rsidRPr="009C64EB">
        <w:rPr>
          <w:rFonts w:ascii="Times New Roman" w:eastAsia="Times New Roman" w:hAnsi="Times New Roman" w:cs="Times New Roman"/>
          <w:sz w:val="24"/>
          <w:szCs w:val="24"/>
          <w:lang w:val="lt-LT"/>
        </w:rPr>
        <w:t xml:space="preserve">rezoliucinės dalies 1, 2 ir 3 punktus, kuriais pareiškėjai pripažinti pažeidę </w:t>
      </w:r>
      <w:r w:rsidRPr="009C64EB">
        <w:rPr>
          <w:rFonts w:ascii="Times New Roman" w:eastAsia="Times New Roman" w:hAnsi="Times New Roman" w:cs="Times New Roman"/>
          <w:sz w:val="24"/>
          <w:szCs w:val="24"/>
          <w:lang w:val="lt-LT" w:eastAsia="lt-LT"/>
        </w:rPr>
        <w:t xml:space="preserve">Konkurencijos įstatymo </w:t>
      </w:r>
      <w:r w:rsidRPr="009C64EB">
        <w:rPr>
          <w:rFonts w:ascii="Times New Roman" w:eastAsia="Times New Roman" w:hAnsi="Times New Roman" w:cs="Times New Roman"/>
          <w:sz w:val="24"/>
          <w:szCs w:val="24"/>
          <w:lang w:val="lt-LT"/>
        </w:rPr>
        <w:t xml:space="preserve">5 straipsnio 1 dalies 1 punkto ir </w:t>
      </w:r>
      <w:r w:rsidRPr="009C64EB">
        <w:rPr>
          <w:rFonts w:ascii="Times New Roman" w:eastAsia="Times New Roman" w:hAnsi="Times New Roman" w:cs="Times New Roman"/>
          <w:sz w:val="24"/>
          <w:szCs w:val="24"/>
          <w:lang w:val="lt-LT" w:eastAsia="lt-LT"/>
        </w:rPr>
        <w:t xml:space="preserve">SESV </w:t>
      </w:r>
      <w:r w:rsidRPr="009C64EB">
        <w:rPr>
          <w:rFonts w:ascii="Times New Roman" w:eastAsia="Times New Roman" w:hAnsi="Times New Roman" w:cs="Times New Roman"/>
          <w:sz w:val="24"/>
          <w:szCs w:val="24"/>
          <w:lang w:val="lt-LT"/>
        </w:rPr>
        <w:t>101 straipsnio 1 dalies a punkto reikalavimus, taip pat kuriais pareiškėjai įpareigoti nutraukti pažeidimą, jei jis dar tęsiamas, ir jiems paskirtos piniginės baudos.</w:t>
      </w:r>
    </w:p>
    <w:p w14:paraId="010AF44D"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Teismas pažymėjo, kad byloje kilo ginčas dėl Tarybos Nutarimo </w:t>
      </w:r>
      <w:r w:rsidRPr="009C64EB">
        <w:rPr>
          <w:rFonts w:ascii="Times New Roman" w:eastAsia="Times New Roman" w:hAnsi="Times New Roman" w:cs="Times New Roman"/>
          <w:sz w:val="24"/>
          <w:szCs w:val="24"/>
          <w:lang w:val="lt-LT" w:eastAsia="lt-LT"/>
        </w:rPr>
        <w:t>1, 2 ir 3 punktų</w:t>
      </w:r>
      <w:r w:rsidRPr="009C64EB">
        <w:rPr>
          <w:rFonts w:ascii="Times New Roman" w:eastAsia="Times New Roman" w:hAnsi="Times New Roman" w:cs="Times New Roman"/>
          <w:sz w:val="24"/>
          <w:szCs w:val="24"/>
          <w:lang w:val="lt-LT"/>
        </w:rPr>
        <w:t xml:space="preserve"> teisėtumo ir pagrįstumo.</w:t>
      </w:r>
    </w:p>
    <w:p w14:paraId="1C4ADBC2" w14:textId="4210A6C9"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Byloje nustatyta, kad Taryba, </w:t>
      </w:r>
      <w:r w:rsidRPr="009C64EB">
        <w:rPr>
          <w:rFonts w:ascii="Times New Roman" w:eastAsia="Times New Roman" w:hAnsi="Times New Roman" w:cs="Times New Roman"/>
          <w:sz w:val="24"/>
          <w:szCs w:val="24"/>
          <w:lang w:val="lt-LT" w:eastAsia="lt-LT"/>
        </w:rPr>
        <w:t>įtarusi, kad Lietuvos notarų rūmai galimai sudarė konkurenciją ribojantį susitarimą, kuriuo nustatė įkainius už hipotekos sandorių tvirtinimą ir jų taikymo aplinkybes bei už kitus notarinius veiksmus,</w:t>
      </w:r>
      <w:r w:rsidRPr="009C64EB">
        <w:rPr>
          <w:rFonts w:ascii="Times New Roman" w:eastAsia="Times New Roman" w:hAnsi="Times New Roman" w:cs="Times New Roman"/>
          <w:sz w:val="24"/>
          <w:szCs w:val="24"/>
          <w:lang w:val="lt-LT"/>
        </w:rPr>
        <w:t xml:space="preserve"> 2017 m. kovo 20 d. nutarimu Nr. 1S-31 (2017) pradėjo tyrimą </w:t>
      </w:r>
      <w:r w:rsidR="002A74C5">
        <w:rPr>
          <w:rFonts w:ascii="Times New Roman" w:eastAsia="Times New Roman" w:hAnsi="Times New Roman" w:cs="Times New Roman"/>
          <w:sz w:val="24"/>
          <w:szCs w:val="24"/>
          <w:lang w:val="lt-LT"/>
        </w:rPr>
        <w:t xml:space="preserve">dėl </w:t>
      </w:r>
      <w:r w:rsidRPr="009C64EB">
        <w:rPr>
          <w:rFonts w:ascii="Times New Roman" w:eastAsia="Times New Roman" w:hAnsi="Times New Roman" w:cs="Times New Roman"/>
          <w:sz w:val="24"/>
          <w:szCs w:val="24"/>
          <w:lang w:val="lt-LT"/>
        </w:rPr>
        <w:t xml:space="preserve">Lietuvos notarų rūmų galimo </w:t>
      </w:r>
      <w:r w:rsidRPr="009C64EB">
        <w:rPr>
          <w:rFonts w:ascii="Times New Roman" w:eastAsia="Times New Roman" w:hAnsi="Times New Roman" w:cs="Times New Roman"/>
          <w:sz w:val="24"/>
          <w:szCs w:val="24"/>
          <w:lang w:val="lt-LT" w:eastAsia="lt-LT"/>
        </w:rPr>
        <w:t>Konkurencijos įstatymo 5 straipsnio pažeidimo</w:t>
      </w:r>
      <w:r w:rsidRPr="009C64EB">
        <w:rPr>
          <w:rFonts w:ascii="Times New Roman" w:eastAsia="Times New Roman" w:hAnsi="Times New Roman" w:cs="Times New Roman"/>
          <w:sz w:val="24"/>
          <w:szCs w:val="24"/>
          <w:lang w:val="lt-LT"/>
        </w:rPr>
        <w:t xml:space="preserve">. </w:t>
      </w:r>
      <w:r w:rsidRPr="009C64EB">
        <w:rPr>
          <w:rFonts w:ascii="Times New Roman" w:eastAsia="Times New Roman" w:hAnsi="Times New Roman" w:cs="Times New Roman"/>
          <w:sz w:val="24"/>
          <w:szCs w:val="24"/>
          <w:lang w:val="lt-LT" w:eastAsia="lt-LT"/>
        </w:rPr>
        <w:t xml:space="preserve">Vilniaus apygardos administracinis teismas 2017 m. kovo 29 d. nutartimi leido Tarybos įgaliotiems pareigūnams visose Lietuvos notarų rūmų naudojamose patalpose, teritorijose ir transporto priemonėse, įskaitant registruotas buveinės patalpas, atlikti Konkurencijos įstatymo 25 straipsnio 1 dalies 1 punkte numatytus veiksmus. Taryba 2017 m. balandžio 5 d. atliko patikrinimą Lietuvos notarų rūmų registruotose buveinės patalpose bei paėmė tyrimui galimai įrodomosios reikšmės turinčios informacijos. Tarybos 2017 m. spalio 31 d. nutarimu į tyrimą buvo įtraukti ir Prezidiumo nariai. Tarybos 2017 m. lapkričio 14 d. nutarimu Nr. 1S-117 (2017) tyrimas buvo papildytas SESV 101 straipsnio vertinimu. Tarybos 2017 m. lapkričio 16 d. pranešimu Nr. 6S-14 (2017) pareiškėjai buvo informuoti apie atliktą tyrimą, siūlymus ir priimtas išvadas. Tarybos posėdis įvyko 2018 m. vasario 14 d. Taryba 2018 m. balandžio 26 d. priėmė nutarimą Nr. 2S-2(2018), kuriuo pripažino, kad Lietuvos notarų rūmų prezidiumas, kaip valdymo organas, pateikdamas išaiškinimus dėl Laikinųjų dydžių, kuriuos Taryba prilygino konkurentų antikorupciniam susitarimui, pažeidė Konkurencijos įstatymo 5 straipsnio 1 dalies 1 punkto ir SESV 101 straipsnio 1 dalies a punkto reikalavimus. Nutarimu Taryba pareiškėjus įpareigojo nutraukti pažeidimą, jeigu jis vis dar tęsiamas, paskyrė pinigines baudas bei nutarė kreiptis į </w:t>
      </w:r>
      <w:r w:rsidR="002A74C5">
        <w:rPr>
          <w:rFonts w:ascii="Times New Roman" w:eastAsia="Times New Roman" w:hAnsi="Times New Roman" w:cs="Times New Roman"/>
          <w:sz w:val="24"/>
          <w:szCs w:val="24"/>
          <w:lang w:val="lt-LT" w:eastAsia="lt-LT"/>
        </w:rPr>
        <w:t xml:space="preserve">Lietuvos Respublikos </w:t>
      </w:r>
      <w:r w:rsidRPr="009C64EB">
        <w:rPr>
          <w:rFonts w:ascii="Times New Roman" w:eastAsia="Times New Roman" w:hAnsi="Times New Roman" w:cs="Times New Roman"/>
          <w:sz w:val="24"/>
          <w:szCs w:val="24"/>
          <w:lang w:val="lt-LT" w:eastAsia="lt-LT"/>
        </w:rPr>
        <w:t>Vyriausybę su siūlymu inicijuoti Notariato įstatymo 19 straipsnio pakeitimą.</w:t>
      </w:r>
    </w:p>
    <w:p w14:paraId="7EDD5447" w14:textId="3A584E10"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Teismas aptarė Notariato įstatymo 9 straipsnio 5 dalies, </w:t>
      </w:r>
      <w:r w:rsidRPr="009C64EB">
        <w:rPr>
          <w:rFonts w:ascii="Times New Roman" w:eastAsia="Times New Roman" w:hAnsi="Times New Roman" w:cs="Times New Roman"/>
          <w:sz w:val="24"/>
          <w:szCs w:val="24"/>
          <w:lang w:val="lt-LT" w:eastAsia="lt-LT"/>
        </w:rPr>
        <w:t xml:space="preserve">19, </w:t>
      </w:r>
      <w:r w:rsidRPr="009C64EB">
        <w:rPr>
          <w:rFonts w:ascii="Times New Roman" w:eastAsia="Times New Roman" w:hAnsi="Times New Roman" w:cs="Times New Roman"/>
          <w:sz w:val="24"/>
          <w:szCs w:val="24"/>
          <w:lang w:val="lt-LT"/>
        </w:rPr>
        <w:t>19</w:t>
      </w:r>
      <w:r w:rsidRPr="009C64EB">
        <w:rPr>
          <w:rFonts w:ascii="Times New Roman" w:eastAsia="Times New Roman" w:hAnsi="Times New Roman" w:cs="Times New Roman"/>
          <w:sz w:val="24"/>
          <w:szCs w:val="24"/>
          <w:vertAlign w:val="superscript"/>
          <w:lang w:val="lt-LT"/>
        </w:rPr>
        <w:t>1</w:t>
      </w:r>
      <w:r w:rsidRPr="009C64EB">
        <w:rPr>
          <w:rFonts w:ascii="Times New Roman" w:eastAsia="Times New Roman" w:hAnsi="Times New Roman" w:cs="Times New Roman"/>
          <w:sz w:val="24"/>
          <w:szCs w:val="24"/>
          <w:lang w:val="lt-LT"/>
        </w:rPr>
        <w:t xml:space="preserve"> straipsnių nuostatas, Lietuvos </w:t>
      </w:r>
      <w:r w:rsidRPr="009C64EB">
        <w:rPr>
          <w:rFonts w:ascii="Times New Roman" w:eastAsia="Times New Roman" w:hAnsi="Times New Roman" w:cs="Times New Roman"/>
          <w:sz w:val="24"/>
          <w:szCs w:val="24"/>
          <w:lang w:val="lt-LT" w:eastAsia="lt-LT"/>
        </w:rPr>
        <w:t>notarų rūmų statuto, patvirtinto Teisingumo ministro 2008 m. sausio 3 d. įsakymu Nr. 1R-3</w:t>
      </w:r>
      <w:r w:rsidR="002A74C5">
        <w:rPr>
          <w:rFonts w:ascii="Times New Roman" w:eastAsia="Times New Roman" w:hAnsi="Times New Roman" w:cs="Times New Roman"/>
          <w:sz w:val="24"/>
          <w:szCs w:val="24"/>
          <w:lang w:val="lt-LT" w:eastAsia="lt-LT"/>
        </w:rPr>
        <w:t>,</w:t>
      </w:r>
      <w:r w:rsidRPr="009C64EB">
        <w:rPr>
          <w:rFonts w:ascii="Times New Roman" w:eastAsia="Times New Roman" w:hAnsi="Times New Roman" w:cs="Times New Roman"/>
          <w:sz w:val="24"/>
          <w:szCs w:val="24"/>
          <w:lang w:val="lt-LT" w:eastAsia="lt-LT"/>
        </w:rPr>
        <w:t xml:space="preserve"> (toliau – ir Statutas) 8 straipsnyje įtvirtintą normą ir darė išvadą, kad kolegialus</w:t>
      </w:r>
      <w:r w:rsidRPr="009C64EB">
        <w:rPr>
          <w:rFonts w:ascii="Times New Roman" w:eastAsia="Times New Roman" w:hAnsi="Times New Roman" w:cs="Times New Roman"/>
          <w:sz w:val="24"/>
          <w:szCs w:val="24"/>
          <w:lang w:val="lt-LT"/>
        </w:rPr>
        <w:t xml:space="preserve"> Lietuvos notarų rūmų valdymo organas Prezidiumas pateikė Išaiškinimus, kuriuose išaiškino, kad</w:t>
      </w:r>
      <w:r w:rsidRPr="009C64EB">
        <w:rPr>
          <w:rFonts w:ascii="Times New Roman" w:eastAsia="Times New Roman" w:hAnsi="Times New Roman" w:cs="Times New Roman"/>
          <w:sz w:val="24"/>
          <w:szCs w:val="24"/>
          <w:lang w:val="lt-LT" w:eastAsia="lt-LT"/>
        </w:rPr>
        <w:t xml:space="preserve"> kai </w:t>
      </w:r>
      <w:bookmarkStart w:id="42" w:name="_Hlk512340271"/>
      <w:r w:rsidRPr="009C64EB">
        <w:rPr>
          <w:rFonts w:ascii="Times New Roman" w:eastAsia="Times New Roman" w:hAnsi="Times New Roman" w:cs="Times New Roman"/>
          <w:sz w:val="24"/>
          <w:szCs w:val="24"/>
          <w:lang w:val="lt-LT" w:eastAsia="lt-LT"/>
        </w:rPr>
        <w:t xml:space="preserve">sandorio šalys nenurodo įkeičiamo objekto vertės, </w:t>
      </w:r>
      <w:bookmarkStart w:id="43" w:name="_Hlk512338665"/>
      <w:r w:rsidRPr="009C64EB">
        <w:rPr>
          <w:rFonts w:ascii="Times New Roman" w:eastAsia="Times New Roman" w:hAnsi="Times New Roman" w:cs="Times New Roman"/>
          <w:sz w:val="24"/>
          <w:szCs w:val="24"/>
          <w:lang w:val="lt-LT" w:eastAsia="lt-LT"/>
        </w:rPr>
        <w:t>už hipotekos (įkeitimo) sandorio patvirtinim</w:t>
      </w:r>
      <w:bookmarkEnd w:id="42"/>
      <w:r w:rsidRPr="009C64EB">
        <w:rPr>
          <w:rFonts w:ascii="Times New Roman" w:eastAsia="Times New Roman" w:hAnsi="Times New Roman" w:cs="Times New Roman"/>
          <w:sz w:val="24"/>
          <w:szCs w:val="24"/>
          <w:lang w:val="lt-LT" w:eastAsia="lt-LT"/>
        </w:rPr>
        <w:t>ą</w:t>
      </w:r>
      <w:bookmarkEnd w:id="43"/>
      <w:r w:rsidRPr="009C64EB">
        <w:rPr>
          <w:rFonts w:ascii="Times New Roman" w:eastAsia="Times New Roman" w:hAnsi="Times New Roman" w:cs="Times New Roman"/>
          <w:sz w:val="24"/>
          <w:szCs w:val="24"/>
          <w:lang w:val="lt-LT" w:eastAsia="lt-LT"/>
        </w:rPr>
        <w:t xml:space="preserve"> turi būti imamas maksimalaus dydžio notaro atlyginimas; patvirtino išaiškinimą, kaip apskaičiuojamas notaro atlyginimas, </w:t>
      </w:r>
      <w:bookmarkStart w:id="44" w:name="_Hlk508701036"/>
      <w:r w:rsidRPr="009C64EB">
        <w:rPr>
          <w:rFonts w:ascii="Times New Roman" w:eastAsia="Times New Roman" w:hAnsi="Times New Roman" w:cs="Times New Roman"/>
          <w:sz w:val="24"/>
          <w:szCs w:val="24"/>
          <w:lang w:val="lt-LT" w:eastAsia="lt-LT"/>
        </w:rPr>
        <w:t xml:space="preserve">kai viena sutartimi </w:t>
      </w:r>
      <w:bookmarkStart w:id="45" w:name="_Hlk512338398"/>
      <w:r w:rsidRPr="009C64EB">
        <w:rPr>
          <w:rFonts w:ascii="Times New Roman" w:eastAsia="Times New Roman" w:hAnsi="Times New Roman" w:cs="Times New Roman"/>
          <w:sz w:val="24"/>
          <w:szCs w:val="24"/>
          <w:lang w:val="lt-LT" w:eastAsia="lt-LT"/>
        </w:rPr>
        <w:t>nustatomas servitutas keliems nekilnojamiems daiktams</w:t>
      </w:r>
      <w:bookmarkEnd w:id="44"/>
      <w:bookmarkEnd w:id="45"/>
      <w:r w:rsidR="002A74C5">
        <w:rPr>
          <w:rFonts w:ascii="Times New Roman" w:eastAsia="Times New Roman" w:hAnsi="Times New Roman" w:cs="Times New Roman"/>
          <w:sz w:val="24"/>
          <w:szCs w:val="24"/>
          <w:lang w:val="lt-LT" w:eastAsia="lt-LT"/>
        </w:rPr>
        <w:t>,</w:t>
      </w:r>
      <w:r w:rsidRPr="009C64EB">
        <w:rPr>
          <w:rFonts w:ascii="Times New Roman" w:eastAsia="Times New Roman" w:hAnsi="Times New Roman" w:cs="Times New Roman"/>
          <w:sz w:val="24"/>
          <w:szCs w:val="24"/>
          <w:lang w:val="lt-LT" w:eastAsia="lt-LT"/>
        </w:rPr>
        <w:t xml:space="preserve"> ir nurodė, kad Laikinuosiuose dydžiuose nustatytas atlyginimo dydis dauginamas „iš daiktų, kuriems nustatomas servitutas skaičiaus“; patvirtino išaiškinimą, kaip apskaičiuojamas notaro atlyginimas, </w:t>
      </w:r>
      <w:bookmarkStart w:id="46" w:name="_Hlk508701057"/>
      <w:bookmarkStart w:id="47" w:name="_Hlk512338418"/>
      <w:r w:rsidRPr="009C64EB">
        <w:rPr>
          <w:rFonts w:ascii="Times New Roman" w:eastAsia="Times New Roman" w:hAnsi="Times New Roman" w:cs="Times New Roman"/>
          <w:sz w:val="24"/>
          <w:szCs w:val="24"/>
          <w:lang w:val="lt-LT" w:eastAsia="lt-LT"/>
        </w:rPr>
        <w:t xml:space="preserve">kai </w:t>
      </w:r>
      <w:bookmarkStart w:id="48" w:name="_Hlk497865299"/>
      <w:r w:rsidRPr="009C64EB">
        <w:rPr>
          <w:rFonts w:ascii="Times New Roman" w:eastAsia="Times New Roman" w:hAnsi="Times New Roman" w:cs="Times New Roman"/>
          <w:sz w:val="24"/>
          <w:szCs w:val="24"/>
          <w:lang w:val="lt-LT" w:eastAsia="lt-LT"/>
        </w:rPr>
        <w:t>viena sutartimi mainomos kelių daiktų dalys</w:t>
      </w:r>
      <w:bookmarkEnd w:id="46"/>
      <w:bookmarkEnd w:id="47"/>
      <w:bookmarkEnd w:id="48"/>
      <w:r w:rsidRPr="009C64EB">
        <w:rPr>
          <w:rFonts w:ascii="Times New Roman" w:eastAsia="Times New Roman" w:hAnsi="Times New Roman" w:cs="Times New Roman"/>
          <w:sz w:val="24"/>
          <w:szCs w:val="24"/>
          <w:lang w:val="lt-LT" w:eastAsia="lt-LT"/>
        </w:rPr>
        <w:t xml:space="preserve">, taip pat nusprendė, kad Laikinuosiuose dydžiuose nustatytas atlyginimo dydis skaičiuojamas „nuo kiekvieno sandoriu perleidžiamo daikto kainos ir tada susumuojamas“; </w:t>
      </w:r>
      <w:bookmarkStart w:id="49" w:name="_Hlk511311149"/>
      <w:r w:rsidRPr="009C64EB">
        <w:rPr>
          <w:rFonts w:ascii="Times New Roman" w:eastAsia="Times New Roman" w:hAnsi="Times New Roman" w:cs="Times New Roman"/>
          <w:sz w:val="24"/>
          <w:szCs w:val="24"/>
          <w:lang w:val="lt-LT" w:eastAsia="lt-LT"/>
        </w:rPr>
        <w:t xml:space="preserve">išaiškino, kaip turi būti apskaičiuojamas notarų atlyginimas tuo atveju, </w:t>
      </w:r>
      <w:bookmarkStart w:id="50" w:name="_Hlk512338431"/>
      <w:r w:rsidRPr="009C64EB">
        <w:rPr>
          <w:rFonts w:ascii="Times New Roman" w:eastAsia="Times New Roman" w:hAnsi="Times New Roman" w:cs="Times New Roman"/>
          <w:sz w:val="24"/>
          <w:szCs w:val="24"/>
          <w:lang w:val="lt-LT" w:eastAsia="lt-LT"/>
        </w:rPr>
        <w:t>kai vienu hipotekos sandoriu įkeičiami keli nekilnojamieji daiktai</w:t>
      </w:r>
      <w:bookmarkEnd w:id="49"/>
      <w:bookmarkEnd w:id="50"/>
      <w:r w:rsidR="002A74C5">
        <w:rPr>
          <w:rFonts w:ascii="Times New Roman" w:eastAsia="Times New Roman" w:hAnsi="Times New Roman" w:cs="Times New Roman"/>
          <w:sz w:val="24"/>
          <w:szCs w:val="24"/>
          <w:lang w:val="lt-LT" w:eastAsia="lt-LT"/>
        </w:rPr>
        <w:t>,</w:t>
      </w:r>
      <w:r w:rsidRPr="009C64EB">
        <w:rPr>
          <w:rFonts w:ascii="Times New Roman" w:eastAsia="Times New Roman" w:hAnsi="Times New Roman" w:cs="Times New Roman"/>
          <w:sz w:val="24"/>
          <w:szCs w:val="24"/>
          <w:lang w:val="lt-LT" w:eastAsia="lt-LT"/>
        </w:rPr>
        <w:t xml:space="preserve"> bei nusprendė, kad Laikinuosiuose dydžiuose nustatytas </w:t>
      </w:r>
      <w:bookmarkStart w:id="51" w:name="_Hlk512519963"/>
      <w:r w:rsidRPr="009C64EB">
        <w:rPr>
          <w:rFonts w:ascii="Times New Roman" w:eastAsia="Times New Roman" w:hAnsi="Times New Roman" w:cs="Times New Roman"/>
          <w:sz w:val="24"/>
          <w:szCs w:val="24"/>
          <w:lang w:val="lt-LT" w:eastAsia="lt-LT"/>
        </w:rPr>
        <w:t>„notaro atlyginimo dydis skaičiuojamas nuo kiekvieno įkeičiamo nekilnojamojo daikto vertės ir tada sumuojamas“</w:t>
      </w:r>
      <w:bookmarkEnd w:id="51"/>
      <w:r w:rsidRPr="009C64EB">
        <w:rPr>
          <w:rFonts w:ascii="Times New Roman" w:eastAsia="Times New Roman" w:hAnsi="Times New Roman" w:cs="Times New Roman"/>
          <w:sz w:val="24"/>
          <w:szCs w:val="24"/>
          <w:lang w:val="lt-LT" w:eastAsia="lt-LT"/>
        </w:rPr>
        <w:t>.</w:t>
      </w:r>
    </w:p>
    <w:p w14:paraId="0BF712FB" w14:textId="00DD2791"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Teismas nurodė, kad </w:t>
      </w:r>
      <w:r w:rsidRPr="009C64EB">
        <w:rPr>
          <w:rFonts w:ascii="Times New Roman" w:eastAsia="Times New Roman" w:hAnsi="Times New Roman" w:cs="Times New Roman"/>
          <w:sz w:val="24"/>
          <w:szCs w:val="24"/>
          <w:lang w:val="lt-LT" w:eastAsia="lt-LT"/>
        </w:rPr>
        <w:t xml:space="preserve">Taryba, atlikusi tyrimą, nustatė, jog </w:t>
      </w:r>
      <w:r w:rsidRPr="009C64EB">
        <w:rPr>
          <w:rFonts w:ascii="Times New Roman" w:eastAsia="Times New Roman" w:hAnsi="Times New Roman" w:cs="Times New Roman"/>
          <w:sz w:val="24"/>
          <w:szCs w:val="24"/>
          <w:lang w:val="lt-LT"/>
        </w:rPr>
        <w:t xml:space="preserve">pareiškėjai Išaiškinimais eliminavo notarų galimybę savarankiškai nustatyti atlyginimo dydį Laikinuosiuose dydžiuose įtvirtintų atlyginimo dydžių ribose bei pasirinkti atlyginimo dydžio apskaičiavimo būdą, t. y. tokiais veiksmais pareiškėjai apribojo notarų (konkurentų) veikimo laisvę ir panaikino netikrumą dėl kitų notarų (konkurentų) elgesio rinkoje. Teismas nustatė, kad nagrinėjamos bylos objektas – pareiškėjų sudarytas konkurenciją ribojantis </w:t>
      </w:r>
      <w:r w:rsidRPr="009C64EB">
        <w:rPr>
          <w:rFonts w:ascii="Times New Roman" w:eastAsia="Times New Roman" w:hAnsi="Times New Roman" w:cs="Times New Roman"/>
          <w:sz w:val="24"/>
          <w:szCs w:val="24"/>
          <w:lang w:val="lt-LT"/>
        </w:rPr>
        <w:lastRenderedPageBreak/>
        <w:t>susitarimas, o keliamo ginčo specifika yra tame, jog poveikį konkurencijai sukėlė ne atskiri tarp ūkio subjektų (notarų) sudaryti tiesioginiai ar netiesioginiai draudžiami susitarimai, o kaip nurodo Tarnyba, neigiamą poveikį konkurencijai sukėlė Lietuvos notarų rūmai, veikę per savo valdymo organą – Prezidiumą, pateikdami Išaiškinimus (pa</w:t>
      </w:r>
      <w:r w:rsidR="002A74C5">
        <w:rPr>
          <w:rFonts w:ascii="Times New Roman" w:eastAsia="Times New Roman" w:hAnsi="Times New Roman" w:cs="Times New Roman"/>
          <w:sz w:val="24"/>
          <w:szCs w:val="24"/>
          <w:lang w:val="lt-LT"/>
        </w:rPr>
        <w:t>skelbdami</w:t>
      </w:r>
      <w:r w:rsidRPr="009C64EB">
        <w:rPr>
          <w:rFonts w:ascii="Times New Roman" w:eastAsia="Times New Roman" w:hAnsi="Times New Roman" w:cs="Times New Roman"/>
          <w:sz w:val="24"/>
          <w:szCs w:val="24"/>
          <w:lang w:val="lt-LT"/>
        </w:rPr>
        <w:t xml:space="preserve"> Notarų rūmų vidinėje interneto svetainėje) dėl Notarų imamo atlyginimo už notarinių veiksmų atlikimą.</w:t>
      </w:r>
    </w:p>
    <w:p w14:paraId="209FE7B3" w14:textId="7BB28661"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Teismas (</w:t>
      </w:r>
      <w:r w:rsidRPr="009C64EB">
        <w:rPr>
          <w:rFonts w:ascii="Times New Roman" w:eastAsia="Times New Roman" w:hAnsi="Times New Roman" w:cs="Times New Roman"/>
          <w:sz w:val="24"/>
          <w:szCs w:val="24"/>
          <w:lang w:val="lt-LT" w:eastAsia="lt-LT"/>
        </w:rPr>
        <w:t xml:space="preserve">tik pareiškėjų atliktų veiksmų (pateiktų Išaiškinimų, kuriais nustatyti maksimalūs galimi notarų atlyginimo dydžiai) ribose) </w:t>
      </w:r>
      <w:r w:rsidRPr="009C64EB">
        <w:rPr>
          <w:rFonts w:ascii="Times New Roman" w:eastAsia="Times New Roman" w:hAnsi="Times New Roman" w:cs="Times New Roman"/>
          <w:sz w:val="24"/>
          <w:szCs w:val="24"/>
          <w:lang w:val="lt-LT"/>
        </w:rPr>
        <w:t xml:space="preserve">aptarė notaro, kaip valstybės įgalioto asmens, Lietuvos notarų rūmų, kaip viešojo juridinio asmens, kurio teisinė forma – asociacija, Prezidiumo statusus, Lietuvos Respublikos Konstitucinio </w:t>
      </w:r>
      <w:r w:rsidR="002A74C5">
        <w:rPr>
          <w:rFonts w:ascii="Times New Roman" w:eastAsia="Times New Roman" w:hAnsi="Times New Roman" w:cs="Times New Roman"/>
          <w:sz w:val="24"/>
          <w:szCs w:val="24"/>
          <w:lang w:val="lt-LT"/>
        </w:rPr>
        <w:t>T</w:t>
      </w:r>
      <w:r w:rsidRPr="009C64EB">
        <w:rPr>
          <w:rFonts w:ascii="Times New Roman" w:eastAsia="Times New Roman" w:hAnsi="Times New Roman" w:cs="Times New Roman"/>
          <w:sz w:val="24"/>
          <w:szCs w:val="24"/>
          <w:lang w:val="lt-LT"/>
        </w:rPr>
        <w:t xml:space="preserve">eismo 2010 m. kovo 22 d. nutarimą šiuo aspektu ir darė išvadą, kad </w:t>
      </w:r>
      <w:r w:rsidRPr="009C64EB">
        <w:rPr>
          <w:rFonts w:ascii="Times New Roman" w:eastAsia="Times New Roman" w:hAnsi="Times New Roman" w:cs="Times New Roman"/>
          <w:color w:val="000000"/>
          <w:sz w:val="24"/>
          <w:szCs w:val="24"/>
          <w:shd w:val="clear" w:color="auto" w:fill="FFFFFF"/>
          <w:lang w:val="lt-LT"/>
        </w:rPr>
        <w:t xml:space="preserve">notaro teisinis statusas aiškiai išsiskiria pagal šio subjekto svarbą vykdant viešąjį interesą užtikrinančias funkcijas, notarų statusas ir veikla yra aiškiai sureguliuoti teisės aktų nuostatomis, o notaras yra asmuo, </w:t>
      </w:r>
      <w:r w:rsidRPr="009C64EB">
        <w:rPr>
          <w:rFonts w:ascii="Times New Roman" w:eastAsia="Times New Roman" w:hAnsi="Times New Roman" w:cs="Times New Roman"/>
          <w:sz w:val="24"/>
          <w:szCs w:val="24"/>
          <w:lang w:val="lt-LT"/>
        </w:rPr>
        <w:t>vykdantis išskirtinai tik jam valstybės deleguotas funkcijas</w:t>
      </w:r>
      <w:r w:rsidRPr="009C64EB">
        <w:rPr>
          <w:rFonts w:ascii="Times New Roman" w:eastAsia="Times New Roman" w:hAnsi="Times New Roman" w:cs="Times New Roman"/>
          <w:color w:val="000000"/>
          <w:sz w:val="24"/>
          <w:szCs w:val="24"/>
          <w:shd w:val="clear" w:color="auto" w:fill="FFFFFF"/>
          <w:lang w:val="lt-LT"/>
        </w:rPr>
        <w:t xml:space="preserve">. Notaras valstybės deleguotas </w:t>
      </w:r>
      <w:r w:rsidRPr="009C64EB">
        <w:rPr>
          <w:rFonts w:ascii="Times New Roman" w:eastAsia="Times New Roman" w:hAnsi="Times New Roman" w:cs="Times New Roman"/>
          <w:sz w:val="24"/>
          <w:szCs w:val="24"/>
          <w:shd w:val="clear" w:color="auto" w:fill="FFFFFF"/>
          <w:lang w:val="lt-LT"/>
        </w:rPr>
        <w:t xml:space="preserve">funkcijas iš esmės atlieka savo rizika ir sąskaita. Teismas vertino, kad </w:t>
      </w:r>
      <w:r w:rsidRPr="009C64EB">
        <w:rPr>
          <w:rFonts w:ascii="Times New Roman" w:eastAsia="Times New Roman" w:hAnsi="Times New Roman" w:cs="Times New Roman"/>
          <w:sz w:val="24"/>
          <w:szCs w:val="24"/>
          <w:lang w:val="lt-LT"/>
        </w:rPr>
        <w:t xml:space="preserve">Prezidiumo narių – notarų traktavimas kaip ūkio subjektų Konkurencijos įstatymo taikymo prasme būtų teisiškai aktualus tuo atveju, jei susitarimas vyktų tarp notarų, kaip savarankiškų ūkio subjektų dėl kainų nustatymo tam tikroje rinkoje / teritorijoje. Teismas sprendė, jog pareiškėjai (notarai), </w:t>
      </w:r>
      <w:r w:rsidR="00AE0254">
        <w:rPr>
          <w:rFonts w:ascii="Times New Roman" w:eastAsia="Times New Roman" w:hAnsi="Times New Roman" w:cs="Times New Roman"/>
          <w:sz w:val="24"/>
          <w:szCs w:val="24"/>
          <w:lang w:val="lt-LT"/>
        </w:rPr>
        <w:t xml:space="preserve">dėl </w:t>
      </w:r>
      <w:r w:rsidRPr="009C64EB">
        <w:rPr>
          <w:rFonts w:ascii="Times New Roman" w:eastAsia="Times New Roman" w:hAnsi="Times New Roman" w:cs="Times New Roman"/>
          <w:sz w:val="24"/>
          <w:szCs w:val="24"/>
          <w:lang w:val="lt-LT"/>
        </w:rPr>
        <w:t>kurių buvo priimtas Nutarimas, veikė ne kaip ūkio subjektai – savarankiškai rinkoje veikiantys notarai, o kaip Lietuvos notarų rūmų valdymo organo Prezidiumo nariai, kurie iš esmės tik vykdė įstatymo priskirtas funkcijas, t. y. pateikė Išaiškinimus dėl notarinės praktikos vienodinimo, kurių teikimas yra jų pareiga</w:t>
      </w:r>
      <w:r w:rsidR="00AE0254">
        <w:rPr>
          <w:rFonts w:ascii="Times New Roman" w:eastAsia="Times New Roman" w:hAnsi="Times New Roman" w:cs="Times New Roman"/>
          <w:sz w:val="24"/>
          <w:szCs w:val="24"/>
          <w:lang w:val="lt-LT"/>
        </w:rPr>
        <w:t>, kylanti iš įstatymo</w:t>
      </w:r>
      <w:r w:rsidRPr="009C64EB">
        <w:rPr>
          <w:rFonts w:ascii="Times New Roman" w:eastAsia="Times New Roman" w:hAnsi="Times New Roman" w:cs="Times New Roman"/>
          <w:sz w:val="24"/>
          <w:szCs w:val="24"/>
          <w:lang w:val="lt-LT"/>
        </w:rPr>
        <w:t xml:space="preserve">. Teismas pažymėjo, kad Prezidiumo nariai veikė įstatymo ribose, neteikti rekomendacijų jie negalėjo. Įkainių už šioje byloje </w:t>
      </w:r>
      <w:proofErr w:type="spellStart"/>
      <w:r w:rsidRPr="009C64EB">
        <w:rPr>
          <w:rFonts w:ascii="Times New Roman" w:eastAsia="Times New Roman" w:hAnsi="Times New Roman" w:cs="Times New Roman"/>
          <w:sz w:val="24"/>
          <w:szCs w:val="24"/>
          <w:lang w:val="lt-LT"/>
        </w:rPr>
        <w:t>relevantiškus</w:t>
      </w:r>
      <w:proofErr w:type="spellEnd"/>
      <w:r w:rsidRPr="009C64EB">
        <w:rPr>
          <w:rFonts w:ascii="Times New Roman" w:eastAsia="Times New Roman" w:hAnsi="Times New Roman" w:cs="Times New Roman"/>
          <w:sz w:val="24"/>
          <w:szCs w:val="24"/>
          <w:lang w:val="lt-LT"/>
        </w:rPr>
        <w:t xml:space="preserve"> notarinius veiksmus nustatymas buvo teisėtai pagrįstas viešojo intereso požiūriu, </w:t>
      </w:r>
      <w:proofErr w:type="spellStart"/>
      <w:r w:rsidRPr="009C64EB">
        <w:rPr>
          <w:rFonts w:ascii="Times New Roman" w:eastAsia="Times New Roman" w:hAnsi="Times New Roman" w:cs="Times New Roman"/>
          <w:i/>
          <w:sz w:val="24"/>
          <w:szCs w:val="24"/>
          <w:lang w:val="lt-LT"/>
        </w:rPr>
        <w:t>inter</w:t>
      </w:r>
      <w:proofErr w:type="spellEnd"/>
      <w:r w:rsidRPr="009C64EB">
        <w:rPr>
          <w:rFonts w:ascii="Times New Roman" w:eastAsia="Times New Roman" w:hAnsi="Times New Roman" w:cs="Times New Roman"/>
          <w:i/>
          <w:sz w:val="24"/>
          <w:szCs w:val="24"/>
          <w:lang w:val="lt-LT"/>
        </w:rPr>
        <w:t xml:space="preserve"> alia </w:t>
      </w:r>
      <w:r w:rsidRPr="009C64EB">
        <w:rPr>
          <w:rFonts w:ascii="Times New Roman" w:eastAsia="Times New Roman" w:hAnsi="Times New Roman" w:cs="Times New Roman"/>
          <w:iCs/>
          <w:sz w:val="24"/>
          <w:szCs w:val="24"/>
          <w:lang w:val="lt-LT"/>
        </w:rPr>
        <w:t>(įskaitant, be kita ko),</w:t>
      </w:r>
      <w:r w:rsidRPr="009C64EB">
        <w:rPr>
          <w:rFonts w:ascii="Times New Roman" w:eastAsia="Times New Roman" w:hAnsi="Times New Roman" w:cs="Times New Roman"/>
          <w:sz w:val="24"/>
          <w:szCs w:val="24"/>
          <w:lang w:val="lt-LT"/>
        </w:rPr>
        <w:t xml:space="preserve"> kryžminio subsidijavimo kriterijaus aspektu kainų suvienodinimas buvo objektyviai būtinas ir pateisinamas. Teism</w:t>
      </w:r>
      <w:r w:rsidR="00B87D3B">
        <w:rPr>
          <w:rFonts w:ascii="Times New Roman" w:eastAsia="Times New Roman" w:hAnsi="Times New Roman" w:cs="Times New Roman"/>
          <w:sz w:val="24"/>
          <w:szCs w:val="24"/>
          <w:lang w:val="lt-LT"/>
        </w:rPr>
        <w:t>as</w:t>
      </w:r>
      <w:r w:rsidRPr="009C64EB">
        <w:rPr>
          <w:rFonts w:ascii="Times New Roman" w:eastAsia="Times New Roman" w:hAnsi="Times New Roman" w:cs="Times New Roman"/>
          <w:sz w:val="24"/>
          <w:szCs w:val="24"/>
          <w:lang w:val="lt-LT"/>
        </w:rPr>
        <w:t xml:space="preserve"> vertino, jog Notariato įstatymo 19</w:t>
      </w:r>
      <w:r w:rsidRPr="009C64EB">
        <w:rPr>
          <w:rFonts w:ascii="Times New Roman" w:eastAsia="Times New Roman" w:hAnsi="Times New Roman" w:cs="Times New Roman"/>
          <w:sz w:val="24"/>
          <w:szCs w:val="24"/>
          <w:vertAlign w:val="superscript"/>
          <w:lang w:val="lt-LT"/>
        </w:rPr>
        <w:t>1</w:t>
      </w:r>
      <w:r w:rsidRPr="009C64EB">
        <w:rPr>
          <w:rFonts w:ascii="Times New Roman" w:eastAsia="Times New Roman" w:hAnsi="Times New Roman" w:cs="Times New Roman"/>
          <w:sz w:val="24"/>
          <w:szCs w:val="24"/>
          <w:lang w:val="lt-LT"/>
        </w:rPr>
        <w:t xml:space="preserve"> straipsnyje nustatyti </w:t>
      </w:r>
      <w:r w:rsidRPr="009C64EB">
        <w:rPr>
          <w:rFonts w:ascii="Times New Roman" w:eastAsia="Times New Roman" w:hAnsi="Times New Roman" w:cs="Times New Roman"/>
          <w:bCs/>
          <w:sz w:val="24"/>
          <w:szCs w:val="24"/>
          <w:lang w:val="lt-LT"/>
        </w:rPr>
        <w:t>atlyginimo</w:t>
      </w:r>
      <w:r w:rsidRPr="009C64EB">
        <w:rPr>
          <w:rFonts w:ascii="Times New Roman" w:eastAsia="Times New Roman" w:hAnsi="Times New Roman" w:cs="Times New Roman"/>
          <w:sz w:val="24"/>
          <w:szCs w:val="24"/>
          <w:lang w:val="lt-LT"/>
        </w:rPr>
        <w:t xml:space="preserve"> </w:t>
      </w:r>
      <w:r w:rsidRPr="009C64EB">
        <w:rPr>
          <w:rFonts w:ascii="Times New Roman" w:eastAsia="Times New Roman" w:hAnsi="Times New Roman" w:cs="Times New Roman"/>
          <w:bCs/>
          <w:sz w:val="24"/>
          <w:szCs w:val="24"/>
          <w:lang w:val="lt-LT"/>
        </w:rPr>
        <w:t xml:space="preserve">už notarinių veiksmų atlikimą, sandorių projektų parengimą, konsultacijas ir technines paslaugas dydžių (įkainių) nustatymo kriterijai yra universalūs ir jais vadovautis privalo tiek Lietuvos notarų rūmai teikdami pasiūlymus Teisingumo ministerijai, tiek </w:t>
      </w:r>
      <w:r w:rsidR="00AE0254">
        <w:rPr>
          <w:rFonts w:ascii="Times New Roman" w:eastAsia="Times New Roman" w:hAnsi="Times New Roman" w:cs="Times New Roman"/>
          <w:bCs/>
          <w:sz w:val="24"/>
          <w:szCs w:val="24"/>
          <w:lang w:val="lt-LT"/>
        </w:rPr>
        <w:t>t</w:t>
      </w:r>
      <w:r w:rsidRPr="009C64EB">
        <w:rPr>
          <w:rFonts w:ascii="Times New Roman" w:eastAsia="Times New Roman" w:hAnsi="Times New Roman" w:cs="Times New Roman"/>
          <w:bCs/>
          <w:sz w:val="24"/>
          <w:szCs w:val="24"/>
          <w:lang w:val="lt-LT"/>
        </w:rPr>
        <w:t xml:space="preserve">eisingumo ministras, nustatydamas konkrečius įkainius. </w:t>
      </w:r>
      <w:r w:rsidRPr="009C64EB">
        <w:rPr>
          <w:rFonts w:ascii="Times New Roman" w:eastAsia="Times New Roman" w:hAnsi="Times New Roman" w:cs="Times New Roman"/>
          <w:sz w:val="24"/>
          <w:szCs w:val="24"/>
          <w:lang w:val="lt-LT"/>
        </w:rPr>
        <w:t xml:space="preserve">Teismas, </w:t>
      </w:r>
      <w:r w:rsidRPr="009C64EB">
        <w:rPr>
          <w:rFonts w:ascii="Times New Roman" w:eastAsia="Times New Roman" w:hAnsi="Times New Roman" w:cs="Times New Roman"/>
          <w:sz w:val="24"/>
          <w:szCs w:val="24"/>
          <w:shd w:val="clear" w:color="auto" w:fill="FFFFFF"/>
          <w:lang w:val="lt-LT"/>
        </w:rPr>
        <w:t>atsižvelgęs į tai, kad Lietuvos notarų rūmai veikė teisės aktais jiems nustatytos kompetencijos ribose (</w:t>
      </w:r>
      <w:r w:rsidRPr="009C64EB">
        <w:rPr>
          <w:rFonts w:ascii="Times New Roman" w:eastAsia="Times New Roman" w:hAnsi="Times New Roman" w:cs="Times New Roman"/>
          <w:sz w:val="24"/>
          <w:szCs w:val="24"/>
          <w:lang w:val="lt-LT" w:eastAsia="lt-LT"/>
        </w:rPr>
        <w:t>Notariato įstatymo 9 straipsnio 5 dalis, Statuto 8 straipsnio 6, 7 punktai)</w:t>
      </w:r>
      <w:r w:rsidRPr="009C64EB">
        <w:rPr>
          <w:rFonts w:ascii="Times New Roman" w:eastAsia="Times New Roman" w:hAnsi="Times New Roman" w:cs="Times New Roman"/>
          <w:sz w:val="24"/>
          <w:szCs w:val="24"/>
          <w:shd w:val="clear" w:color="auto" w:fill="FFFFFF"/>
          <w:lang w:val="lt-LT"/>
        </w:rPr>
        <w:t>, darė išvadą, jog Lietuvos notarų rūmai negalėjo būti prilyginami ūkio subjektui, kaip jis apibrėžtas Konkurencijos įstatymo 3 straipsnio 22 dalyje, šiuo aspektu Nutarimą pripažino teisiškai ydingu.</w:t>
      </w:r>
    </w:p>
    <w:p w14:paraId="31888091" w14:textId="578ABB90"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eastAsia="lt-LT"/>
        </w:rPr>
        <w:t xml:space="preserve">Teismas analizavo </w:t>
      </w:r>
      <w:r w:rsidRPr="009C64EB">
        <w:rPr>
          <w:rFonts w:ascii="Times New Roman" w:eastAsia="Times New Roman" w:hAnsi="Times New Roman" w:cs="Times New Roman"/>
          <w:iCs/>
          <w:sz w:val="24"/>
          <w:szCs w:val="24"/>
          <w:shd w:val="clear" w:color="auto" w:fill="FFFFFF"/>
          <w:lang w:val="lt-LT"/>
        </w:rPr>
        <w:t xml:space="preserve">Teisingumo Teismo 2002 m. vasario 19 d. sprendimą byloje </w:t>
      </w:r>
      <w:r w:rsidRPr="009C64EB">
        <w:rPr>
          <w:rFonts w:ascii="Times New Roman" w:eastAsia="Times New Roman" w:hAnsi="Times New Roman" w:cs="Times New Roman"/>
          <w:i/>
          <w:sz w:val="24"/>
          <w:szCs w:val="24"/>
          <w:shd w:val="clear" w:color="auto" w:fill="FFFFFF"/>
          <w:lang w:val="lt-LT"/>
        </w:rPr>
        <w:t xml:space="preserve">J. C. J. </w:t>
      </w:r>
      <w:proofErr w:type="spellStart"/>
      <w:r w:rsidRPr="009C64EB">
        <w:rPr>
          <w:rFonts w:ascii="Times New Roman" w:eastAsia="Times New Roman" w:hAnsi="Times New Roman" w:cs="Times New Roman"/>
          <w:i/>
          <w:sz w:val="24"/>
          <w:szCs w:val="24"/>
          <w:shd w:val="clear" w:color="auto" w:fill="FFFFFF"/>
          <w:lang w:val="lt-LT"/>
        </w:rPr>
        <w:t>Wouters</w:t>
      </w:r>
      <w:proofErr w:type="spellEnd"/>
      <w:r w:rsidRPr="009C64EB">
        <w:rPr>
          <w:rFonts w:ascii="Times New Roman" w:eastAsia="Times New Roman" w:hAnsi="Times New Roman" w:cs="Times New Roman"/>
          <w:i/>
          <w:sz w:val="24"/>
          <w:szCs w:val="24"/>
          <w:shd w:val="clear" w:color="auto" w:fill="FFFFFF"/>
          <w:lang w:val="lt-LT"/>
        </w:rPr>
        <w:t xml:space="preserve">, J. W. </w:t>
      </w:r>
      <w:proofErr w:type="spellStart"/>
      <w:r w:rsidRPr="009C64EB">
        <w:rPr>
          <w:rFonts w:ascii="Times New Roman" w:eastAsia="Times New Roman" w:hAnsi="Times New Roman" w:cs="Times New Roman"/>
          <w:i/>
          <w:sz w:val="24"/>
          <w:szCs w:val="24"/>
          <w:shd w:val="clear" w:color="auto" w:fill="FFFFFF"/>
          <w:lang w:val="lt-LT"/>
        </w:rPr>
        <w:t>Savelberg</w:t>
      </w:r>
      <w:proofErr w:type="spellEnd"/>
      <w:r w:rsidRPr="009C64EB">
        <w:rPr>
          <w:rFonts w:ascii="Times New Roman" w:eastAsia="Times New Roman" w:hAnsi="Times New Roman" w:cs="Times New Roman"/>
          <w:i/>
          <w:sz w:val="24"/>
          <w:szCs w:val="24"/>
          <w:shd w:val="clear" w:color="auto" w:fill="FFFFFF"/>
          <w:lang w:val="lt-LT"/>
        </w:rPr>
        <w:t xml:space="preserve"> </w:t>
      </w:r>
      <w:proofErr w:type="spellStart"/>
      <w:r w:rsidRPr="009C64EB">
        <w:rPr>
          <w:rFonts w:ascii="Times New Roman" w:eastAsia="Times New Roman" w:hAnsi="Times New Roman" w:cs="Times New Roman"/>
          <w:i/>
          <w:sz w:val="24"/>
          <w:szCs w:val="24"/>
          <w:shd w:val="clear" w:color="auto" w:fill="FFFFFF"/>
          <w:lang w:val="lt-LT"/>
        </w:rPr>
        <w:t>in</w:t>
      </w:r>
      <w:proofErr w:type="spellEnd"/>
      <w:r w:rsidRPr="009C64EB">
        <w:rPr>
          <w:rFonts w:ascii="Times New Roman" w:eastAsia="Times New Roman" w:hAnsi="Times New Roman" w:cs="Times New Roman"/>
          <w:i/>
          <w:sz w:val="24"/>
          <w:szCs w:val="24"/>
          <w:shd w:val="clear" w:color="auto" w:fill="FFFFFF"/>
          <w:lang w:val="lt-LT"/>
        </w:rPr>
        <w:t xml:space="preserve"> </w:t>
      </w:r>
      <w:proofErr w:type="spellStart"/>
      <w:r w:rsidRPr="009C64EB">
        <w:rPr>
          <w:rFonts w:ascii="Times New Roman" w:eastAsia="Times New Roman" w:hAnsi="Times New Roman" w:cs="Times New Roman"/>
          <w:i/>
          <w:sz w:val="24"/>
          <w:szCs w:val="24"/>
          <w:shd w:val="clear" w:color="auto" w:fill="FFFFFF"/>
          <w:lang w:val="lt-LT"/>
        </w:rPr>
        <w:t>Price</w:t>
      </w:r>
      <w:proofErr w:type="spellEnd"/>
      <w:r w:rsidRPr="009C64EB">
        <w:rPr>
          <w:rFonts w:ascii="Times New Roman" w:eastAsia="Times New Roman" w:hAnsi="Times New Roman" w:cs="Times New Roman"/>
          <w:i/>
          <w:sz w:val="24"/>
          <w:szCs w:val="24"/>
          <w:shd w:val="clear" w:color="auto" w:fill="FFFFFF"/>
          <w:lang w:val="lt-LT"/>
        </w:rPr>
        <w:t xml:space="preserve"> </w:t>
      </w:r>
      <w:proofErr w:type="spellStart"/>
      <w:r w:rsidRPr="009C64EB">
        <w:rPr>
          <w:rFonts w:ascii="Times New Roman" w:eastAsia="Times New Roman" w:hAnsi="Times New Roman" w:cs="Times New Roman"/>
          <w:i/>
          <w:sz w:val="24"/>
          <w:szCs w:val="24"/>
          <w:shd w:val="clear" w:color="auto" w:fill="FFFFFF"/>
          <w:lang w:val="lt-LT"/>
        </w:rPr>
        <w:t>Waterhouss</w:t>
      </w:r>
      <w:proofErr w:type="spellEnd"/>
      <w:r w:rsidRPr="009C64EB">
        <w:rPr>
          <w:rFonts w:ascii="Times New Roman" w:eastAsia="Times New Roman" w:hAnsi="Times New Roman" w:cs="Times New Roman"/>
          <w:i/>
          <w:sz w:val="24"/>
          <w:szCs w:val="24"/>
          <w:shd w:val="clear" w:color="auto" w:fill="FFFFFF"/>
          <w:lang w:val="lt-LT"/>
        </w:rPr>
        <w:t xml:space="preserve"> </w:t>
      </w:r>
      <w:proofErr w:type="spellStart"/>
      <w:r w:rsidRPr="009C64EB">
        <w:rPr>
          <w:rFonts w:ascii="Times New Roman" w:eastAsia="Times New Roman" w:hAnsi="Times New Roman" w:cs="Times New Roman"/>
          <w:i/>
          <w:sz w:val="24"/>
          <w:szCs w:val="24"/>
          <w:shd w:val="clear" w:color="auto" w:fill="FFFFFF"/>
          <w:lang w:val="lt-LT"/>
        </w:rPr>
        <w:t>Belastingadviseurs</w:t>
      </w:r>
      <w:proofErr w:type="spellEnd"/>
      <w:r w:rsidRPr="009C64EB">
        <w:rPr>
          <w:rFonts w:ascii="Times New Roman" w:eastAsia="Times New Roman" w:hAnsi="Times New Roman" w:cs="Times New Roman"/>
          <w:i/>
          <w:sz w:val="24"/>
          <w:szCs w:val="24"/>
          <w:shd w:val="clear" w:color="auto" w:fill="FFFFFF"/>
          <w:lang w:val="lt-LT"/>
        </w:rPr>
        <w:t xml:space="preserve"> BV prieš </w:t>
      </w:r>
      <w:proofErr w:type="spellStart"/>
      <w:r w:rsidRPr="009C64EB">
        <w:rPr>
          <w:rFonts w:ascii="Times New Roman" w:eastAsia="Times New Roman" w:hAnsi="Times New Roman" w:cs="Times New Roman"/>
          <w:i/>
          <w:sz w:val="24"/>
          <w:szCs w:val="24"/>
          <w:shd w:val="clear" w:color="auto" w:fill="FFFFFF"/>
          <w:lang w:val="lt-LT"/>
        </w:rPr>
        <w:t>Algemene</w:t>
      </w:r>
      <w:proofErr w:type="spellEnd"/>
      <w:r w:rsidRPr="009C64EB">
        <w:rPr>
          <w:rFonts w:ascii="Times New Roman" w:eastAsia="Times New Roman" w:hAnsi="Times New Roman" w:cs="Times New Roman"/>
          <w:i/>
          <w:sz w:val="24"/>
          <w:szCs w:val="24"/>
          <w:shd w:val="clear" w:color="auto" w:fill="FFFFFF"/>
          <w:lang w:val="lt-LT"/>
        </w:rPr>
        <w:t xml:space="preserve"> </w:t>
      </w:r>
      <w:proofErr w:type="spellStart"/>
      <w:r w:rsidRPr="009C64EB">
        <w:rPr>
          <w:rFonts w:ascii="Times New Roman" w:eastAsia="Times New Roman" w:hAnsi="Times New Roman" w:cs="Times New Roman"/>
          <w:i/>
          <w:sz w:val="24"/>
          <w:szCs w:val="24"/>
          <w:shd w:val="clear" w:color="auto" w:fill="FFFFFF"/>
          <w:lang w:val="lt-LT"/>
        </w:rPr>
        <w:t>Raad</w:t>
      </w:r>
      <w:proofErr w:type="spellEnd"/>
      <w:r w:rsidRPr="009C64EB">
        <w:rPr>
          <w:rFonts w:ascii="Times New Roman" w:eastAsia="Times New Roman" w:hAnsi="Times New Roman" w:cs="Times New Roman"/>
          <w:i/>
          <w:sz w:val="24"/>
          <w:szCs w:val="24"/>
          <w:shd w:val="clear" w:color="auto" w:fill="FFFFFF"/>
          <w:lang w:val="lt-LT"/>
        </w:rPr>
        <w:t xml:space="preserve"> </w:t>
      </w:r>
      <w:proofErr w:type="spellStart"/>
      <w:r w:rsidRPr="009C64EB">
        <w:rPr>
          <w:rFonts w:ascii="Times New Roman" w:eastAsia="Times New Roman" w:hAnsi="Times New Roman" w:cs="Times New Roman"/>
          <w:i/>
          <w:sz w:val="24"/>
          <w:szCs w:val="24"/>
          <w:shd w:val="clear" w:color="auto" w:fill="FFFFFF"/>
          <w:lang w:val="lt-LT"/>
        </w:rPr>
        <w:t>van</w:t>
      </w:r>
      <w:proofErr w:type="spellEnd"/>
      <w:r w:rsidRPr="009C64EB">
        <w:rPr>
          <w:rFonts w:ascii="Times New Roman" w:eastAsia="Times New Roman" w:hAnsi="Times New Roman" w:cs="Times New Roman"/>
          <w:i/>
          <w:sz w:val="24"/>
          <w:szCs w:val="24"/>
          <w:shd w:val="clear" w:color="auto" w:fill="FFFFFF"/>
          <w:lang w:val="lt-LT"/>
        </w:rPr>
        <w:t xml:space="preserve"> de </w:t>
      </w:r>
      <w:proofErr w:type="spellStart"/>
      <w:r w:rsidRPr="009C64EB">
        <w:rPr>
          <w:rFonts w:ascii="Times New Roman" w:eastAsia="Times New Roman" w:hAnsi="Times New Roman" w:cs="Times New Roman"/>
          <w:i/>
          <w:sz w:val="24"/>
          <w:szCs w:val="24"/>
          <w:shd w:val="clear" w:color="auto" w:fill="FFFFFF"/>
          <w:lang w:val="lt-LT"/>
        </w:rPr>
        <w:t>Nederlandse</w:t>
      </w:r>
      <w:proofErr w:type="spellEnd"/>
      <w:r w:rsidRPr="009C64EB">
        <w:rPr>
          <w:rFonts w:ascii="Times New Roman" w:eastAsia="Times New Roman" w:hAnsi="Times New Roman" w:cs="Times New Roman"/>
          <w:i/>
          <w:sz w:val="24"/>
          <w:szCs w:val="24"/>
          <w:shd w:val="clear" w:color="auto" w:fill="FFFFFF"/>
          <w:lang w:val="lt-LT"/>
        </w:rPr>
        <w:t xml:space="preserve"> </w:t>
      </w:r>
      <w:proofErr w:type="spellStart"/>
      <w:r w:rsidRPr="009C64EB">
        <w:rPr>
          <w:rFonts w:ascii="Times New Roman" w:eastAsia="Times New Roman" w:hAnsi="Times New Roman" w:cs="Times New Roman"/>
          <w:i/>
          <w:sz w:val="24"/>
          <w:szCs w:val="24"/>
          <w:shd w:val="clear" w:color="auto" w:fill="FFFFFF"/>
          <w:lang w:val="lt-LT"/>
        </w:rPr>
        <w:t>Orde</w:t>
      </w:r>
      <w:proofErr w:type="spellEnd"/>
      <w:r w:rsidRPr="009C64EB">
        <w:rPr>
          <w:rFonts w:ascii="Times New Roman" w:eastAsia="Times New Roman" w:hAnsi="Times New Roman" w:cs="Times New Roman"/>
          <w:i/>
          <w:sz w:val="24"/>
          <w:szCs w:val="24"/>
          <w:shd w:val="clear" w:color="auto" w:fill="FFFFFF"/>
          <w:lang w:val="lt-LT"/>
        </w:rPr>
        <w:t xml:space="preserve"> </w:t>
      </w:r>
      <w:proofErr w:type="spellStart"/>
      <w:r w:rsidRPr="009C64EB">
        <w:rPr>
          <w:rFonts w:ascii="Times New Roman" w:eastAsia="Times New Roman" w:hAnsi="Times New Roman" w:cs="Times New Roman"/>
          <w:i/>
          <w:sz w:val="24"/>
          <w:szCs w:val="24"/>
          <w:shd w:val="clear" w:color="auto" w:fill="FFFFFF"/>
          <w:lang w:val="lt-LT"/>
        </w:rPr>
        <w:t>van</w:t>
      </w:r>
      <w:proofErr w:type="spellEnd"/>
      <w:r w:rsidRPr="009C64EB">
        <w:rPr>
          <w:rFonts w:ascii="Times New Roman" w:eastAsia="Times New Roman" w:hAnsi="Times New Roman" w:cs="Times New Roman"/>
          <w:i/>
          <w:sz w:val="24"/>
          <w:szCs w:val="24"/>
          <w:shd w:val="clear" w:color="auto" w:fill="FFFFFF"/>
          <w:lang w:val="lt-LT"/>
        </w:rPr>
        <w:t xml:space="preserve"> </w:t>
      </w:r>
      <w:proofErr w:type="spellStart"/>
      <w:r w:rsidRPr="009C64EB">
        <w:rPr>
          <w:rFonts w:ascii="Times New Roman" w:eastAsia="Times New Roman" w:hAnsi="Times New Roman" w:cs="Times New Roman"/>
          <w:i/>
          <w:sz w:val="24"/>
          <w:szCs w:val="24"/>
          <w:shd w:val="clear" w:color="auto" w:fill="FFFFFF"/>
          <w:lang w:val="lt-LT"/>
        </w:rPr>
        <w:t>Advocate</w:t>
      </w:r>
      <w:proofErr w:type="spellEnd"/>
      <w:r w:rsidRPr="009C64EB">
        <w:rPr>
          <w:rFonts w:ascii="Times New Roman" w:eastAsia="Times New Roman" w:hAnsi="Times New Roman" w:cs="Times New Roman"/>
          <w:iCs/>
          <w:sz w:val="24"/>
          <w:szCs w:val="24"/>
          <w:shd w:val="clear" w:color="auto" w:fill="FFFFFF"/>
          <w:lang w:val="lt-LT"/>
        </w:rPr>
        <w:t xml:space="preserve"> Nr. C-309/99, para. 46 (toliau – </w:t>
      </w:r>
      <w:r w:rsidR="00AE0254">
        <w:rPr>
          <w:rFonts w:ascii="Times New Roman" w:eastAsia="Times New Roman" w:hAnsi="Times New Roman" w:cs="Times New Roman"/>
          <w:iCs/>
          <w:sz w:val="24"/>
          <w:szCs w:val="24"/>
          <w:shd w:val="clear" w:color="auto" w:fill="FFFFFF"/>
          <w:lang w:val="lt-LT"/>
        </w:rPr>
        <w:t xml:space="preserve">ir </w:t>
      </w:r>
      <w:proofErr w:type="spellStart"/>
      <w:r w:rsidRPr="009C64EB">
        <w:rPr>
          <w:rFonts w:ascii="Times New Roman" w:eastAsia="Times New Roman" w:hAnsi="Times New Roman" w:cs="Times New Roman"/>
          <w:i/>
          <w:sz w:val="24"/>
          <w:szCs w:val="24"/>
          <w:shd w:val="clear" w:color="auto" w:fill="FFFFFF"/>
          <w:lang w:val="lt-LT"/>
        </w:rPr>
        <w:t>Wouters</w:t>
      </w:r>
      <w:proofErr w:type="spellEnd"/>
      <w:r w:rsidRPr="009C64EB">
        <w:rPr>
          <w:rFonts w:ascii="Times New Roman" w:eastAsia="Times New Roman" w:hAnsi="Times New Roman" w:cs="Times New Roman"/>
          <w:iCs/>
          <w:sz w:val="24"/>
          <w:szCs w:val="24"/>
          <w:shd w:val="clear" w:color="auto" w:fill="FFFFFF"/>
          <w:lang w:val="lt-LT"/>
        </w:rPr>
        <w:t xml:space="preserve"> byla) ir nurodė, kad </w:t>
      </w:r>
      <w:r w:rsidRPr="009C64EB">
        <w:rPr>
          <w:rFonts w:ascii="Times New Roman" w:eastAsia="Times New Roman" w:hAnsi="Times New Roman" w:cs="Times New Roman"/>
          <w:sz w:val="24"/>
          <w:szCs w:val="24"/>
          <w:shd w:val="clear" w:color="auto" w:fill="FFFFFF"/>
          <w:lang w:val="lt-LT"/>
        </w:rPr>
        <w:t>siekiant aiškiai nusistatyti ūkio subjekto tiriamų veiksmų prigimtį, reikalinga tiriamą sprendimą (veiksmus) išnagrinėti taip pat ir bendro konteksto, tikslų, profesinės kontrolės, atsakomybės aspektais. Teismas</w:t>
      </w:r>
      <w:r w:rsidRPr="009C64EB">
        <w:rPr>
          <w:rFonts w:ascii="Times New Roman" w:eastAsia="Times New Roman" w:hAnsi="Times New Roman" w:cs="Times New Roman"/>
          <w:i/>
          <w:sz w:val="24"/>
          <w:szCs w:val="24"/>
          <w:shd w:val="clear" w:color="auto" w:fill="FFFFFF"/>
          <w:lang w:val="lt-LT"/>
        </w:rPr>
        <w:t xml:space="preserve"> </w:t>
      </w:r>
      <w:r w:rsidRPr="009C64EB">
        <w:rPr>
          <w:rFonts w:ascii="Times New Roman" w:eastAsia="Times New Roman" w:hAnsi="Times New Roman" w:cs="Times New Roman"/>
          <w:sz w:val="24"/>
          <w:szCs w:val="24"/>
          <w:lang w:val="lt-LT" w:eastAsia="lt-LT"/>
        </w:rPr>
        <w:t xml:space="preserve">nustatė, jog </w:t>
      </w:r>
      <w:r w:rsidRPr="009C64EB">
        <w:rPr>
          <w:rFonts w:ascii="Times New Roman" w:eastAsia="Times New Roman" w:hAnsi="Times New Roman" w:cs="Times New Roman"/>
          <w:sz w:val="24"/>
          <w:szCs w:val="24"/>
          <w:shd w:val="clear" w:color="auto" w:fill="FFFFFF"/>
          <w:lang w:val="lt-LT"/>
        </w:rPr>
        <w:t xml:space="preserve">pareiškėjai Išaiškinimus priėmė vykdydami </w:t>
      </w:r>
      <w:r w:rsidRPr="009C64EB">
        <w:rPr>
          <w:rFonts w:ascii="Times New Roman" w:eastAsia="Times New Roman" w:hAnsi="Times New Roman" w:cs="Times New Roman"/>
          <w:sz w:val="24"/>
          <w:szCs w:val="24"/>
          <w:lang w:val="lt-LT"/>
        </w:rPr>
        <w:t>Notariato įstatymo 9 straipsnio 5 dalyje ir Statuto 8 straipsnio 6, 7 punktuose nustatytas viešąsias funkcijas – suvienodindami notarinę praktiką. Teismas vertino, jog</w:t>
      </w:r>
      <w:r w:rsidRPr="009C64EB">
        <w:rPr>
          <w:rFonts w:ascii="Times New Roman" w:eastAsia="Times New Roman" w:hAnsi="Times New Roman" w:cs="Times New Roman"/>
          <w:sz w:val="24"/>
          <w:szCs w:val="24"/>
          <w:lang w:val="lt-LT" w:eastAsia="lt-LT"/>
        </w:rPr>
        <w:t xml:space="preserve"> neturi pagrindo abejoti tuo, kad buvo pagrindas pateikti išaiškinimus dėl notarų atlyginimų, kai viena sutartimi nustatomas servitutas keliems nekilnojamiems daiktams, taip pat, kai mainų sutartimi mainomos kelių daiktų dalys. Tai, kad Išaiškinimuose buvo nustatyti maksimalūs įkainio dydžiai, nereiškia, kad Išaiškinimuose pateikta notaro atlyginimo apskaičiavimo tvarka neatitiko proporcingumo principo. Teismas pažymėjo, kad Išaiškinimuose nurodyti maksimalūs dydžiai buvo nustatyti Laikinuosiuose dydžiuose nurodytų intervalų ribose, jų neperžengiant, </w:t>
      </w:r>
      <w:r w:rsidR="00B87D3B">
        <w:rPr>
          <w:rFonts w:ascii="Times New Roman" w:eastAsia="Times New Roman" w:hAnsi="Times New Roman" w:cs="Times New Roman"/>
          <w:sz w:val="24"/>
          <w:szCs w:val="24"/>
          <w:lang w:val="lt-LT" w:eastAsia="lt-LT"/>
        </w:rPr>
        <w:t>o</w:t>
      </w:r>
      <w:r w:rsidRPr="009C64EB">
        <w:rPr>
          <w:rFonts w:ascii="Times New Roman" w:eastAsia="Times New Roman" w:hAnsi="Times New Roman" w:cs="Times New Roman"/>
          <w:sz w:val="24"/>
          <w:szCs w:val="24"/>
          <w:lang w:val="lt-LT" w:eastAsia="lt-LT"/>
        </w:rPr>
        <w:t xml:space="preserve"> Taryba reikšmingais įrodymais nepagrindė, kodėl Išaiškinimuose negalėjo būti nustatyti maksimalūs dydžiai. Išaiškinimuose nustatytas maksimalaus dydžio notaro atlyginimas yra susijęs su tuo, kad esant Išaiškinimuose aptartoms faktinėms situacijoms notarai darbo užmokesčio dydžius taikytų vienodai. Tokiu būdu pagrįstai siekiama, kad </w:t>
      </w:r>
      <w:r w:rsidRPr="009C64EB">
        <w:rPr>
          <w:rFonts w:ascii="Times New Roman" w:eastAsia="Times New Roman" w:hAnsi="Times New Roman" w:cs="Times New Roman"/>
          <w:sz w:val="24"/>
          <w:szCs w:val="24"/>
          <w:lang w:val="lt-LT" w:eastAsia="lt-LT"/>
        </w:rPr>
        <w:lastRenderedPageBreak/>
        <w:t xml:space="preserve">notarai konkuruotų paslaugų kokybe, kurios aukščiausi standartai tokiu būdu taip pat yra užtikrinami, bet ne kainomis, konkuravimas kuriomis Lietuvos teisinėje sistemoje jau savaime tampa sunkiai įsivaizduojamas ar esmingai ribotas dėl įstatyme įtvirtinto draudimo notarams reklamuoti savo paslaugas. Teismas darė išvadą, kad Lietuvos notarų rūmai, pateikdami Išaiškinimus, suvienodino notarinę praktiką, siekė užpildyti teisinio reguliavimo spragas, o ne </w:t>
      </w:r>
      <w:r w:rsidRPr="009C64EB">
        <w:rPr>
          <w:rFonts w:ascii="Times New Roman" w:eastAsia="Times New Roman" w:hAnsi="Times New Roman" w:cs="Times New Roman"/>
          <w:sz w:val="24"/>
          <w:szCs w:val="24"/>
          <w:lang w:val="lt-LT"/>
        </w:rPr>
        <w:t>apribojo notarų (konkurentų) veikimo laisvę, kaip nurodė Taryba</w:t>
      </w:r>
      <w:r w:rsidRPr="009C64EB">
        <w:rPr>
          <w:rFonts w:ascii="Times New Roman" w:eastAsia="Times New Roman" w:hAnsi="Times New Roman" w:cs="Times New Roman"/>
          <w:iCs/>
          <w:sz w:val="24"/>
          <w:szCs w:val="24"/>
          <w:lang w:val="lt-LT"/>
        </w:rPr>
        <w:t>.</w:t>
      </w:r>
    </w:p>
    <w:p w14:paraId="5CB8F98A" w14:textId="028231A2"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Teismas nurodė, jog </w:t>
      </w:r>
      <w:r w:rsidRPr="009C64EB">
        <w:rPr>
          <w:rFonts w:ascii="Times New Roman" w:eastAsia="Times New Roman" w:hAnsi="Times New Roman" w:cs="Times New Roman"/>
          <w:sz w:val="24"/>
          <w:szCs w:val="24"/>
          <w:lang w:val="lt-LT" w:eastAsia="lt-LT"/>
        </w:rPr>
        <w:t>konkurencijos byloje pateikta rašytinė medžiaga patvirtina, kad notarinės praktikos nagrinėjamoje srityje vienodinimo klausimais Teisingumo ministerija į Lietuvos notarų rūmus kreipėsi ne kartą. Skundžiamame Nutarime pati Taryba</w:t>
      </w:r>
      <w:r w:rsidR="00AD69BE">
        <w:rPr>
          <w:rFonts w:ascii="Times New Roman" w:eastAsia="Times New Roman" w:hAnsi="Times New Roman" w:cs="Times New Roman"/>
          <w:sz w:val="24"/>
          <w:szCs w:val="24"/>
          <w:lang w:val="lt-LT" w:eastAsia="lt-LT"/>
        </w:rPr>
        <w:t>,</w:t>
      </w:r>
      <w:r w:rsidRPr="009C64EB">
        <w:rPr>
          <w:rFonts w:ascii="Times New Roman" w:eastAsia="Times New Roman" w:hAnsi="Times New Roman" w:cs="Times New Roman"/>
          <w:sz w:val="24"/>
          <w:szCs w:val="24"/>
          <w:lang w:val="lt-LT" w:eastAsia="lt-LT"/>
        </w:rPr>
        <w:t xml:space="preserve"> dėstydama įvykių grandinę</w:t>
      </w:r>
      <w:r w:rsidR="00AD69BE">
        <w:rPr>
          <w:rFonts w:ascii="Times New Roman" w:eastAsia="Times New Roman" w:hAnsi="Times New Roman" w:cs="Times New Roman"/>
          <w:sz w:val="24"/>
          <w:szCs w:val="24"/>
          <w:lang w:val="lt-LT" w:eastAsia="lt-LT"/>
        </w:rPr>
        <w:t>,</w:t>
      </w:r>
      <w:r w:rsidRPr="009C64EB">
        <w:rPr>
          <w:rFonts w:ascii="Times New Roman" w:eastAsia="Times New Roman" w:hAnsi="Times New Roman" w:cs="Times New Roman"/>
          <w:sz w:val="24"/>
          <w:szCs w:val="24"/>
          <w:lang w:val="lt-LT" w:eastAsia="lt-LT"/>
        </w:rPr>
        <w:t xml:space="preserve"> yra aiškiai nurodžiusi, jog notarinių įkainių nustatymo iniciatyva kiekvienu atveju kilo iš Teisingumo ministerijos. Tyrimo medžiaga taip pat patvirtina, kad Teisingumo ministerija buvo informuota ir dėl maksimalaus atlyginimo dydžio nustatymo. </w:t>
      </w:r>
      <w:r w:rsidRPr="009C64EB">
        <w:rPr>
          <w:rFonts w:ascii="Times New Roman" w:eastAsia="Times New Roman" w:hAnsi="Times New Roman" w:cs="Times New Roman"/>
          <w:sz w:val="24"/>
          <w:szCs w:val="24"/>
          <w:lang w:val="lt-LT"/>
        </w:rPr>
        <w:t xml:space="preserve">Laikinųjų dydžių patvirtinimas – išskirtinė Teisingumo ministerijos </w:t>
      </w:r>
      <w:proofErr w:type="spellStart"/>
      <w:r w:rsidRPr="009C64EB">
        <w:rPr>
          <w:rFonts w:ascii="Times New Roman" w:eastAsia="Times New Roman" w:hAnsi="Times New Roman" w:cs="Times New Roman"/>
          <w:sz w:val="24"/>
          <w:szCs w:val="24"/>
          <w:lang w:val="lt-LT"/>
        </w:rPr>
        <w:t>diskrecija</w:t>
      </w:r>
      <w:proofErr w:type="spellEnd"/>
      <w:r w:rsidRPr="009C64EB">
        <w:rPr>
          <w:rFonts w:ascii="Times New Roman" w:eastAsia="Times New Roman" w:hAnsi="Times New Roman" w:cs="Times New Roman"/>
          <w:sz w:val="24"/>
          <w:szCs w:val="24"/>
          <w:lang w:val="lt-LT"/>
        </w:rPr>
        <w:t xml:space="preserve">, todėl Teisingumo ministerija iš esmės galėjo nepritarti Lietuvos notarų rūmų pasiūlytiems įkainiams, ar rekomenduoti, jos nuomone, tinkamesnius įkainius. Tokių duomenų byloje nėra pateikta, o tai reiškia, kad Teisingumo ministerija vertino, jog Lietuvos notarų rūmai veikė savo kompetencijos ribose. Ir priešingai, byloje yra pateikta duomenų apie tai, jog </w:t>
      </w:r>
      <w:r w:rsidR="00434FF1">
        <w:rPr>
          <w:rFonts w:ascii="Times New Roman" w:eastAsia="Times New Roman" w:hAnsi="Times New Roman" w:cs="Times New Roman"/>
          <w:sz w:val="24"/>
          <w:szCs w:val="24"/>
          <w:lang w:val="lt-LT"/>
        </w:rPr>
        <w:t>t</w:t>
      </w:r>
      <w:r w:rsidRPr="009C64EB">
        <w:rPr>
          <w:rFonts w:ascii="Times New Roman" w:eastAsia="Times New Roman" w:hAnsi="Times New Roman" w:cs="Times New Roman"/>
          <w:sz w:val="24"/>
          <w:szCs w:val="24"/>
          <w:lang w:val="lt-LT"/>
        </w:rPr>
        <w:t xml:space="preserve">eisingumo ministras yra patvirtinęs kitokius įkainius, nei siūlė Lietuvos notarų rūmai, kitaip tariant, </w:t>
      </w:r>
      <w:r w:rsidR="00434FF1">
        <w:rPr>
          <w:rFonts w:ascii="Times New Roman" w:eastAsia="Times New Roman" w:hAnsi="Times New Roman" w:cs="Times New Roman"/>
          <w:sz w:val="24"/>
          <w:szCs w:val="24"/>
          <w:lang w:val="lt-LT"/>
        </w:rPr>
        <w:t>t</w:t>
      </w:r>
      <w:r w:rsidRPr="009C64EB">
        <w:rPr>
          <w:rFonts w:ascii="Times New Roman" w:eastAsia="Times New Roman" w:hAnsi="Times New Roman" w:cs="Times New Roman"/>
          <w:sz w:val="24"/>
          <w:szCs w:val="24"/>
          <w:lang w:val="lt-LT"/>
        </w:rPr>
        <w:t xml:space="preserve">eisingumo ministras neatsižvelgė į Lietuvos notarų rūmų pastabas ir pasiūlymus, nors Taryba, siekdama pagrįsti savo poziciją, tokius </w:t>
      </w:r>
      <w:r w:rsidR="00AE0254">
        <w:rPr>
          <w:rFonts w:ascii="Times New Roman" w:eastAsia="Times New Roman" w:hAnsi="Times New Roman" w:cs="Times New Roman"/>
          <w:sz w:val="24"/>
          <w:szCs w:val="24"/>
          <w:lang w:val="lt-LT"/>
        </w:rPr>
        <w:t>t</w:t>
      </w:r>
      <w:r w:rsidRPr="009C64EB">
        <w:rPr>
          <w:rFonts w:ascii="Times New Roman" w:eastAsia="Times New Roman" w:hAnsi="Times New Roman" w:cs="Times New Roman"/>
          <w:sz w:val="24"/>
          <w:szCs w:val="24"/>
          <w:lang w:val="lt-LT"/>
        </w:rPr>
        <w:t xml:space="preserve">eisingumo ministro sprendimus įvardijo kaip kompromisinių notarų atlyginimo dydžių nustatymą, nors procentine išraiška jie nustatyti mažesni. Teismas pažymėjo, kad Nutarime Taryba atvejus, kai Teisingumo ministerija koregavo (didino) notarų įkainius, pavadino pareiškėjų (Lietuvos notarų rūmų ir notarų) įtaka, kas savaime turėtų reikšti, jog </w:t>
      </w:r>
      <w:r w:rsidR="00AE0254">
        <w:rPr>
          <w:rFonts w:ascii="Times New Roman" w:eastAsia="Times New Roman" w:hAnsi="Times New Roman" w:cs="Times New Roman"/>
          <w:sz w:val="24"/>
          <w:szCs w:val="24"/>
          <w:lang w:val="lt-LT"/>
        </w:rPr>
        <w:t>t</w:t>
      </w:r>
      <w:r w:rsidRPr="009C64EB">
        <w:rPr>
          <w:rFonts w:ascii="Times New Roman" w:eastAsia="Times New Roman" w:hAnsi="Times New Roman" w:cs="Times New Roman"/>
          <w:sz w:val="24"/>
          <w:szCs w:val="24"/>
          <w:lang w:val="lt-LT"/>
        </w:rPr>
        <w:t xml:space="preserve">eisingumo ministras galėjo būti verčiamas, </w:t>
      </w:r>
      <w:r w:rsidR="00B87D3B">
        <w:rPr>
          <w:rFonts w:ascii="Times New Roman" w:eastAsia="Times New Roman" w:hAnsi="Times New Roman" w:cs="Times New Roman"/>
          <w:sz w:val="24"/>
          <w:szCs w:val="24"/>
          <w:lang w:val="lt-LT"/>
        </w:rPr>
        <w:t>jam daroma įtaka</w:t>
      </w:r>
      <w:r w:rsidRPr="009C64EB">
        <w:rPr>
          <w:rFonts w:ascii="Times New Roman" w:eastAsia="Times New Roman" w:hAnsi="Times New Roman" w:cs="Times New Roman"/>
          <w:sz w:val="24"/>
          <w:szCs w:val="24"/>
          <w:lang w:val="lt-LT"/>
        </w:rPr>
        <w:t xml:space="preserve"> priimti atitinkamus sprendimus. Teismas vertino, jog akivaizdu yra tai, kad Lietuvos notarų rūmai šiuo atveju tik įgyvendino </w:t>
      </w:r>
      <w:r w:rsidR="00AE0254">
        <w:rPr>
          <w:rFonts w:ascii="Times New Roman" w:eastAsia="Times New Roman" w:hAnsi="Times New Roman" w:cs="Times New Roman"/>
          <w:sz w:val="24"/>
          <w:szCs w:val="24"/>
          <w:lang w:val="lt-LT"/>
        </w:rPr>
        <w:t xml:space="preserve">iš </w:t>
      </w:r>
      <w:r w:rsidRPr="009C64EB">
        <w:rPr>
          <w:rFonts w:ascii="Times New Roman" w:eastAsia="Times New Roman" w:hAnsi="Times New Roman" w:cs="Times New Roman"/>
          <w:sz w:val="24"/>
          <w:szCs w:val="24"/>
          <w:lang w:val="lt-LT"/>
        </w:rPr>
        <w:t>įstatym</w:t>
      </w:r>
      <w:r w:rsidR="00AE0254">
        <w:rPr>
          <w:rFonts w:ascii="Times New Roman" w:eastAsia="Times New Roman" w:hAnsi="Times New Roman" w:cs="Times New Roman"/>
          <w:sz w:val="24"/>
          <w:szCs w:val="24"/>
          <w:lang w:val="lt-LT"/>
        </w:rPr>
        <w:t>o kylančią</w:t>
      </w:r>
      <w:r w:rsidRPr="009C64EB">
        <w:rPr>
          <w:rFonts w:ascii="Times New Roman" w:eastAsia="Times New Roman" w:hAnsi="Times New Roman" w:cs="Times New Roman"/>
          <w:sz w:val="24"/>
          <w:szCs w:val="24"/>
          <w:lang w:val="lt-LT"/>
        </w:rPr>
        <w:t xml:space="preserve"> pareigą siūlyti įkainius už notarinių veiksmų atlikimą, o Teisingumo ministerija vykdė pareigą derinti šiuos įkainius su Lietuvos notarų rūmais.</w:t>
      </w:r>
    </w:p>
    <w:p w14:paraId="3F4A0C2F"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Teismas nustatė, kad </w:t>
      </w:r>
      <w:r w:rsidRPr="009C64EB">
        <w:rPr>
          <w:rFonts w:ascii="Times New Roman" w:eastAsia="Times New Roman" w:hAnsi="Times New Roman" w:cs="Times New Roman"/>
          <w:sz w:val="24"/>
          <w:szCs w:val="24"/>
          <w:lang w:val="lt-LT" w:eastAsia="lt-LT"/>
        </w:rPr>
        <w:t xml:space="preserve">Tarybos 2017 m. lapkričio 14 d. nutarimu Nr. 1S-117 (2017) tyrimas buvo papildytas SESV 101 straipsnio vertinimu. </w:t>
      </w:r>
      <w:r w:rsidRPr="009C64EB">
        <w:rPr>
          <w:rFonts w:ascii="Times New Roman" w:eastAsia="Times New Roman" w:hAnsi="Times New Roman" w:cs="Times New Roman"/>
          <w:sz w:val="24"/>
          <w:szCs w:val="24"/>
          <w:lang w:val="lt-LT"/>
        </w:rPr>
        <w:t xml:space="preserve">Teismas pažymėjo, kad konkurencijos teisę pažeidžiančiais galėtų būti pripažinti tik tokie Lietuvos notarų rūmų (Prezidiumo) susitarimai, kurių tikrasis tikslas būtų riboti konkurenciją (Konkurencijos įstatymo 5 straipsnio 1 dalis, SESV 101 straipsnis). Įvertinęs Išaiškinimų turinį antikonkurenciniu požiūriu, teismas nusprendė, jog nėra pagrindo išvadai, kad jų priėmimas galėtų / galėjo sukelti neigiamas pasekmes konkurencijai, kurias, nagrinėjamu atveju, be kita ko, priešingai nei nurodo pati Taryba, ji ir privalėjo įvertinti, kadangi tariamas konkurencijos teisės pažeidimas negalėjo nuo pat pradžių būti vertinamas kaip toks akivaizdus, jog savo prigimtimi automatiškai daro neigiamą poveikį rinkai. Teismas nustatė, kad Išaiškinimų priėmimas visiškai pateisina teisėtą jų parengimo tikslą, t. y. siekiant sureguliuoti (suvienodinti) Laikinuosiuose dydžiuose abstrakčiai nurodytus notarų atlyginimų įkainius, todėl darė </w:t>
      </w:r>
      <w:r w:rsidRPr="009C64EB">
        <w:rPr>
          <w:rFonts w:ascii="Times New Roman" w:eastAsia="Times New Roman" w:hAnsi="Times New Roman" w:cs="Times New Roman"/>
          <w:sz w:val="24"/>
          <w:szCs w:val="24"/>
          <w:lang w:val="lt-LT" w:eastAsia="lt-LT"/>
        </w:rPr>
        <w:t xml:space="preserve">išvadą, kad Taryba neįrodė, kad </w:t>
      </w:r>
      <w:r w:rsidRPr="009C64EB">
        <w:rPr>
          <w:rFonts w:ascii="Times New Roman" w:eastAsia="Times New Roman" w:hAnsi="Times New Roman" w:cs="Times New Roman"/>
          <w:sz w:val="24"/>
          <w:szCs w:val="24"/>
          <w:lang w:val="lt-LT"/>
        </w:rPr>
        <w:t>pareiškėjai sudarė draudžiamą susitarimą siekdami riboti konkurenciją.</w:t>
      </w:r>
    </w:p>
    <w:p w14:paraId="16C233E1" w14:textId="4A9FE1C9"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Teismas, išnagrinėjęs ir įvertinęs visus byloje surinktus įrodymus bei šių įrodymų visumą, laikydamasis konstitucinių imperatyvų, Lietuvos Respublikos administracinių bylų teisenos įstatymo (toliau – ir ABTĮ) 56 straipsnio ir 86 straipsnio 2 dalies nuostatų, pareiškėjų skundą tenkino visiškai bei pažymėjo, kad pareiškėjai byloje pagrįstai kelia dvigubo nubaudimo problemą. </w:t>
      </w:r>
      <w:r w:rsidRPr="009C64EB">
        <w:rPr>
          <w:rFonts w:ascii="Times New Roman" w:eastAsia="Times New Roman" w:hAnsi="Times New Roman" w:cs="Times New Roman"/>
          <w:color w:val="000000"/>
          <w:sz w:val="24"/>
          <w:szCs w:val="24"/>
          <w:shd w:val="clear" w:color="auto" w:fill="FFFFFF"/>
          <w:lang w:val="lt-LT"/>
        </w:rPr>
        <w:t xml:space="preserve">Teismas nustatė, kad Taryba Nutarimu už iš esmės tą patį pažeidimą nubaudė tiek Lietuvos notarų rūmus, tiek atskirus notarus, tarsi savarankiškus ūkinės veiklos subjektus, tačiau ginčui aktualiu laikotarpiu arba dalį jo, tie patys nubausti notarai buvo ir Lietuvos notarų rūmų valdymo organo – Prezidiumo nariai. Teismas pažymėjo, kad ginčo dėl pažeidimo faktinio tapatumo nėra, todėl darė išvadą, kad Taryba, paskirdama baudas pareiškėjams, taip pat pažeidė ir </w:t>
      </w:r>
      <w:proofErr w:type="spellStart"/>
      <w:r w:rsidRPr="009C64EB">
        <w:rPr>
          <w:rFonts w:ascii="Times New Roman" w:eastAsia="Times New Roman" w:hAnsi="Times New Roman" w:cs="Times New Roman"/>
          <w:i/>
          <w:color w:val="000000"/>
          <w:sz w:val="24"/>
          <w:szCs w:val="24"/>
          <w:shd w:val="clear" w:color="auto" w:fill="FFFFFF"/>
          <w:lang w:val="lt-LT"/>
        </w:rPr>
        <w:t>non</w:t>
      </w:r>
      <w:proofErr w:type="spellEnd"/>
      <w:r w:rsidRPr="009C64EB">
        <w:rPr>
          <w:rFonts w:ascii="Times New Roman" w:eastAsia="Times New Roman" w:hAnsi="Times New Roman" w:cs="Times New Roman"/>
          <w:i/>
          <w:color w:val="000000"/>
          <w:sz w:val="24"/>
          <w:szCs w:val="24"/>
          <w:shd w:val="clear" w:color="auto" w:fill="FFFFFF"/>
          <w:lang w:val="lt-LT"/>
        </w:rPr>
        <w:t xml:space="preserve"> </w:t>
      </w:r>
      <w:proofErr w:type="spellStart"/>
      <w:r w:rsidRPr="009C64EB">
        <w:rPr>
          <w:rFonts w:ascii="Times New Roman" w:eastAsia="Times New Roman" w:hAnsi="Times New Roman" w:cs="Times New Roman"/>
          <w:i/>
          <w:color w:val="000000"/>
          <w:sz w:val="24"/>
          <w:szCs w:val="24"/>
          <w:shd w:val="clear" w:color="auto" w:fill="FFFFFF"/>
          <w:lang w:val="lt-LT"/>
        </w:rPr>
        <w:t>in</w:t>
      </w:r>
      <w:proofErr w:type="spellEnd"/>
      <w:r w:rsidRPr="009C64EB">
        <w:rPr>
          <w:rFonts w:ascii="Times New Roman" w:eastAsia="Times New Roman" w:hAnsi="Times New Roman" w:cs="Times New Roman"/>
          <w:i/>
          <w:color w:val="000000"/>
          <w:sz w:val="24"/>
          <w:szCs w:val="24"/>
          <w:shd w:val="clear" w:color="auto" w:fill="FFFFFF"/>
          <w:lang w:val="lt-LT"/>
        </w:rPr>
        <w:t xml:space="preserve"> bis </w:t>
      </w:r>
      <w:proofErr w:type="spellStart"/>
      <w:r w:rsidRPr="009C64EB">
        <w:rPr>
          <w:rFonts w:ascii="Times New Roman" w:eastAsia="Times New Roman" w:hAnsi="Times New Roman" w:cs="Times New Roman"/>
          <w:i/>
          <w:color w:val="000000"/>
          <w:sz w:val="24"/>
          <w:szCs w:val="24"/>
          <w:shd w:val="clear" w:color="auto" w:fill="FFFFFF"/>
          <w:lang w:val="lt-LT"/>
        </w:rPr>
        <w:t>idem</w:t>
      </w:r>
      <w:proofErr w:type="spellEnd"/>
      <w:r w:rsidRPr="009C64EB">
        <w:rPr>
          <w:rFonts w:ascii="Times New Roman" w:eastAsia="Times New Roman" w:hAnsi="Times New Roman" w:cs="Times New Roman"/>
          <w:color w:val="000000"/>
          <w:sz w:val="24"/>
          <w:szCs w:val="24"/>
          <w:lang w:val="lt-LT"/>
        </w:rPr>
        <w:t xml:space="preserve"> (negalima dukart bausti už tą patį teisės pažeidimą) principą.</w:t>
      </w:r>
    </w:p>
    <w:p w14:paraId="334CF92F" w14:textId="72ECA0AD"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color w:val="000000"/>
          <w:sz w:val="24"/>
          <w:szCs w:val="24"/>
          <w:lang w:val="lt-LT"/>
        </w:rPr>
        <w:lastRenderedPageBreak/>
        <w:t xml:space="preserve">Teismas nurodė, jog nekvestionuoja </w:t>
      </w:r>
      <w:r w:rsidRPr="009C64EB">
        <w:rPr>
          <w:rFonts w:ascii="Times New Roman" w:eastAsia="Times New Roman" w:hAnsi="Times New Roman" w:cs="Times New Roman"/>
          <w:sz w:val="24"/>
          <w:szCs w:val="24"/>
          <w:lang w:val="lt-LT"/>
        </w:rPr>
        <w:t>Tarybos teisės imtis atitinkamų (pagal pažeidimo pobūdį) procesinių veiksmų renkant įrodymus apie pažeidimo padarymą, tačiau nagrinėjamu atveju pažymėjo, kad teisinės priemonės, kurių buvo imamasi</w:t>
      </w:r>
      <w:r w:rsidR="00AE0254">
        <w:rPr>
          <w:rFonts w:ascii="Times New Roman" w:eastAsia="Times New Roman" w:hAnsi="Times New Roman" w:cs="Times New Roman"/>
          <w:sz w:val="24"/>
          <w:szCs w:val="24"/>
          <w:lang w:val="lt-LT"/>
        </w:rPr>
        <w:t xml:space="preserve"> dėl</w:t>
      </w:r>
      <w:r w:rsidRPr="009C64EB">
        <w:rPr>
          <w:rFonts w:ascii="Times New Roman" w:eastAsia="Times New Roman" w:hAnsi="Times New Roman" w:cs="Times New Roman"/>
          <w:sz w:val="24"/>
          <w:szCs w:val="24"/>
          <w:lang w:val="lt-LT"/>
        </w:rPr>
        <w:t xml:space="preserve"> Lietuvos notarų rūmų, galėjo būti labiau proporcingos tiriamam galimam pažeidimui. Teismas vertino, jog šiuo išimtinai konkrečiu atveju Tarybos veiksmai, atliekant netikėtą patikrinimą pasitelkus policijos pareigūnus, galėjo būti pertekliniai, atlikti nesiekiant taikaus ir pagarbaus teisinių institucijų bendradarbiavimo, savaime užprogramuojantys Tarybos, Teisingumo ministerijos ir notarų savivaldą </w:t>
      </w:r>
      <w:r w:rsidR="007C492B" w:rsidRPr="009C64EB">
        <w:rPr>
          <w:rFonts w:ascii="Times New Roman" w:eastAsia="Times New Roman" w:hAnsi="Times New Roman" w:cs="Times New Roman"/>
          <w:sz w:val="24"/>
          <w:szCs w:val="24"/>
          <w:lang w:val="lt-LT"/>
        </w:rPr>
        <w:t>įgyvendinančių</w:t>
      </w:r>
      <w:r w:rsidRPr="009C64EB">
        <w:rPr>
          <w:rFonts w:ascii="Times New Roman" w:eastAsia="Times New Roman" w:hAnsi="Times New Roman" w:cs="Times New Roman"/>
          <w:sz w:val="24"/>
          <w:szCs w:val="24"/>
          <w:lang w:val="lt-LT"/>
        </w:rPr>
        <w:t xml:space="preserve"> organų konfliktą. Teismas pažymėjo, jog Taryba visada žinojo apie notarų rinkos teisinį reguliavimą, apie byloje aktualių sandorių tvirtinimo notarinius įkainius, aktyviai dalyvavo notarinės rinkos stebėsenos procese ir tik po kelerių metų atliko tyrimą prieš pareiškėjus, pakeisdama Tarybos atstovų pasisakymuose anksčiau išsakytas pozicijas.</w:t>
      </w:r>
    </w:p>
    <w:p w14:paraId="2B004DA0"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Teismas atkreipė dėmesį, kad skundžiamame Nutarime išdėstytas Tarybos vertinimas yra prieštaringas, nes, viena vertus, Taryba aiškiai pasisako už notarinių paslaugų rinkos liberalizavimą (kas savaime turėtų reikšti bent jau dalinį </w:t>
      </w:r>
      <w:proofErr w:type="spellStart"/>
      <w:r w:rsidRPr="009C64EB">
        <w:rPr>
          <w:rFonts w:ascii="Times New Roman" w:eastAsia="Times New Roman" w:hAnsi="Times New Roman" w:cs="Times New Roman"/>
          <w:sz w:val="24"/>
          <w:szCs w:val="24"/>
          <w:lang w:val="lt-LT"/>
        </w:rPr>
        <w:t>dereguliavimą</w:t>
      </w:r>
      <w:proofErr w:type="spellEnd"/>
      <w:r w:rsidRPr="009C64EB">
        <w:rPr>
          <w:rFonts w:ascii="Times New Roman" w:eastAsia="Times New Roman" w:hAnsi="Times New Roman" w:cs="Times New Roman"/>
          <w:sz w:val="24"/>
          <w:szCs w:val="24"/>
          <w:lang w:val="lt-LT"/>
        </w:rPr>
        <w:t>), kurio kontekste Taryba ir vykdė tyrimą, tačiau, antra vertus, Nutarimo rezoliucinės dalies 4 punktu Taryba nutarė kreiptis į Vyriausybę su siūlymu inicijuoti Notariato įstatymo 19 straipsnio pakeitimą, kas savaime, siekiant iš notarinių veiksmų įkainių nustatymo eliminuoti Lietuvos notarų rūmus, reikštų būtent griežtesnį rinkos reguliavimą. Teismas darė išvadą, jog Taryba ginčo tyrimą atliko jau tarsi esančios liberalios notarinių paslaugų rinkos aplinkoje, nors šiuo metu galioja pakankamai griežtas notarinių paslaugų rinkos teisinis reguliavimas.</w:t>
      </w:r>
    </w:p>
    <w:p w14:paraId="45AECCE4" w14:textId="77777777" w:rsidR="00B56117" w:rsidRPr="009C64EB" w:rsidRDefault="00B56117" w:rsidP="00B56117">
      <w:pPr>
        <w:tabs>
          <w:tab w:val="left" w:pos="567"/>
          <w:tab w:val="left" w:pos="1134"/>
        </w:tabs>
        <w:spacing w:after="0" w:line="240" w:lineRule="auto"/>
        <w:ind w:firstLine="720"/>
        <w:contextualSpacing/>
        <w:jc w:val="both"/>
        <w:rPr>
          <w:rFonts w:ascii="Times New Roman" w:eastAsia="Times New Roman" w:hAnsi="Times New Roman" w:cs="Times New Roman"/>
          <w:sz w:val="24"/>
          <w:szCs w:val="24"/>
          <w:lang w:val="lt-LT"/>
        </w:rPr>
      </w:pPr>
    </w:p>
    <w:p w14:paraId="5DF71188" w14:textId="77777777" w:rsidR="00B56117" w:rsidRPr="009C64EB" w:rsidRDefault="00B56117" w:rsidP="00B56117">
      <w:pPr>
        <w:spacing w:after="0" w:line="240" w:lineRule="auto"/>
        <w:ind w:firstLine="720"/>
        <w:contextualSpacing/>
        <w:jc w:val="center"/>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III.</w:t>
      </w:r>
    </w:p>
    <w:p w14:paraId="6A686BEA" w14:textId="77777777" w:rsidR="00B56117" w:rsidRPr="009C64EB" w:rsidRDefault="00B56117" w:rsidP="00B56117">
      <w:pPr>
        <w:tabs>
          <w:tab w:val="left" w:pos="993"/>
          <w:tab w:val="left" w:pos="1040"/>
          <w:tab w:val="left" w:pos="1276"/>
        </w:tabs>
        <w:spacing w:after="0" w:line="240" w:lineRule="auto"/>
        <w:ind w:firstLine="720"/>
        <w:jc w:val="both"/>
        <w:rPr>
          <w:rFonts w:ascii="Times New Roman" w:eastAsia="Times New Roman" w:hAnsi="Times New Roman" w:cs="Times New Roman"/>
          <w:sz w:val="24"/>
          <w:szCs w:val="24"/>
          <w:lang w:val="lt-LT"/>
        </w:rPr>
      </w:pPr>
    </w:p>
    <w:p w14:paraId="4300E439" w14:textId="2DF4FAAF"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Atsakovas Konkurencijos taryba pateikė apeliacinį skundą, kuriame prašo panaikinti pirmosios instancijos teismo sprendimą ir priimti naują sprendimą – pareiškėjų Lietuvos notarų rūmų, </w:t>
      </w:r>
      <w:bookmarkStart w:id="52" w:name="Buk_77"/>
      <w:r w:rsidR="00756415" w:rsidRPr="00E3423E">
        <w:rPr>
          <w:rFonts w:ascii="Times New Roman" w:eastAsia="Times New Roman" w:hAnsi="Times New Roman" w:cs="Times New Roman"/>
          <w:sz w:val="24"/>
          <w:szCs w:val="24"/>
          <w:lang w:val="lt-LT"/>
        </w:rPr>
        <w:t>M. S.</w:t>
      </w:r>
      <w:bookmarkEnd w:id="52"/>
      <w:r w:rsidRPr="009C64EB">
        <w:rPr>
          <w:rFonts w:ascii="Times New Roman" w:eastAsia="Times New Roman" w:hAnsi="Times New Roman" w:cs="Times New Roman"/>
          <w:sz w:val="24"/>
          <w:szCs w:val="24"/>
          <w:lang w:val="lt-LT"/>
        </w:rPr>
        <w:t xml:space="preserve">, </w:t>
      </w:r>
      <w:bookmarkStart w:id="53" w:name="Buk_111"/>
      <w:r w:rsidR="00756415" w:rsidRPr="00E3423E">
        <w:rPr>
          <w:rFonts w:ascii="Times New Roman" w:eastAsia="Times New Roman" w:hAnsi="Times New Roman" w:cs="Times New Roman"/>
          <w:sz w:val="24"/>
          <w:szCs w:val="24"/>
          <w:lang w:val="lt-LT"/>
        </w:rPr>
        <w:t>S. Š.</w:t>
      </w:r>
      <w:bookmarkEnd w:id="53"/>
      <w:r w:rsidRPr="009C64EB">
        <w:rPr>
          <w:rFonts w:ascii="Times New Roman" w:eastAsia="Times New Roman" w:hAnsi="Times New Roman" w:cs="Times New Roman"/>
          <w:sz w:val="24"/>
          <w:szCs w:val="24"/>
          <w:lang w:val="lt-LT"/>
        </w:rPr>
        <w:t xml:space="preserve">, </w:t>
      </w:r>
      <w:bookmarkStart w:id="54" w:name="Buk_50"/>
      <w:r w:rsidR="00756415" w:rsidRPr="00E3423E">
        <w:rPr>
          <w:rFonts w:ascii="Times New Roman" w:eastAsia="Times New Roman" w:hAnsi="Times New Roman" w:cs="Times New Roman"/>
          <w:sz w:val="24"/>
          <w:szCs w:val="24"/>
          <w:lang w:val="lt-LT"/>
        </w:rPr>
        <w:t>D. V.</w:t>
      </w:r>
      <w:bookmarkEnd w:id="54"/>
      <w:r w:rsidRPr="009C64EB">
        <w:rPr>
          <w:rFonts w:ascii="Times New Roman" w:eastAsia="Times New Roman" w:hAnsi="Times New Roman" w:cs="Times New Roman"/>
          <w:sz w:val="24"/>
          <w:szCs w:val="24"/>
          <w:lang w:val="lt-LT"/>
        </w:rPr>
        <w:t xml:space="preserve">, </w:t>
      </w:r>
      <w:bookmarkStart w:id="55" w:name="Buk_136"/>
      <w:r w:rsidR="00756415" w:rsidRPr="00E3423E">
        <w:rPr>
          <w:rFonts w:ascii="Times New Roman" w:eastAsia="Times New Roman" w:hAnsi="Times New Roman" w:cs="Times New Roman"/>
          <w:sz w:val="24"/>
          <w:szCs w:val="24"/>
          <w:lang w:val="lt-LT"/>
        </w:rPr>
        <w:t>V. P.</w:t>
      </w:r>
      <w:bookmarkEnd w:id="55"/>
      <w:r w:rsidRPr="009C64EB">
        <w:rPr>
          <w:rFonts w:ascii="Times New Roman" w:eastAsia="Times New Roman" w:hAnsi="Times New Roman" w:cs="Times New Roman"/>
          <w:sz w:val="24"/>
          <w:szCs w:val="24"/>
          <w:lang w:val="lt-LT"/>
        </w:rPr>
        <w:t xml:space="preserve">, </w:t>
      </w:r>
      <w:bookmarkStart w:id="56" w:name="Buk_70"/>
      <w:r w:rsidR="00756415" w:rsidRPr="00E3423E">
        <w:rPr>
          <w:rFonts w:ascii="Times New Roman" w:eastAsia="Times New Roman" w:hAnsi="Times New Roman" w:cs="Times New Roman"/>
          <w:sz w:val="24"/>
          <w:szCs w:val="24"/>
          <w:lang w:val="lt-LT"/>
        </w:rPr>
        <w:t>J. P.</w:t>
      </w:r>
      <w:bookmarkEnd w:id="56"/>
      <w:r w:rsidRPr="009C64EB">
        <w:rPr>
          <w:rFonts w:ascii="Times New Roman" w:eastAsia="Times New Roman" w:hAnsi="Times New Roman" w:cs="Times New Roman"/>
          <w:sz w:val="24"/>
          <w:szCs w:val="24"/>
          <w:lang w:val="lt-LT"/>
        </w:rPr>
        <w:t xml:space="preserve">, </w:t>
      </w:r>
      <w:bookmarkStart w:id="57" w:name="Buk_43"/>
      <w:r w:rsidR="00756415" w:rsidRPr="00E3423E">
        <w:rPr>
          <w:rFonts w:ascii="Times New Roman" w:eastAsia="Times New Roman" w:hAnsi="Times New Roman" w:cs="Times New Roman"/>
          <w:sz w:val="24"/>
          <w:szCs w:val="24"/>
          <w:lang w:val="lt-LT"/>
        </w:rPr>
        <w:t>D. L.</w:t>
      </w:r>
      <w:bookmarkEnd w:id="57"/>
      <w:r w:rsidRPr="009C64EB">
        <w:rPr>
          <w:rFonts w:ascii="Times New Roman" w:eastAsia="Times New Roman" w:hAnsi="Times New Roman" w:cs="Times New Roman"/>
          <w:sz w:val="24"/>
          <w:szCs w:val="24"/>
          <w:lang w:val="lt-LT"/>
        </w:rPr>
        <w:t>-B</w:t>
      </w:r>
      <w:r w:rsidR="00544C08">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w:t>
      </w:r>
      <w:bookmarkStart w:id="58" w:name="Buk_4"/>
      <w:r w:rsidR="00756415" w:rsidRPr="00E3423E">
        <w:rPr>
          <w:rFonts w:ascii="Times New Roman" w:eastAsia="Times New Roman" w:hAnsi="Times New Roman" w:cs="Times New Roman"/>
          <w:sz w:val="24"/>
          <w:szCs w:val="24"/>
          <w:lang w:val="lt-LT"/>
        </w:rPr>
        <w:t xml:space="preserve">D. P. </w:t>
      </w:r>
      <w:bookmarkEnd w:id="58"/>
      <w:r w:rsidRPr="009C64EB">
        <w:rPr>
          <w:rFonts w:ascii="Times New Roman" w:eastAsia="Times New Roman" w:hAnsi="Times New Roman" w:cs="Times New Roman"/>
          <w:sz w:val="24"/>
          <w:szCs w:val="24"/>
          <w:lang w:val="lt-LT"/>
        </w:rPr>
        <w:t>ir R</w:t>
      </w:r>
      <w:r w:rsidR="00544C08">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w:t>
      </w:r>
      <w:bookmarkStart w:id="59" w:name="Buk_103"/>
      <w:r w:rsidR="00756415" w:rsidRPr="00E3423E">
        <w:rPr>
          <w:rFonts w:ascii="Times New Roman" w:eastAsia="Times New Roman" w:hAnsi="Times New Roman" w:cs="Times New Roman"/>
          <w:sz w:val="24"/>
          <w:szCs w:val="24"/>
          <w:lang w:val="lt-LT"/>
        </w:rPr>
        <w:t xml:space="preserve">O. I. </w:t>
      </w:r>
      <w:bookmarkEnd w:id="59"/>
      <w:r w:rsidRPr="009C64EB">
        <w:rPr>
          <w:rFonts w:ascii="Times New Roman" w:eastAsia="Times New Roman" w:hAnsi="Times New Roman" w:cs="Times New Roman"/>
          <w:sz w:val="24"/>
          <w:szCs w:val="24"/>
          <w:lang w:val="lt-LT"/>
        </w:rPr>
        <w:t>skundą atmesti. Apeliaciniame skunde atsakovas vadovaujasi tokiais pagrindiniais argumentais:</w:t>
      </w:r>
    </w:p>
    <w:p w14:paraId="14402DFC" w14:textId="4A1AE0DE" w:rsidR="00B56117" w:rsidRPr="009C64EB" w:rsidRDefault="00AE0254" w:rsidP="00B56117">
      <w:pPr>
        <w:numPr>
          <w:ilvl w:val="1"/>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Pirmosios instancijos t</w:t>
      </w:r>
      <w:r w:rsidR="00B56117" w:rsidRPr="009C64EB">
        <w:rPr>
          <w:rFonts w:ascii="Times New Roman" w:eastAsia="Times New Roman" w:hAnsi="Times New Roman" w:cs="Times New Roman"/>
          <w:sz w:val="24"/>
          <w:szCs w:val="24"/>
          <w:lang w:val="lt-LT"/>
        </w:rPr>
        <w:t>eismas skundžiamame sprendime neatliko vertinimo, ar notarai yra ūkio subjektai. Atsakovas nurodo, jog Taryba neneigia, kad notarai iš tiesų vykdo viešo pobūdžio funkcijas, tačiau tai nėra pagrindas pripažinti, jog notarai nėra ūkio subjektai, kadangi viešo pobūdžio funkcijų atlikimas nėra tapatinamas su viešosios valdžios funkcijų atlikimu.</w:t>
      </w:r>
    </w:p>
    <w:p w14:paraId="7D30D6C3" w14:textId="77777777" w:rsidR="00B56117" w:rsidRPr="009C64EB" w:rsidRDefault="00B56117" w:rsidP="00B56117">
      <w:pPr>
        <w:numPr>
          <w:ilvl w:val="1"/>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Atsakovas atkreipia dėmesį, kad Laikinuosiuose dydžiuose įtvirtinti atlyginimo dydžiai už notarinių veiksmų atlikimą nustatyti įvairia forma: fiksuota kaina, kainos intervalu, procentine išraiška priklausomai nuo sandorio ar daikto vertės. Atsakovas pastebi, jog Laikinuosiuose dydžiuose yra įtvirtinti 88 skirtingi atlyginimo dydžiai už notarinių veiksmų atlikimą, tačiau tik už 24 notarinių veiksmų atlikimą yra nustatytas fiksuotas dydis, o kitais atvejais atlyginimo dydis nustatytas intervalo metodu, nurodant minimalų ir maksimalų notaro atlyginimo dydį.</w:t>
      </w:r>
      <w:r w:rsidRPr="009C64EB">
        <w:rPr>
          <w:rFonts w:ascii="Times New Roman" w:hAnsi="Times New Roman" w:cs="Times New Roman"/>
          <w:sz w:val="24"/>
          <w:szCs w:val="24"/>
          <w:lang w:val="lt-LT"/>
        </w:rPr>
        <w:t xml:space="preserve"> Atsakovas vertina, jog </w:t>
      </w:r>
      <w:r w:rsidRPr="009C64EB">
        <w:rPr>
          <w:rFonts w:ascii="Times New Roman" w:eastAsia="Times New Roman" w:hAnsi="Times New Roman" w:cs="Times New Roman"/>
          <w:sz w:val="24"/>
          <w:szCs w:val="24"/>
          <w:lang w:val="lt-LT"/>
        </w:rPr>
        <w:t>tai reiškia, jog atliekant didžiąją dalį notarinių veiksmų, notarai turi teisę individualiai nustatyti užmokesčio už notarinio veiksmo atlikimą dydį. Atsakovas nurodo, kad nors pirmosios instancijos teismas skundžiamame sprendime ir nurodė, jog konkurencija tarp notarų nėra galima dėl reklamos draudimo, tačiau atkreipia dėmesį, jog reklamos draudimas daro konkurenciją neįmanoma, jei ūkio subjektai gali konkuruoti kitomis priemonėmis, pavyzdžiui, nustatydami mažesnes kainas arba teikdami geresnės kokybės paslaugas nei konkurentai. Laikinuosiuose dydžiuose nustatyti atlyginimo dydžiai leidžia notarams savo nuožiūra nustatyti atlyginimo dydžius konkrečiu atveju. Atsakovas tokią savo poziciją grindžia antstoliams taikomu tokiu pačiu analogišku draudimu reklamuoti savo paslaugas bei Lietuvos vyriausiojo administracinio teismo 2011 m. gruodžio 2 d. nutartyje administracinėje byloje Nr. A</w:t>
      </w:r>
      <w:r w:rsidRPr="009C64EB">
        <w:rPr>
          <w:rFonts w:ascii="Times New Roman" w:eastAsia="Times New Roman" w:hAnsi="Times New Roman" w:cs="Times New Roman"/>
          <w:sz w:val="24"/>
          <w:szCs w:val="24"/>
          <w:vertAlign w:val="superscript"/>
          <w:lang w:val="lt-LT"/>
        </w:rPr>
        <w:t>858</w:t>
      </w:r>
      <w:r w:rsidRPr="009C64EB">
        <w:rPr>
          <w:rFonts w:ascii="Times New Roman" w:eastAsia="Times New Roman" w:hAnsi="Times New Roman" w:cs="Times New Roman"/>
          <w:sz w:val="24"/>
          <w:szCs w:val="24"/>
          <w:lang w:val="lt-LT"/>
        </w:rPr>
        <w:t>-3395/2011 pateiktu išaiškinimu.</w:t>
      </w:r>
    </w:p>
    <w:p w14:paraId="55ABFC36" w14:textId="77DCC731" w:rsidR="00B56117" w:rsidRPr="009C64EB" w:rsidRDefault="00B56117" w:rsidP="00B56117">
      <w:pPr>
        <w:numPr>
          <w:ilvl w:val="1"/>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lastRenderedPageBreak/>
        <w:t xml:space="preserve">Atsakovas nesutinka su </w:t>
      </w:r>
      <w:r w:rsidR="00AE0254">
        <w:rPr>
          <w:rFonts w:ascii="Times New Roman" w:eastAsia="Times New Roman" w:hAnsi="Times New Roman" w:cs="Times New Roman"/>
          <w:sz w:val="24"/>
          <w:szCs w:val="24"/>
          <w:lang w:val="lt-LT"/>
        </w:rPr>
        <w:t xml:space="preserve">pirmosios instancijos </w:t>
      </w:r>
      <w:r w:rsidRPr="009C64EB">
        <w:rPr>
          <w:rFonts w:ascii="Times New Roman" w:eastAsia="Times New Roman" w:hAnsi="Times New Roman" w:cs="Times New Roman"/>
          <w:sz w:val="24"/>
          <w:szCs w:val="24"/>
          <w:lang w:val="lt-LT"/>
        </w:rPr>
        <w:t>teismo argumentu, jog Lietuvos notarų rūmai, priimdami Išaiškinimus, vykdė jiems Notariato įstatyme nustatytą viešąją funkciją. Atsakovas vadovaujasi Notariato įstatymo nuostatomis bei teigia, kad Lietuvos notarų rūmai koordinuoja notarų veiklą bei atstovauja notarų interesams. Notarų valdymo organų narius renka patys notarai, o valstybės institucijos neturi galimybių daryti įtak</w:t>
      </w:r>
      <w:r w:rsidR="00B87D3B">
        <w:rPr>
          <w:rFonts w:ascii="Times New Roman" w:eastAsia="Times New Roman" w:hAnsi="Times New Roman" w:cs="Times New Roman"/>
          <w:sz w:val="24"/>
          <w:szCs w:val="24"/>
          <w:lang w:val="lt-LT"/>
        </w:rPr>
        <w:t>ą</w:t>
      </w:r>
      <w:r w:rsidRPr="009C64EB">
        <w:rPr>
          <w:rFonts w:ascii="Times New Roman" w:eastAsia="Times New Roman" w:hAnsi="Times New Roman" w:cs="Times New Roman"/>
          <w:sz w:val="24"/>
          <w:szCs w:val="24"/>
          <w:lang w:val="lt-LT"/>
        </w:rPr>
        <w:t xml:space="preserve"> šių organų narių išrinkimui. Lietuvos notarų rūmai atstovauja notarų interes</w:t>
      </w:r>
      <w:r w:rsidR="00F9748B">
        <w:rPr>
          <w:rFonts w:ascii="Times New Roman" w:eastAsia="Times New Roman" w:hAnsi="Times New Roman" w:cs="Times New Roman"/>
          <w:sz w:val="24"/>
          <w:szCs w:val="24"/>
          <w:lang w:val="lt-LT"/>
        </w:rPr>
        <w:t>ams</w:t>
      </w:r>
      <w:r w:rsidRPr="009C64EB">
        <w:rPr>
          <w:rFonts w:ascii="Times New Roman" w:eastAsia="Times New Roman" w:hAnsi="Times New Roman" w:cs="Times New Roman"/>
          <w:sz w:val="24"/>
          <w:szCs w:val="24"/>
          <w:lang w:val="lt-LT"/>
        </w:rPr>
        <w:t>, pavyzdžiui</w:t>
      </w:r>
      <w:r w:rsidR="00F9748B">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Prezidiumo nariai yra atskaitingi jų kandidatūrą iškėlusios apygardos notarams. Be to, nei Notariato įstatyme, nei jokiame kitame teisės akte nėra įtvirtinta, jog Notarų rūmai, vykdydami pavestas funkcijas, privalėtų vadovautis viešuoju interesu, kitų ūkio subjektų ar vartotojų interesais. Atsakovas vadovaujasi Lietuvos vyriausiojo administracinio teismo praktika, kurioje išaiškinta, kad asociacija, tiesiogiai nevykdanti ūkinės veiklos, tačiau vienijanti tokia veikla užsiimančius subjektus, laikytina ūkio subjektų asociacija, kuri</w:t>
      </w:r>
      <w:r w:rsidR="00AE0254">
        <w:rPr>
          <w:rFonts w:ascii="Times New Roman" w:eastAsia="Times New Roman" w:hAnsi="Times New Roman" w:cs="Times New Roman"/>
          <w:sz w:val="24"/>
          <w:szCs w:val="24"/>
          <w:lang w:val="lt-LT"/>
        </w:rPr>
        <w:t>os veiksmams</w:t>
      </w:r>
      <w:r w:rsidRPr="009C64EB">
        <w:rPr>
          <w:rFonts w:ascii="Times New Roman" w:eastAsia="Times New Roman" w:hAnsi="Times New Roman" w:cs="Times New Roman"/>
          <w:sz w:val="24"/>
          <w:szCs w:val="24"/>
          <w:lang w:val="lt-LT"/>
        </w:rPr>
        <w:t xml:space="preserve"> gali būti taikomos Konkurencijos įstatymo nuostatos, o ūkio subjektus vienijanti asociacija gali būti laikoma ūkio subjektu ir dėl to, kad jos veiksmai daro įtaką ar ketinimai, jeigu būtų įgyvendinti, galėtų daryti įtaką ūkinei veiklai (žr., pvz., 2008 m. lapkričio 25 d. nutartis administracinėje byloje Nr. A</w:t>
      </w:r>
      <w:r w:rsidRPr="009C64EB">
        <w:rPr>
          <w:rFonts w:ascii="Times New Roman" w:eastAsia="Times New Roman" w:hAnsi="Times New Roman" w:cs="Times New Roman"/>
          <w:sz w:val="24"/>
          <w:szCs w:val="24"/>
          <w:vertAlign w:val="superscript"/>
          <w:lang w:val="lt-LT"/>
        </w:rPr>
        <w:t>39</w:t>
      </w:r>
      <w:r w:rsidRPr="009C64EB">
        <w:rPr>
          <w:rFonts w:ascii="Times New Roman" w:eastAsia="Times New Roman" w:hAnsi="Times New Roman" w:cs="Times New Roman"/>
          <w:sz w:val="24"/>
          <w:szCs w:val="24"/>
          <w:lang w:val="lt-LT"/>
        </w:rPr>
        <w:t>-1939/2008). Atsakovas teigia, jog Lietuvos notarų rūmai laikytini asociacija konkurencijos teisės prasme.</w:t>
      </w:r>
    </w:p>
    <w:p w14:paraId="41F789BF" w14:textId="77777777" w:rsidR="00B56117" w:rsidRPr="009C64EB" w:rsidRDefault="00B56117" w:rsidP="00B56117">
      <w:pPr>
        <w:numPr>
          <w:ilvl w:val="1"/>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Teismo vertinimu, Išaiškinimų priėmimas negalėjo sukelti neigiamų pasekmių konkurencijai, kadangi nagrinėtas konkurencijos teisės pažeidimas negalėjo nuo pat pradžių būti vertinamas kaip toks akivaizdus, savo prigimtimi automatiškai darantis neigiamą poveikį rinkai. Atsakovas nurodo, kad visais atvejais ribojantys konkurenciją susitarimai – tai tokia kategorija susitarimų, kurių neigiamas poveikis konkurencijai yra preziumuojamas, yra savaime suprantamas. Lietuvos notarų rūmų ir notarų veiksmai, kuriais buvo nustatytas notarų atlyginimo dydžių apskaičiavimo būdas už hipotekos, servituto bei mainų sandorių tvirtinimą, vertinti kaip susitarimas, kurio tikslas buvo apriboti notarų konkurenciją. Analogiškai (kaip ribojantis konkurenciją pagal tikslą) vertintas ir Lietuvos notarų rūmų ir notarų susitarimas, kuriuo buvo tiesiogiai nustatytas notarų taikytinas atlyginimo dydis – maksimalus galimas intervalo atlyginimo dydis – imamas už hipotekos (įkeitimo) tvirtinimą tuo atveju, kai šalys nenurodo įkeičiamo objekto vertės. Atlikdami nurodytus veiksmus, Lietuvos notarų rūmai ir notarai eliminavo notarų galimybę savarankiškai pasirinkti taikomą atlyginimo dydį Laikinuosiuose dydžiuose nustatyto intervalo ribose bei pasirinkti atlyginimo dydžio apskaičiavimo būdą. Tokiais veiksmais Lietuvos notarų rūmai ir notarai apribojo notarų (konkurentų) veikimo laisvę ir panaikino netikrumą dėl kitų notarų (konkurentų) elgesio rinkoje, taigi sudarė horizontalų susitarimą dėl kainų nustatymo, o tokio pobūdžio susitarimas yra draudžiamas vien pagal tikslą riboti konkurenciją. Taryba neprivalėjo nustatyti tokio susitarimo poveikio konkurencijai.</w:t>
      </w:r>
    </w:p>
    <w:p w14:paraId="506C2DF7" w14:textId="77777777" w:rsidR="00B56117" w:rsidRPr="009C64EB" w:rsidRDefault="00B56117" w:rsidP="00B56117">
      <w:pPr>
        <w:numPr>
          <w:ilvl w:val="1"/>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Teismas Sprendime nurodydamas, jog priimdami Išaiškinimus Lietuvos notarų rūmai ir notarai vykdė Notariato įstatyme įtvirtintą funkciją, t. y. vienodino notarinę praktiką, rėmėsi valstybės prievartos doktrina. Atsakovas nurodo, kad ūkio subjektas gali remtis valstybės prievartos doktrina, kai yra įgyvendinamos dvi kumuliatyvios sąlygos: (1) antikonkurencinis elgesys yra lemiamas valstybės teisės aktų; (2) ūkio subjektas neturi jokios </w:t>
      </w:r>
      <w:proofErr w:type="spellStart"/>
      <w:r w:rsidRPr="009C64EB">
        <w:rPr>
          <w:rFonts w:ascii="Times New Roman" w:eastAsia="Times New Roman" w:hAnsi="Times New Roman" w:cs="Times New Roman"/>
          <w:sz w:val="24"/>
          <w:szCs w:val="24"/>
          <w:lang w:val="lt-LT"/>
        </w:rPr>
        <w:t>diskrecijos</w:t>
      </w:r>
      <w:proofErr w:type="spellEnd"/>
      <w:r w:rsidRPr="009C64EB">
        <w:rPr>
          <w:rFonts w:ascii="Times New Roman" w:eastAsia="Times New Roman" w:hAnsi="Times New Roman" w:cs="Times New Roman"/>
          <w:sz w:val="24"/>
          <w:szCs w:val="24"/>
          <w:lang w:val="lt-LT"/>
        </w:rPr>
        <w:t xml:space="preserve"> elgtis kitokiu būdu. Teismas, nurodydamas, jog Lietuvos notarų rūmai ir notarai neturėjo galimybės nepriimti Išaiškinimų, kadangi tokią pareigą jiems nustato įstatymas, rėmėsi Notariato įstatymo 9 straipsnio 5 punktu, kuriame nustatyta, jog vienas iš Lietuvos notarų rūmų uždavinių yra suvienodinti notarinę praktiką, o Notariato įstatymo 10 straipsnio 7 punkte nustatyta, kad Notarų rūmai, vykdydami savo uždavinius, imasi priemonių notarinei praktikai suvienodinti, tačiau šiose nuostatose nėra įtvirtinta imperatyvi pareiga priimti išaiškinimus dėl notarų atlyginimo dydžių. Atsakovas pastebi, kad Notariato įstatyme nėra įtvirtinta, jog vienodindami notarinę praktiką Lietuvos notarų rūmai privalo priimti sprendimus, kuriais vadovaudamiesi visi Lietuvoje veikiantys notarai privalėtų taikyti vienodus įkainius už visų notarinių veiksmų atlikimą. Taigi, Lietuvos notarų rūmai ir notarai turėjo plačią </w:t>
      </w:r>
      <w:proofErr w:type="spellStart"/>
      <w:r w:rsidRPr="009C64EB">
        <w:rPr>
          <w:rFonts w:ascii="Times New Roman" w:eastAsia="Times New Roman" w:hAnsi="Times New Roman" w:cs="Times New Roman"/>
          <w:sz w:val="24"/>
          <w:szCs w:val="24"/>
          <w:lang w:val="lt-LT"/>
        </w:rPr>
        <w:t>diskreciją</w:t>
      </w:r>
      <w:proofErr w:type="spellEnd"/>
      <w:r w:rsidRPr="009C64EB">
        <w:rPr>
          <w:rFonts w:ascii="Times New Roman" w:eastAsia="Times New Roman" w:hAnsi="Times New Roman" w:cs="Times New Roman"/>
          <w:sz w:val="24"/>
          <w:szCs w:val="24"/>
          <w:lang w:val="lt-LT"/>
        </w:rPr>
        <w:t xml:space="preserve"> ir jokiu būdu neprivalėjo priimti Išaiškinimų, kurie </w:t>
      </w:r>
      <w:r w:rsidRPr="009C64EB">
        <w:rPr>
          <w:rFonts w:ascii="Times New Roman" w:eastAsia="Times New Roman" w:hAnsi="Times New Roman" w:cs="Times New Roman"/>
          <w:sz w:val="24"/>
          <w:szCs w:val="24"/>
          <w:lang w:val="lt-LT"/>
        </w:rPr>
        <w:lastRenderedPageBreak/>
        <w:t>pašalina galimybę notarams atliekant konkrečius notarinius veiksmus konkuruoti kainomis, nors prieš pateikiant Išaiškinimus notarai turėjo tokią galimybę, vadovaudamiesi Laikinaisiais dydžiais.</w:t>
      </w:r>
    </w:p>
    <w:p w14:paraId="612C44CE" w14:textId="0B0A41C7" w:rsidR="00B56117" w:rsidRPr="009C64EB" w:rsidRDefault="00B56117" w:rsidP="00B56117">
      <w:pPr>
        <w:numPr>
          <w:ilvl w:val="1"/>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Atsakovas nesutinka su Teismo išvada, jog šiuo atveju yra aktuali </w:t>
      </w:r>
      <w:proofErr w:type="spellStart"/>
      <w:r w:rsidRPr="009C64EB">
        <w:rPr>
          <w:rFonts w:ascii="Times New Roman" w:eastAsia="Times New Roman" w:hAnsi="Times New Roman" w:cs="Times New Roman"/>
          <w:i/>
          <w:sz w:val="24"/>
          <w:szCs w:val="24"/>
          <w:lang w:val="lt-LT"/>
        </w:rPr>
        <w:t>Wouters</w:t>
      </w:r>
      <w:proofErr w:type="spellEnd"/>
      <w:r w:rsidRPr="009C64EB">
        <w:rPr>
          <w:rFonts w:ascii="Times New Roman" w:eastAsia="Times New Roman" w:hAnsi="Times New Roman" w:cs="Times New Roman"/>
          <w:sz w:val="24"/>
          <w:szCs w:val="24"/>
          <w:lang w:val="lt-LT"/>
        </w:rPr>
        <w:t xml:space="preserve"> byla, pagal kurią Taryba nepagrįstai nevertino, ar Išaiškinimai atitinka proporcingumo principą. Atsakovas nurodo, kad teismas nepagrįstai nusprendė, kad Lietuvos notarų rūmai ir notarai turėjo teisę priimti Išaiškinimus dėl Laikinųjų dydžių taikymo, kadangi teisė nustatyti atlyginimo dydžius už notarinių veiksmų atlikimą yra suteikta </w:t>
      </w:r>
      <w:r w:rsidR="00122D76">
        <w:rPr>
          <w:rFonts w:ascii="Times New Roman" w:eastAsia="Times New Roman" w:hAnsi="Times New Roman" w:cs="Times New Roman"/>
          <w:sz w:val="24"/>
          <w:szCs w:val="24"/>
          <w:lang w:val="lt-LT"/>
        </w:rPr>
        <w:t>t</w:t>
      </w:r>
      <w:r w:rsidRPr="009C64EB">
        <w:rPr>
          <w:rFonts w:ascii="Times New Roman" w:eastAsia="Times New Roman" w:hAnsi="Times New Roman" w:cs="Times New Roman"/>
          <w:sz w:val="24"/>
          <w:szCs w:val="24"/>
          <w:lang w:val="lt-LT"/>
        </w:rPr>
        <w:t>eisingumo ministrui. Atsakovas teigia, jog Lietuvos notarų rūmai ir notarai</w:t>
      </w:r>
      <w:r w:rsidR="00F9748B">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priėmę Išaiškinimus</w:t>
      </w:r>
      <w:r w:rsidR="00F9748B">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iš esmės pakeitė Laikinuosiuose dydžiuose įtvirtintą reglamentavimą, nustatant fiksuotą atlyginimo dydį arba privalomą atlyginimo apskaičiavimo būdą, nors, prieš priimant Išaiškinimus, notarai, vadovaudamiesi Laikinaisiais dydžiais, galėjo savo nuožiūra pasirinkti taikomą įkainį ar įkainio apskaičiavimo būdą. Atsakovas akcentuoja, jog teismas, nurodęs, kad Laikinųjų dydžių patvirtinimas yra išskirtinė Teisingumo ministerijos </w:t>
      </w:r>
      <w:proofErr w:type="spellStart"/>
      <w:r w:rsidRPr="009C64EB">
        <w:rPr>
          <w:rFonts w:ascii="Times New Roman" w:eastAsia="Times New Roman" w:hAnsi="Times New Roman" w:cs="Times New Roman"/>
          <w:sz w:val="24"/>
          <w:szCs w:val="24"/>
          <w:lang w:val="lt-LT"/>
        </w:rPr>
        <w:t>diskrecija</w:t>
      </w:r>
      <w:proofErr w:type="spellEnd"/>
      <w:r w:rsidRPr="009C64EB">
        <w:rPr>
          <w:rFonts w:ascii="Times New Roman" w:eastAsia="Times New Roman" w:hAnsi="Times New Roman" w:cs="Times New Roman"/>
          <w:sz w:val="24"/>
          <w:szCs w:val="24"/>
          <w:lang w:val="lt-LT"/>
        </w:rPr>
        <w:t>, nepagrįstai sutapatino Laikinųjų dydžių derinimo procesą su Lietuvos notarų rūmų teise vienodinti notarinę praktiką. Atsakovas nesutinka su teismo išvada, jog Išaiškinimai užtikrina, jog klientai turės galimybę sužinoti, kokio dydžio notaro atlyginimo dydis imamas už konkretaus notarinio veiksmo atlikimą, kadangi apie tokius Išaiškinimus net nebuvo skelbiama viešai, todėl vartotojai neturėjo galimybės susipažinti su notarų atlyginimo dydžiais. Lietuvos notarų rūmams ir notarams priėmus Išaiškinimus Laikinuosiuose dydžiuose įtvirtinti atlyginimo dydžiai buvo pakeisti fiksuotais dydžiais arba nustatyta pareiga dauginti atlyginimą iš daiktų skaičiaus. Atsakovas teigia, jog nėra suprantama, dėl kokių priežasčių būtų reikėję nustatyti tik fiksuotus atlyginimo dydžius arba nustatyti notarams pareigą dauginti atlyginimą iš daiktų skaičiaus. Nei Lietuvos notarų rūmų ir notarų paaiškinimuose, nei teismo skundžiamame sprendime nėra paaiškinama, kodėl šiuo atveju fiksuoti atlyginimo dydžiai arba atlyginimo dydžių padauginimas iš daiktų skaičiaus galėjo padėti užtikrinti paslaugų kokybę, o apsiribojama abstrakčiais, niekuo nepagrįstais teiginiais. Atsakovas nesutinka su teismo išvada, kad Išaiškinimų priėmimas buvo būtinas, siekiant užtikrinti kryžminį subsidijavimą, nes teismas nepaaiškino, kaip šiuo konkrečiu atveju Išaiškinimų priėmimas galėjo kompensuoti pajamų trūkumą dėl to, jog kitos notarinės paslaugos teikiamos už mažesnę kainą nei yra sąnaudos.</w:t>
      </w:r>
    </w:p>
    <w:p w14:paraId="7A587823" w14:textId="77777777" w:rsidR="00B56117" w:rsidRPr="009C64EB" w:rsidRDefault="00B56117" w:rsidP="00B56117">
      <w:pPr>
        <w:numPr>
          <w:ilvl w:val="1"/>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Atsakovas pažymi, kad Lietuvos notarų rūmai ir notarai nėra tapatūs subjektai, todėl nėra pagrindo spręsti, jog tas pats subjektas buvo nubaustas du kartus už tą patį pažeidimą. Taryba baudas pareiškėjams skyrė Nutarimu, t. y. buvo atliktas vienas tyrimas, kurio metu buvo nustatyta, kad yra pagrindas tiek Lietuvos notarų rūmų, tiek notarų atsakomybei. Atsakovas teigia, jog dėl to nėra pagrindo spręsti, jog Lietuvos notarų rūmai ar notarai buvo persekioti du kartus už tų pačių veiksmų atlikimą.</w:t>
      </w:r>
    </w:p>
    <w:p w14:paraId="2F05C6BC" w14:textId="3FF575C0" w:rsidR="00B56117" w:rsidRPr="009C64EB" w:rsidRDefault="00B56117" w:rsidP="00B56117">
      <w:pPr>
        <w:numPr>
          <w:ilvl w:val="1"/>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Atsakovas teigia, jog patikrinimu buvo siekiama teisėtų tikslų, t. y. surinkti duomenis, kurie leistų įvertinti, ar buvo padarytas pažeidimas. Atsakovas, vadovaudamasis Konkurencijos įstatymo nuostatomis, nurodo, kad nėra pagrindo teigti, jog prieš pradedant tyrimą, Taryba privalėtų pasinaudoti kituose teisės aktuose įtvirtintomis galimybėmis skųsti Lietuvos notarų rūmų veiksmus, nes atlikti tyrimus dėl Konkurencijos įstatymo pažeidimo yra kompetentinga Taryba, o ne </w:t>
      </w:r>
      <w:r w:rsidR="00122D76">
        <w:rPr>
          <w:rFonts w:ascii="Times New Roman" w:eastAsia="Times New Roman" w:hAnsi="Times New Roman" w:cs="Times New Roman"/>
          <w:sz w:val="24"/>
          <w:szCs w:val="24"/>
          <w:lang w:val="lt-LT"/>
        </w:rPr>
        <w:t>t</w:t>
      </w:r>
      <w:r w:rsidRPr="009C64EB">
        <w:rPr>
          <w:rFonts w:ascii="Times New Roman" w:eastAsia="Times New Roman" w:hAnsi="Times New Roman" w:cs="Times New Roman"/>
          <w:sz w:val="24"/>
          <w:szCs w:val="24"/>
          <w:lang w:val="lt-LT"/>
        </w:rPr>
        <w:t xml:space="preserve">eisingumo ministras. Atsakovas nesutinka su teismo teiginiu, jog Taryba nepagrįstai pasitelkė policijos pareigūnų pagalbą, atlikdama patikrinimą. Nei Lietuvos notarų rūmai ir notarai, nei teismas neanalizavo, kodėl policijos pareigūnų dalyvavimas buvo neproporcingas, tačiau nurodė, jog vien policijos pareigūnų dalyvavimas </w:t>
      </w:r>
      <w:r w:rsidR="00CE67E6">
        <w:rPr>
          <w:rFonts w:ascii="Times New Roman" w:eastAsia="Times New Roman" w:hAnsi="Times New Roman" w:cs="Times New Roman"/>
          <w:sz w:val="24"/>
          <w:szCs w:val="24"/>
          <w:lang w:val="lt-LT"/>
        </w:rPr>
        <w:t>lėmė</w:t>
      </w:r>
      <w:r w:rsidRPr="009C64EB">
        <w:rPr>
          <w:rFonts w:ascii="Times New Roman" w:eastAsia="Times New Roman" w:hAnsi="Times New Roman" w:cs="Times New Roman"/>
          <w:sz w:val="24"/>
          <w:szCs w:val="24"/>
          <w:lang w:val="lt-LT"/>
        </w:rPr>
        <w:t xml:space="preserve"> netaikų ir nepagarbų bendradarbiavimą.</w:t>
      </w:r>
    </w:p>
    <w:p w14:paraId="0BA5E30E" w14:textId="51435549" w:rsidR="00B56117" w:rsidRPr="009C64EB" w:rsidRDefault="00B56117" w:rsidP="00B56117">
      <w:pPr>
        <w:numPr>
          <w:ilvl w:val="1"/>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Atsakovas</w:t>
      </w:r>
      <w:r w:rsidR="00F9748B">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apeliaciniame skunde aptardamas viešus Tarybos pasisakymus</w:t>
      </w:r>
      <w:r w:rsidR="00F9748B">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teigia, kad Nutarime nurodė, jog Tarybos parengti dokumentai ar jos atstovų pasisakymai negalėjo sukelti pareiškėjams teisėtų lūkesčių dėl nagrinėtų jų veiksmų vertinimo kaip teisėtų. Atsakovas atkreipia dėmesį, jog Taryba ne kartą išsakė poziciją dėl valstybinio notarų veiklos reglamentavimo ir pasisakė už jo liberalizavimą, įskaitant poreikį liberalizuoti atlyginimo dydžių, notarų skaičiaus ir kitų veiklos parametrų reguliavimą, sistemiškai vertinti reglamentavimą. Tačiau Taryba nėra priėmusi sprendimo, jog šiame Nutarime vertinti pareiškėjų veiksmai atitinka konkurencijos teisės reikalavimus.</w:t>
      </w:r>
    </w:p>
    <w:p w14:paraId="760451DF" w14:textId="77777777" w:rsidR="00B56117" w:rsidRPr="009C64EB" w:rsidRDefault="00B56117" w:rsidP="00B56117">
      <w:pPr>
        <w:numPr>
          <w:ilvl w:val="1"/>
          <w:numId w:val="8"/>
        </w:numPr>
        <w:tabs>
          <w:tab w:val="left" w:pos="567"/>
          <w:tab w:val="left" w:pos="1560"/>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lastRenderedPageBreak/>
        <w:t xml:space="preserve">Teismo pastebėjimas, jog Nutarimas yra prieštaringas, kadangi Taryba aiškiai pasisako už notarinių paslaugų rinkos liberalizavimą, tačiau Nutarimo rezoliucinės dalies 4 punktu nutarė kreiptis į Vyriausybę su siūlymu inicijuoti Notariato įstatymo 19 straipsnio pakeitimą, kas savaime, siekiant iš notarinių veiksmų įkainių nustatymo eliminuoti Notarų rūmus, reikštų būtent griežtesnį rinkos reguliavimą, iš esmės nėra reikšmingas bylos vertinimui, nes Tarybos pateiktos rekomendacijos yra susijusios su analizuota rinka, tačiau ne su bylos objektu esančiais Išaiškinimais. Atsakovo vertinimu, teismo teiginys, jog Tarybos siūlymas Vyriausybei inicijuoti Notariato įstatymo pakeitimus, reiškia griežtesnį rinkos reglamentavimą, yra nepagrįstas, nes teisė pačiai asociacijai nustatyti taikomus įkainius </w:t>
      </w:r>
      <w:r w:rsidRPr="009C64EB">
        <w:rPr>
          <w:rFonts w:ascii="Times New Roman" w:eastAsia="Times New Roman" w:hAnsi="Times New Roman" w:cs="Times New Roman"/>
          <w:iCs/>
          <w:sz w:val="24"/>
          <w:szCs w:val="24"/>
          <w:shd w:val="clear" w:color="auto" w:fill="FFFFFF"/>
          <w:lang w:val="lt-LT"/>
        </w:rPr>
        <w:t>Teisingumo Teismo</w:t>
      </w:r>
      <w:r w:rsidRPr="009C64EB">
        <w:rPr>
          <w:rFonts w:ascii="Times New Roman" w:eastAsia="Times New Roman" w:hAnsi="Times New Roman" w:cs="Times New Roman"/>
          <w:sz w:val="24"/>
          <w:szCs w:val="24"/>
          <w:lang w:val="lt-LT"/>
        </w:rPr>
        <w:t xml:space="preserve"> praktikoje yra vertinama kaip SESV pažeidimas.</w:t>
      </w:r>
    </w:p>
    <w:p w14:paraId="1EC5C449" w14:textId="2A6F62E9" w:rsidR="00B56117" w:rsidRPr="009C64EB" w:rsidRDefault="00B56117" w:rsidP="00E62B69">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Pareiškėjai Lietuvos notarų rūmai, </w:t>
      </w:r>
      <w:bookmarkStart w:id="60" w:name="Buk_83"/>
      <w:r w:rsidR="00756415" w:rsidRPr="00E3423E">
        <w:rPr>
          <w:rFonts w:ascii="Times New Roman" w:eastAsia="Times New Roman" w:hAnsi="Times New Roman" w:cs="Times New Roman"/>
          <w:sz w:val="24"/>
          <w:szCs w:val="24"/>
          <w:lang w:val="lt-LT"/>
        </w:rPr>
        <w:t>M. S.</w:t>
      </w:r>
      <w:bookmarkEnd w:id="60"/>
      <w:r w:rsidRPr="009C64EB">
        <w:rPr>
          <w:rFonts w:ascii="Times New Roman" w:eastAsia="Times New Roman" w:hAnsi="Times New Roman" w:cs="Times New Roman"/>
          <w:sz w:val="24"/>
          <w:szCs w:val="24"/>
          <w:lang w:val="lt-LT"/>
        </w:rPr>
        <w:t xml:space="preserve">, </w:t>
      </w:r>
      <w:bookmarkStart w:id="61" w:name="Buk_112"/>
      <w:r w:rsidR="00756415" w:rsidRPr="00E3423E">
        <w:rPr>
          <w:rFonts w:ascii="Times New Roman" w:eastAsia="Times New Roman" w:hAnsi="Times New Roman" w:cs="Times New Roman"/>
          <w:sz w:val="24"/>
          <w:szCs w:val="24"/>
          <w:lang w:val="lt-LT"/>
        </w:rPr>
        <w:t>S. Š.</w:t>
      </w:r>
      <w:bookmarkEnd w:id="61"/>
      <w:r w:rsidRPr="009C64EB">
        <w:rPr>
          <w:rFonts w:ascii="Times New Roman" w:eastAsia="Times New Roman" w:hAnsi="Times New Roman" w:cs="Times New Roman"/>
          <w:sz w:val="24"/>
          <w:szCs w:val="24"/>
          <w:lang w:val="lt-LT"/>
        </w:rPr>
        <w:t xml:space="preserve">, </w:t>
      </w:r>
      <w:bookmarkStart w:id="62" w:name="Buk_31"/>
      <w:r w:rsidR="00756415" w:rsidRPr="00E3423E">
        <w:rPr>
          <w:rFonts w:ascii="Times New Roman" w:eastAsia="Times New Roman" w:hAnsi="Times New Roman" w:cs="Times New Roman"/>
          <w:sz w:val="24"/>
          <w:szCs w:val="24"/>
          <w:lang w:val="lt-LT"/>
        </w:rPr>
        <w:t>D. V.</w:t>
      </w:r>
      <w:bookmarkEnd w:id="62"/>
      <w:r w:rsidRPr="009C64EB">
        <w:rPr>
          <w:rFonts w:ascii="Times New Roman" w:eastAsia="Times New Roman" w:hAnsi="Times New Roman" w:cs="Times New Roman"/>
          <w:sz w:val="24"/>
          <w:szCs w:val="24"/>
          <w:lang w:val="lt-LT"/>
        </w:rPr>
        <w:t xml:space="preserve">, </w:t>
      </w:r>
      <w:bookmarkStart w:id="63" w:name="Buk_125"/>
      <w:r w:rsidR="00756415" w:rsidRPr="00E3423E">
        <w:rPr>
          <w:rFonts w:ascii="Times New Roman" w:eastAsia="Times New Roman" w:hAnsi="Times New Roman" w:cs="Times New Roman"/>
          <w:sz w:val="24"/>
          <w:szCs w:val="24"/>
          <w:lang w:val="lt-LT"/>
        </w:rPr>
        <w:t>V. P.</w:t>
      </w:r>
      <w:bookmarkEnd w:id="63"/>
      <w:r w:rsidRPr="009C64EB">
        <w:rPr>
          <w:rFonts w:ascii="Times New Roman" w:eastAsia="Times New Roman" w:hAnsi="Times New Roman" w:cs="Times New Roman"/>
          <w:sz w:val="24"/>
          <w:szCs w:val="24"/>
          <w:lang w:val="lt-LT"/>
        </w:rPr>
        <w:t xml:space="preserve">, </w:t>
      </w:r>
      <w:bookmarkStart w:id="64" w:name="Buk_59"/>
      <w:r w:rsidR="00756415" w:rsidRPr="00E3423E">
        <w:rPr>
          <w:rFonts w:ascii="Times New Roman" w:eastAsia="Times New Roman" w:hAnsi="Times New Roman" w:cs="Times New Roman"/>
          <w:sz w:val="24"/>
          <w:szCs w:val="24"/>
          <w:lang w:val="lt-LT"/>
        </w:rPr>
        <w:t>J. P.</w:t>
      </w:r>
      <w:bookmarkEnd w:id="64"/>
      <w:r w:rsidRPr="009C64EB">
        <w:rPr>
          <w:rFonts w:ascii="Times New Roman" w:eastAsia="Times New Roman" w:hAnsi="Times New Roman" w:cs="Times New Roman"/>
          <w:sz w:val="24"/>
          <w:szCs w:val="24"/>
          <w:lang w:val="lt-LT"/>
        </w:rPr>
        <w:t xml:space="preserve">, </w:t>
      </w:r>
      <w:bookmarkStart w:id="65" w:name="Buk_19"/>
      <w:r w:rsidR="00756415" w:rsidRPr="00E3423E">
        <w:rPr>
          <w:rFonts w:ascii="Times New Roman" w:eastAsia="Times New Roman" w:hAnsi="Times New Roman" w:cs="Times New Roman"/>
          <w:sz w:val="24"/>
          <w:szCs w:val="24"/>
          <w:lang w:val="lt-LT"/>
        </w:rPr>
        <w:t>D. L.</w:t>
      </w:r>
      <w:bookmarkEnd w:id="65"/>
      <w:r w:rsidRPr="009C64EB">
        <w:rPr>
          <w:rFonts w:ascii="Times New Roman" w:eastAsia="Times New Roman" w:hAnsi="Times New Roman" w:cs="Times New Roman"/>
          <w:sz w:val="24"/>
          <w:szCs w:val="24"/>
          <w:lang w:val="lt-LT"/>
        </w:rPr>
        <w:t>-B</w:t>
      </w:r>
      <w:r w:rsidR="00686529">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w:t>
      </w:r>
      <w:bookmarkStart w:id="66" w:name="Buk_10"/>
      <w:r w:rsidR="00756415" w:rsidRPr="00E3423E">
        <w:rPr>
          <w:rFonts w:ascii="Times New Roman" w:eastAsia="Times New Roman" w:hAnsi="Times New Roman" w:cs="Times New Roman"/>
          <w:sz w:val="24"/>
          <w:szCs w:val="24"/>
          <w:lang w:val="lt-LT"/>
        </w:rPr>
        <w:t xml:space="preserve">D. P. </w:t>
      </w:r>
      <w:bookmarkEnd w:id="66"/>
      <w:r w:rsidRPr="009C64EB">
        <w:rPr>
          <w:rFonts w:ascii="Times New Roman" w:eastAsia="Times New Roman" w:hAnsi="Times New Roman" w:cs="Times New Roman"/>
          <w:sz w:val="24"/>
          <w:szCs w:val="24"/>
          <w:lang w:val="lt-LT"/>
        </w:rPr>
        <w:t>ir R</w:t>
      </w:r>
      <w:r w:rsidR="00686529">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w:t>
      </w:r>
      <w:bookmarkStart w:id="67" w:name="Buk_92"/>
      <w:r w:rsidR="00756415" w:rsidRPr="00E3423E">
        <w:rPr>
          <w:rFonts w:ascii="Times New Roman" w:eastAsia="Times New Roman" w:hAnsi="Times New Roman" w:cs="Times New Roman"/>
          <w:sz w:val="24"/>
          <w:szCs w:val="24"/>
          <w:lang w:val="lt-LT"/>
        </w:rPr>
        <w:t xml:space="preserve">O. I. </w:t>
      </w:r>
      <w:bookmarkEnd w:id="67"/>
      <w:r w:rsidRPr="009C64EB">
        <w:rPr>
          <w:rFonts w:ascii="Times New Roman" w:eastAsia="Times New Roman" w:hAnsi="Times New Roman" w:cs="Times New Roman"/>
          <w:sz w:val="24"/>
          <w:szCs w:val="24"/>
          <w:lang w:val="lt-LT"/>
        </w:rPr>
        <w:t xml:space="preserve">pateikė atsiliepimą į atsakovo Konkurencijos tarybos apeliacinį skundą, kuriame prašo atsakovo apeliacinį skundą atmesti, o pirmosios instancijos teismo sprendimą palikti nepakeistą. </w:t>
      </w:r>
    </w:p>
    <w:p w14:paraId="2407EA21"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Pareiškėjai pažymi, kad </w:t>
      </w:r>
      <w:r w:rsidRPr="009C64EB">
        <w:rPr>
          <w:rFonts w:ascii="Times New Roman" w:eastAsia="Times New Roman" w:hAnsi="Times New Roman" w:cs="Times New Roman"/>
          <w:color w:val="000000"/>
          <w:sz w:val="24"/>
          <w:szCs w:val="24"/>
          <w:lang w:val="lt-LT" w:eastAsia="lt-LT" w:bidi="lt-LT"/>
        </w:rPr>
        <w:t>savo procesiniuose dokumentuose yra išsamiai pasisakę dėl daugelio su Nutarimu susijusių aplinkybių ir teisinių klausimų, todėl detaliai jų nekartoja. Pareiškėjai</w:t>
      </w:r>
      <w:r w:rsidRPr="009C64EB">
        <w:rPr>
          <w:rFonts w:ascii="Times New Roman" w:eastAsia="Times New Roman" w:hAnsi="Times New Roman" w:cs="Times New Roman"/>
          <w:sz w:val="24"/>
          <w:szCs w:val="24"/>
          <w:lang w:val="lt-LT"/>
        </w:rPr>
        <w:t xml:space="preserve"> akcentuoja, kad atsakovo apeliaciniame skunde </w:t>
      </w:r>
      <w:r w:rsidRPr="009C64EB">
        <w:rPr>
          <w:rFonts w:ascii="Times New Roman" w:eastAsia="Times New Roman" w:hAnsi="Times New Roman" w:cs="Times New Roman"/>
          <w:color w:val="000000"/>
          <w:sz w:val="24"/>
          <w:szCs w:val="24"/>
          <w:lang w:val="lt-LT" w:eastAsia="lt-LT" w:bidi="lt-LT"/>
        </w:rPr>
        <w:t>daugelis skundžiamo teismo sprendimo argumentų yra iškraipomi, pateikiami klaidingai, teismo teiginiai išimami iš konteksto ir tokiu būdu bandoma sudaryti teismo sprendimo nepagrįstumo ir klaidingumo įspūdį</w:t>
      </w:r>
      <w:r w:rsidRPr="009C64EB">
        <w:rPr>
          <w:rFonts w:ascii="Times New Roman" w:eastAsia="Times New Roman" w:hAnsi="Times New Roman" w:cs="Times New Roman"/>
          <w:sz w:val="24"/>
          <w:szCs w:val="24"/>
          <w:lang w:val="lt-LT"/>
        </w:rPr>
        <w:t>.</w:t>
      </w:r>
    </w:p>
    <w:p w14:paraId="5EADC403"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Pareiškėjai akcentuoja, jog </w:t>
      </w:r>
      <w:r w:rsidRPr="009C64EB">
        <w:rPr>
          <w:rFonts w:ascii="Times New Roman" w:eastAsia="Times New Roman" w:hAnsi="Times New Roman" w:cs="Times New Roman"/>
          <w:color w:val="000000"/>
          <w:sz w:val="24"/>
          <w:szCs w:val="24"/>
          <w:lang w:val="lt-LT" w:eastAsia="lt-LT" w:bidi="lt-LT"/>
        </w:rPr>
        <w:t>teismas skundžiamame sprendime nekonstatavo, kad notarai jokiais atvejais negali būti laikomi ūkio subjektais Konkurencijos įstatymo prasme. Teismas aiškiai nurodė, kad šis klausimas buvo vertintas šios konkrečios bylos kontekste, atsižvelgiant į jos aplinkybes ir notariato teisinį reglamentavimą.</w:t>
      </w:r>
      <w:r w:rsidRPr="009C64EB">
        <w:rPr>
          <w:rFonts w:ascii="Times New Roman" w:eastAsia="Times New Roman" w:hAnsi="Times New Roman" w:cs="Times New Roman"/>
          <w:sz w:val="24"/>
          <w:szCs w:val="24"/>
          <w:lang w:val="lt-LT"/>
        </w:rPr>
        <w:t xml:space="preserve"> Teismas nustatė, kad </w:t>
      </w:r>
      <w:r w:rsidRPr="009C64EB">
        <w:rPr>
          <w:rFonts w:ascii="Times New Roman" w:eastAsia="Times New Roman" w:hAnsi="Times New Roman" w:cs="Times New Roman"/>
          <w:color w:val="000000"/>
          <w:sz w:val="24"/>
          <w:szCs w:val="24"/>
          <w:lang w:val="lt-LT" w:eastAsia="lt-LT" w:bidi="lt-LT"/>
        </w:rPr>
        <w:t>pareiškėjai, kurie yra Prezidiumo nariai, veikė ne kaip savarankiški notarai ar ūkio subjektai, o kaip valdymo organo nariai, bet tai negali būti vertinama kaip ūkio subjekto sąvokos ignoravimas ar paneigimas. Teismas, skirtingai nei teigia Taryba, taip pat nekonstatavo, kad Lietuvos notarų rūmai veikia kaip „viešosios valdžios institucija“. Teismas savo sprendime akcentavo būtent viešąjį interesą užtikrinančių funkcijų atlikimą ir su tuo susijusį notaro statusą, o ne veikimą kaip savarankiškos valstybinės valdžios institucijos.</w:t>
      </w:r>
    </w:p>
    <w:p w14:paraId="4B4580A1" w14:textId="34ADC8A0"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color w:val="000000"/>
          <w:sz w:val="24"/>
          <w:szCs w:val="24"/>
          <w:lang w:val="lt-LT" w:eastAsia="lt-LT" w:bidi="lt-LT"/>
        </w:rPr>
        <w:t xml:space="preserve">Pareiškėjai nurodo, kad Taryba savo argumentą, kad pareiškėjai neturėjo teisės priimti </w:t>
      </w:r>
      <w:r w:rsidR="00AE0254">
        <w:rPr>
          <w:rFonts w:ascii="Times New Roman" w:eastAsia="Times New Roman" w:hAnsi="Times New Roman" w:cs="Times New Roman"/>
          <w:color w:val="000000"/>
          <w:sz w:val="24"/>
          <w:szCs w:val="24"/>
          <w:lang w:val="lt-LT" w:eastAsia="lt-LT" w:bidi="lt-LT"/>
        </w:rPr>
        <w:t>I</w:t>
      </w:r>
      <w:r w:rsidRPr="009C64EB">
        <w:rPr>
          <w:rFonts w:ascii="Times New Roman" w:eastAsia="Times New Roman" w:hAnsi="Times New Roman" w:cs="Times New Roman"/>
          <w:color w:val="000000"/>
          <w:sz w:val="24"/>
          <w:szCs w:val="24"/>
          <w:lang w:val="lt-LT" w:eastAsia="lt-LT" w:bidi="lt-LT"/>
        </w:rPr>
        <w:t xml:space="preserve">šaiškinimų, grindžia vien tik savo teiginiais, o ne galiojančiu teisiniu reglamentavimu ir primena, kad Teisingumo ministerija, kuri yra atsakinga už notariato veikimą ir priežiūrą Lietuvoje, savo atsiliepime į pareiškėjų skundą palaikė pareiškėjų poziciją ir nurodė, kad Taryba peržengė savo kompetencijos ribas ir įsiterpė į įstatymo leidėjo kompetenciją. Pareiškėjai teigia, kad Taryba tiek Nutarime, tiek apeliaciniame skunde bando sudaryti įspūdį, kad notarai yra laisvi konkuruoti </w:t>
      </w:r>
      <w:r w:rsidRPr="009C64EB">
        <w:rPr>
          <w:rFonts w:ascii="Times New Roman" w:eastAsia="Times New Roman" w:hAnsi="Times New Roman" w:cs="Times New Roman"/>
          <w:color w:val="000000"/>
          <w:sz w:val="24"/>
          <w:szCs w:val="24"/>
          <w:lang w:val="lt-LT" w:eastAsia="de-DE" w:bidi="de-DE"/>
        </w:rPr>
        <w:t xml:space="preserve">kainomis, </w:t>
      </w:r>
      <w:r w:rsidRPr="009C64EB">
        <w:rPr>
          <w:rFonts w:ascii="Times New Roman" w:eastAsia="Times New Roman" w:hAnsi="Times New Roman" w:cs="Times New Roman"/>
          <w:color w:val="000000"/>
          <w:sz w:val="24"/>
          <w:szCs w:val="24"/>
          <w:lang w:val="lt-LT" w:eastAsia="lt-LT" w:bidi="lt-LT"/>
        </w:rPr>
        <w:t xml:space="preserve">o priimti Išaiškinimai eliminavo tokią notarų galimybę. </w:t>
      </w:r>
      <w:r w:rsidR="00AE0254">
        <w:rPr>
          <w:rFonts w:ascii="Times New Roman" w:eastAsia="Times New Roman" w:hAnsi="Times New Roman" w:cs="Times New Roman"/>
          <w:color w:val="000000"/>
          <w:sz w:val="24"/>
          <w:szCs w:val="24"/>
          <w:lang w:val="lt-LT" w:eastAsia="lt-LT" w:bidi="lt-LT"/>
        </w:rPr>
        <w:t>N</w:t>
      </w:r>
      <w:r w:rsidRPr="009C64EB">
        <w:rPr>
          <w:rFonts w:ascii="Times New Roman" w:eastAsia="Times New Roman" w:hAnsi="Times New Roman" w:cs="Times New Roman"/>
          <w:color w:val="000000"/>
          <w:sz w:val="24"/>
          <w:szCs w:val="24"/>
          <w:lang w:val="lt-LT" w:eastAsia="lt-LT" w:bidi="lt-LT"/>
        </w:rPr>
        <w:t xml:space="preserve">otarų atlyginimo dydžiai reglamentuojami Notariato įstatyme ir nustatyti </w:t>
      </w:r>
      <w:r w:rsidR="00AE0254">
        <w:rPr>
          <w:rFonts w:ascii="Times New Roman" w:eastAsia="Times New Roman" w:hAnsi="Times New Roman" w:cs="Times New Roman"/>
          <w:color w:val="000000"/>
          <w:sz w:val="24"/>
          <w:szCs w:val="24"/>
          <w:lang w:val="lt-LT" w:eastAsia="lt-LT" w:bidi="lt-LT"/>
        </w:rPr>
        <w:t>t</w:t>
      </w:r>
      <w:r w:rsidRPr="009C64EB">
        <w:rPr>
          <w:rFonts w:ascii="Times New Roman" w:eastAsia="Times New Roman" w:hAnsi="Times New Roman" w:cs="Times New Roman"/>
          <w:color w:val="000000"/>
          <w:sz w:val="24"/>
          <w:szCs w:val="24"/>
          <w:lang w:val="lt-LT" w:eastAsia="lt-LT" w:bidi="lt-LT"/>
        </w:rPr>
        <w:t xml:space="preserve">eisingumo ministro įsakymu – byloje nagrinėtais Išaiškinimais pareiškėjai nepakeitė Laikinuosiuose dydžiuose įtvirtinto reglamentavimo, o tik užpildė teisinio reguliavimo spragas. Pareiškėjai atkreipia dėmesį, kad Išaiškinimai buvo pateikti tik dėl kelių situacijų ir, kaip nurodė teismas skundžiamame sprendime, būtinybė šiuo aspektu pateikti </w:t>
      </w:r>
      <w:r w:rsidR="00E62B69">
        <w:rPr>
          <w:rFonts w:ascii="Times New Roman" w:eastAsia="Times New Roman" w:hAnsi="Times New Roman" w:cs="Times New Roman"/>
          <w:color w:val="000000"/>
          <w:sz w:val="24"/>
          <w:szCs w:val="24"/>
          <w:lang w:val="lt-LT" w:eastAsia="lt-LT" w:bidi="lt-LT"/>
        </w:rPr>
        <w:t>I</w:t>
      </w:r>
      <w:r w:rsidRPr="009C64EB">
        <w:rPr>
          <w:rFonts w:ascii="Times New Roman" w:eastAsia="Times New Roman" w:hAnsi="Times New Roman" w:cs="Times New Roman"/>
          <w:color w:val="000000"/>
          <w:sz w:val="24"/>
          <w:szCs w:val="24"/>
          <w:lang w:val="lt-LT" w:eastAsia="lt-LT" w:bidi="lt-LT"/>
        </w:rPr>
        <w:t>šaiškinimus buvo pagrįsta.</w:t>
      </w:r>
    </w:p>
    <w:p w14:paraId="44647CA6" w14:textId="791A2CA5" w:rsidR="00B56117" w:rsidRPr="009C64EB" w:rsidRDefault="00B56117" w:rsidP="00E62B69">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Pareiškėjai dėl atsakovo argumento, jog </w:t>
      </w:r>
      <w:r w:rsidRPr="009C64EB">
        <w:rPr>
          <w:rFonts w:ascii="Times New Roman" w:eastAsia="Times New Roman" w:hAnsi="Times New Roman" w:cs="Times New Roman"/>
          <w:color w:val="000000"/>
          <w:sz w:val="24"/>
          <w:szCs w:val="24"/>
          <w:lang w:val="lt-LT" w:eastAsia="lt-LT" w:bidi="lt-LT"/>
        </w:rPr>
        <w:t xml:space="preserve">priimant </w:t>
      </w:r>
      <w:r w:rsidR="00E62B69">
        <w:rPr>
          <w:rFonts w:ascii="Times New Roman" w:eastAsia="Times New Roman" w:hAnsi="Times New Roman" w:cs="Times New Roman"/>
          <w:color w:val="000000"/>
          <w:sz w:val="24"/>
          <w:szCs w:val="24"/>
          <w:lang w:val="lt-LT" w:eastAsia="lt-LT" w:bidi="lt-LT"/>
        </w:rPr>
        <w:t>I</w:t>
      </w:r>
      <w:r w:rsidRPr="009C64EB">
        <w:rPr>
          <w:rFonts w:ascii="Times New Roman" w:eastAsia="Times New Roman" w:hAnsi="Times New Roman" w:cs="Times New Roman"/>
          <w:color w:val="000000"/>
          <w:sz w:val="24"/>
          <w:szCs w:val="24"/>
          <w:lang w:val="lt-LT" w:eastAsia="lt-LT" w:bidi="lt-LT"/>
        </w:rPr>
        <w:t xml:space="preserve">šaiškinimus notarinių paslaugų kokybės klausimas ar kryžminio subsidijavimo klausimas net nebuvo svarstomas, </w:t>
      </w:r>
      <w:r w:rsidRPr="009C64EB">
        <w:rPr>
          <w:rFonts w:ascii="Times New Roman" w:eastAsia="Times New Roman" w:hAnsi="Times New Roman" w:cs="Times New Roman"/>
          <w:sz w:val="24"/>
          <w:szCs w:val="24"/>
          <w:lang w:val="lt-LT"/>
        </w:rPr>
        <w:t xml:space="preserve">pažymi, kad </w:t>
      </w:r>
      <w:r w:rsidRPr="009C64EB">
        <w:rPr>
          <w:rFonts w:ascii="Times New Roman" w:eastAsia="Times New Roman" w:hAnsi="Times New Roman" w:cs="Times New Roman"/>
          <w:color w:val="000000"/>
          <w:sz w:val="24"/>
          <w:szCs w:val="24"/>
          <w:lang w:val="lt-LT" w:eastAsia="lt-LT" w:bidi="lt-LT"/>
        </w:rPr>
        <w:t>Lietuvos notarų rūmai, vykdydami pareigą vienodinti notarinę praktiką, visais atvejais vadovavosi Notariato įstatymo 19</w:t>
      </w:r>
      <w:r w:rsidRPr="009C64EB">
        <w:rPr>
          <w:rFonts w:ascii="Times New Roman" w:eastAsia="Times New Roman" w:hAnsi="Times New Roman" w:cs="Times New Roman"/>
          <w:color w:val="000000"/>
          <w:sz w:val="24"/>
          <w:szCs w:val="24"/>
          <w:vertAlign w:val="superscript"/>
          <w:lang w:val="lt-LT" w:eastAsia="lt-LT" w:bidi="lt-LT"/>
        </w:rPr>
        <w:t>1</w:t>
      </w:r>
      <w:r w:rsidRPr="009C64EB">
        <w:rPr>
          <w:rFonts w:ascii="Times New Roman" w:eastAsia="Times New Roman" w:hAnsi="Times New Roman" w:cs="Times New Roman"/>
          <w:color w:val="000000"/>
          <w:sz w:val="24"/>
          <w:szCs w:val="24"/>
          <w:lang w:val="lt-LT" w:eastAsia="lt-LT" w:bidi="lt-LT"/>
        </w:rPr>
        <w:t xml:space="preserve"> straipsnyje įtvirtintais notarų atlyginimo dydžių (įkainių) nustatymo kriterijais. Tai tiesiogiai nurodyta Išaiškinim</w:t>
      </w:r>
      <w:r w:rsidR="00AE0254">
        <w:rPr>
          <w:rFonts w:ascii="Times New Roman" w:eastAsia="Times New Roman" w:hAnsi="Times New Roman" w:cs="Times New Roman"/>
          <w:color w:val="000000"/>
          <w:sz w:val="24"/>
          <w:szCs w:val="24"/>
          <w:lang w:val="lt-LT" w:eastAsia="lt-LT" w:bidi="lt-LT"/>
        </w:rPr>
        <w:t>uose</w:t>
      </w:r>
      <w:r w:rsidRPr="009C64EB">
        <w:rPr>
          <w:rFonts w:ascii="Times New Roman" w:eastAsia="Times New Roman" w:hAnsi="Times New Roman" w:cs="Times New Roman"/>
          <w:color w:val="000000"/>
          <w:sz w:val="24"/>
          <w:szCs w:val="24"/>
          <w:lang w:val="lt-LT" w:eastAsia="lt-LT" w:bidi="lt-LT"/>
        </w:rPr>
        <w:t xml:space="preserve"> dėl notaro atlyginimo dydžio už hipotekos sandorio patvirtinimą, kai nenurodyta įkeičiamo objekto vertė. Taip pat nurodytas ir Išaiškinimų pateikimo tikslas – vienodinti notarinę praktiką</w:t>
      </w:r>
      <w:r w:rsidRPr="009C64EB">
        <w:rPr>
          <w:rFonts w:ascii="Times New Roman" w:eastAsia="Times New Roman" w:hAnsi="Times New Roman" w:cs="Times New Roman"/>
          <w:sz w:val="24"/>
          <w:szCs w:val="24"/>
          <w:lang w:val="lt-LT"/>
        </w:rPr>
        <w:t xml:space="preserve">. </w:t>
      </w:r>
    </w:p>
    <w:p w14:paraId="5E0ED62D" w14:textId="1CAE0CBB"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Pareiškėjai teigia, kad </w:t>
      </w:r>
      <w:r w:rsidRPr="009C64EB">
        <w:rPr>
          <w:rFonts w:ascii="Times New Roman" w:eastAsia="Times New Roman" w:hAnsi="Times New Roman" w:cs="Times New Roman"/>
          <w:color w:val="000000"/>
          <w:sz w:val="24"/>
          <w:szCs w:val="24"/>
          <w:lang w:val="lt-LT" w:eastAsia="lt-LT" w:bidi="lt-LT"/>
        </w:rPr>
        <w:t>egzistuojanti teisės aiškinimo ir taikymo praktika nustato konkurencijos priežiūros institucijoms pareigą įvertinti visas su analizuojamais veiksmais susijusias aplinkybes ir susitarimą kvalifikuoti ne automatiškai, bet atsižvelgiant į reikšming</w:t>
      </w:r>
      <w:r w:rsidR="00AE0254">
        <w:rPr>
          <w:rFonts w:ascii="Times New Roman" w:eastAsia="Times New Roman" w:hAnsi="Times New Roman" w:cs="Times New Roman"/>
          <w:color w:val="000000"/>
          <w:sz w:val="24"/>
          <w:szCs w:val="24"/>
          <w:lang w:val="lt-LT" w:eastAsia="lt-LT" w:bidi="lt-LT"/>
        </w:rPr>
        <w:t>as</w:t>
      </w:r>
      <w:r w:rsidRPr="009C64EB">
        <w:rPr>
          <w:rFonts w:ascii="Times New Roman" w:eastAsia="Times New Roman" w:hAnsi="Times New Roman" w:cs="Times New Roman"/>
          <w:color w:val="000000"/>
          <w:sz w:val="24"/>
          <w:szCs w:val="24"/>
          <w:lang w:val="lt-LT" w:eastAsia="lt-LT" w:bidi="lt-LT"/>
        </w:rPr>
        <w:t xml:space="preserve"> aplinkyb</w:t>
      </w:r>
      <w:r w:rsidR="00AE0254">
        <w:rPr>
          <w:rFonts w:ascii="Times New Roman" w:eastAsia="Times New Roman" w:hAnsi="Times New Roman" w:cs="Times New Roman"/>
          <w:color w:val="000000"/>
          <w:sz w:val="24"/>
          <w:szCs w:val="24"/>
          <w:lang w:val="lt-LT" w:eastAsia="lt-LT" w:bidi="lt-LT"/>
        </w:rPr>
        <w:t>es</w:t>
      </w:r>
      <w:r w:rsidRPr="009C64EB">
        <w:rPr>
          <w:rFonts w:ascii="Times New Roman" w:eastAsia="Times New Roman" w:hAnsi="Times New Roman" w:cs="Times New Roman"/>
          <w:color w:val="000000"/>
          <w:sz w:val="24"/>
          <w:szCs w:val="24"/>
          <w:lang w:val="lt-LT" w:eastAsia="lt-LT" w:bidi="lt-LT"/>
        </w:rPr>
        <w:t xml:space="preserve">. </w:t>
      </w:r>
      <w:r w:rsidRPr="009C64EB">
        <w:rPr>
          <w:rFonts w:ascii="Times New Roman" w:eastAsia="Times New Roman" w:hAnsi="Times New Roman" w:cs="Times New Roman"/>
          <w:color w:val="000000"/>
          <w:sz w:val="24"/>
          <w:szCs w:val="24"/>
          <w:lang w:val="lt-LT" w:eastAsia="lt-LT" w:bidi="lt-LT"/>
        </w:rPr>
        <w:lastRenderedPageBreak/>
        <w:t xml:space="preserve">Naujausia ES teismų praktika patvirtina, kad pažeidimo pagal tikslą doktrina nėra universali taisyklė – prezumpcija ir pažeidimai, kurių tikslas yra riboti konkurenciją, turi būti vertinami itin pamatuotai, taip pat kad konkurencijos priežiūros institucijos tokių pažeidimų atžvilgiu turi elgtis apdairiai. Pareiškėjai teigia, jog Taryba, prieš tai neatlikusi išsamios teisinės ir faktinės analizės, negali vien tik teigti, kad įtariamas elgesys sudaro pažeidimą, kurio tikslas yra riboti konkurenciją. Ypatingai tai neleistina tokiais atvejais kaip šis, kai pareikšti kaltinimai nėra įprasti ir neturi precedento – </w:t>
      </w:r>
      <w:r w:rsidR="00AE0254">
        <w:rPr>
          <w:rFonts w:ascii="Times New Roman" w:eastAsia="Times New Roman" w:hAnsi="Times New Roman" w:cs="Times New Roman"/>
          <w:color w:val="000000"/>
          <w:sz w:val="24"/>
          <w:szCs w:val="24"/>
          <w:lang w:val="lt-LT" w:eastAsia="lt-LT" w:bidi="lt-LT"/>
        </w:rPr>
        <w:t xml:space="preserve">dėl </w:t>
      </w:r>
      <w:r w:rsidRPr="009C64EB">
        <w:rPr>
          <w:rFonts w:ascii="Times New Roman" w:eastAsia="Times New Roman" w:hAnsi="Times New Roman" w:cs="Times New Roman"/>
          <w:color w:val="000000"/>
          <w:sz w:val="24"/>
          <w:szCs w:val="24"/>
          <w:lang w:val="lt-LT" w:eastAsia="lt-LT" w:bidi="lt-LT"/>
        </w:rPr>
        <w:t>pareiškėjų atliktas tyrimas yra pirmasis tokio pobūdžio tyrimas Lietuvoje ir formuluojami kaltinimai nebuvo nei pačios Tarybos, nei administracinių teismų ginčo objektu</w:t>
      </w:r>
      <w:r w:rsidRPr="009C64EB">
        <w:rPr>
          <w:rFonts w:ascii="Times New Roman" w:eastAsia="Times New Roman" w:hAnsi="Times New Roman" w:cs="Times New Roman"/>
          <w:sz w:val="24"/>
          <w:szCs w:val="24"/>
          <w:lang w:val="lt-LT"/>
        </w:rPr>
        <w:t>.</w:t>
      </w:r>
    </w:p>
    <w:p w14:paraId="7A3B6F6F" w14:textId="44641AF0"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Pareiškėjai atkreipia dėmesį, kad </w:t>
      </w:r>
      <w:r w:rsidRPr="009C64EB">
        <w:rPr>
          <w:rFonts w:ascii="Times New Roman" w:eastAsia="Times New Roman" w:hAnsi="Times New Roman" w:cs="Times New Roman"/>
          <w:color w:val="000000"/>
          <w:sz w:val="24"/>
          <w:szCs w:val="24"/>
          <w:lang w:val="lt-LT" w:eastAsia="lt-LT" w:bidi="lt-LT"/>
        </w:rPr>
        <w:t xml:space="preserve">atsakovas neigia pareigą vadovautis </w:t>
      </w:r>
      <w:r w:rsidRPr="009C64EB">
        <w:rPr>
          <w:rFonts w:ascii="Times New Roman" w:eastAsia="Times New Roman" w:hAnsi="Times New Roman" w:cs="Times New Roman"/>
          <w:iCs/>
          <w:sz w:val="24"/>
          <w:szCs w:val="24"/>
          <w:shd w:val="clear" w:color="auto" w:fill="FFFFFF"/>
          <w:lang w:val="lt-LT"/>
        </w:rPr>
        <w:t xml:space="preserve">Teisingumo Teismo </w:t>
      </w:r>
      <w:r w:rsidRPr="009C64EB">
        <w:rPr>
          <w:rFonts w:ascii="Times New Roman" w:eastAsia="Times New Roman" w:hAnsi="Times New Roman" w:cs="Times New Roman"/>
          <w:color w:val="000000"/>
          <w:sz w:val="24"/>
          <w:szCs w:val="24"/>
          <w:lang w:val="lt-LT" w:eastAsia="lt-LT" w:bidi="lt-LT"/>
        </w:rPr>
        <w:t xml:space="preserve">išnagrinėtoje </w:t>
      </w:r>
      <w:proofErr w:type="spellStart"/>
      <w:r w:rsidRPr="009C64EB">
        <w:rPr>
          <w:rFonts w:ascii="Times New Roman" w:eastAsia="Times New Roman" w:hAnsi="Times New Roman" w:cs="Times New Roman"/>
          <w:i/>
          <w:iCs/>
          <w:color w:val="000000"/>
          <w:sz w:val="24"/>
          <w:szCs w:val="24"/>
          <w:lang w:val="lt-LT" w:eastAsia="fr-FR" w:bidi="fr-FR"/>
        </w:rPr>
        <w:t>Wouters</w:t>
      </w:r>
      <w:proofErr w:type="spellEnd"/>
      <w:r w:rsidRPr="009C64EB">
        <w:rPr>
          <w:rFonts w:ascii="Times New Roman" w:eastAsia="Times New Roman" w:hAnsi="Times New Roman" w:cs="Times New Roman"/>
          <w:color w:val="000000"/>
          <w:sz w:val="24"/>
          <w:szCs w:val="24"/>
          <w:lang w:val="lt-LT" w:eastAsia="fr-FR" w:bidi="fr-FR"/>
        </w:rPr>
        <w:t xml:space="preserve"> </w:t>
      </w:r>
      <w:r w:rsidRPr="009C64EB">
        <w:rPr>
          <w:rFonts w:ascii="Times New Roman" w:eastAsia="Times New Roman" w:hAnsi="Times New Roman" w:cs="Times New Roman"/>
          <w:color w:val="000000"/>
          <w:sz w:val="24"/>
          <w:szCs w:val="24"/>
          <w:lang w:val="lt-LT" w:eastAsia="lt-LT" w:bidi="lt-LT"/>
        </w:rPr>
        <w:t xml:space="preserve">byloje įtvirtintu elgesio vertinimo standartu, tokiu būdu </w:t>
      </w:r>
      <w:r w:rsidR="00F171E6">
        <w:rPr>
          <w:rFonts w:ascii="Times New Roman" w:eastAsia="Times New Roman" w:hAnsi="Times New Roman" w:cs="Times New Roman"/>
          <w:color w:val="000000"/>
          <w:sz w:val="24"/>
          <w:szCs w:val="24"/>
          <w:lang w:val="lt-LT" w:eastAsia="lt-LT" w:bidi="lt-LT"/>
        </w:rPr>
        <w:t>ne</w:t>
      </w:r>
      <w:r w:rsidRPr="009C64EB">
        <w:rPr>
          <w:rFonts w:ascii="Times New Roman" w:eastAsia="Times New Roman" w:hAnsi="Times New Roman" w:cs="Times New Roman"/>
          <w:color w:val="000000"/>
          <w:sz w:val="24"/>
          <w:szCs w:val="24"/>
          <w:lang w:val="lt-LT" w:eastAsia="lt-LT" w:bidi="lt-LT"/>
        </w:rPr>
        <w:t>pr</w:t>
      </w:r>
      <w:r w:rsidR="00F171E6">
        <w:rPr>
          <w:rFonts w:ascii="Times New Roman" w:eastAsia="Times New Roman" w:hAnsi="Times New Roman" w:cs="Times New Roman"/>
          <w:color w:val="000000"/>
          <w:sz w:val="24"/>
          <w:szCs w:val="24"/>
          <w:lang w:val="lt-LT" w:eastAsia="lt-LT" w:bidi="lt-LT"/>
        </w:rPr>
        <w:t>ipažindamas</w:t>
      </w:r>
      <w:r w:rsidRPr="009C64EB">
        <w:rPr>
          <w:rFonts w:ascii="Times New Roman" w:eastAsia="Times New Roman" w:hAnsi="Times New Roman" w:cs="Times New Roman"/>
          <w:color w:val="000000"/>
          <w:sz w:val="24"/>
          <w:szCs w:val="24"/>
          <w:lang w:val="lt-LT" w:eastAsia="lt-LT" w:bidi="lt-LT"/>
        </w:rPr>
        <w:t xml:space="preserve">, kad buvo atlikta esminė teisinio vertinimo klaida. ES teismų praktika įtvirtina labai aiškų asociacijų veiksmų analizės teisėtumo pagal konkurencijos teisės normas standartą, kurį Taryba ignoruoja Nutarime. Taryba neatliko asociacijų sprendimų teisėtumui įvertinti taikomų labai aiškių keturių kriterijų, įtvirtintų </w:t>
      </w:r>
      <w:proofErr w:type="spellStart"/>
      <w:r w:rsidRPr="009C64EB">
        <w:rPr>
          <w:rFonts w:ascii="Times New Roman" w:eastAsia="Times New Roman" w:hAnsi="Times New Roman" w:cs="Times New Roman"/>
          <w:i/>
          <w:iCs/>
          <w:color w:val="000000"/>
          <w:sz w:val="24"/>
          <w:szCs w:val="24"/>
          <w:lang w:val="lt-LT" w:eastAsia="lt-LT" w:bidi="lt-LT"/>
        </w:rPr>
        <w:t>Wouters</w:t>
      </w:r>
      <w:proofErr w:type="spellEnd"/>
      <w:r w:rsidRPr="009C64EB">
        <w:rPr>
          <w:rFonts w:ascii="Times New Roman" w:eastAsia="Times New Roman" w:hAnsi="Times New Roman" w:cs="Times New Roman"/>
          <w:color w:val="000000"/>
          <w:sz w:val="24"/>
          <w:szCs w:val="24"/>
          <w:lang w:val="lt-LT" w:eastAsia="lt-LT" w:bidi="lt-LT"/>
        </w:rPr>
        <w:t xml:space="preserve"> byloje, analizės ir tai bando pateisinti vieninteliu argumentu (kuris akivaizdžiai yra nepagrįstas ir neatitinka </w:t>
      </w:r>
      <w:r w:rsidR="00F171E6">
        <w:rPr>
          <w:rFonts w:ascii="Times New Roman" w:eastAsia="Times New Roman" w:hAnsi="Times New Roman" w:cs="Times New Roman"/>
          <w:color w:val="000000"/>
          <w:sz w:val="24"/>
          <w:szCs w:val="24"/>
          <w:lang w:val="lt-LT" w:eastAsia="lt-LT" w:bidi="lt-LT"/>
        </w:rPr>
        <w:t xml:space="preserve">Lietuvos Respublikos </w:t>
      </w:r>
      <w:r w:rsidRPr="009C64EB">
        <w:rPr>
          <w:rFonts w:ascii="Times New Roman" w:eastAsia="Times New Roman" w:hAnsi="Times New Roman" w:cs="Times New Roman"/>
          <w:color w:val="000000"/>
          <w:sz w:val="24"/>
          <w:szCs w:val="24"/>
          <w:lang w:val="lt-LT" w:eastAsia="lt-LT" w:bidi="lt-LT"/>
        </w:rPr>
        <w:t>Konstitucijos bei Notariato įstatymo nuostatų), kad pareiškėjai neturėjo teisės priimti byloje nagrinėtų Išaiškinimų, tačiau bent kiek išsamesnių paaiškinimų, kodėl nebuvo vadovautasi privalomu pareiškėjų elgesio teisėtumo vertinimo standartu, nepateikė proceso pirmosios instancijos teisme metu, nepateikė ir apeliaciniame skunde.</w:t>
      </w:r>
    </w:p>
    <w:p w14:paraId="552EF587"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color w:val="000000"/>
          <w:sz w:val="24"/>
          <w:szCs w:val="24"/>
          <w:lang w:val="lt-LT" w:eastAsia="lt-LT" w:bidi="lt-LT"/>
        </w:rPr>
        <w:t>Pareiškėjai atkreipia dėmesį, kad Tarybos elgesiui taikomas Lietuvos Respublikos viešojo administravimo įstatymas, kuris reikalauja motyvuoti atliekamus veiksmus ir priimamus individualius teisės aktus ir akcentuoja, kad esminis Nutarimo trūkumas, susijęs su proporcingumo neįvertinimu, negali būti pašalintas bylą nagrinėjant apeliacinės instancijos teisme. Pareiškėjai pažymi, jog nors atsakovas apeliaciniame skunde daug dėmesio skiria pareiškėjo veiksmų proporcingumo vertinimui, kuris yra itin paviršutiniškas ir neišsamus, tačiau Taryba bylą nagrinėjant pirmosios instancijos teisme neteikė jokių argumentų, susijusių su pareiškėjų veiksmų proporcingumo vertinimu.</w:t>
      </w:r>
    </w:p>
    <w:p w14:paraId="058E0DCB" w14:textId="4122924A"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color w:val="000000"/>
          <w:sz w:val="24"/>
          <w:szCs w:val="24"/>
          <w:lang w:val="lt-LT" w:eastAsia="lt-LT" w:bidi="lt-LT"/>
        </w:rPr>
        <w:t>Pareiškėjai nurodo, kad skundžiamame teismo sprendime nėra kvestionuojama Tarybos teisė atlikti tyrimo veiksmus, pasitelkti policijos pareigūnus ir pasirinkti procesinės prievartos priemones, tačiau teismas kritiškai įvertino Tarybos elgesį šioje konkrečioje byloje, atsižvelgęs į byloje reikšmingas aplinkybes. Taryba yra viešojo administravimo subjektas, kuris privalo veikti ne tik pagal specialų Konkurencijos įstatymą, bet taip pat pagal kitus viešojo administravimo subjektams taikomus teisės aktus ir pamatinius viešosios teisės principus. Pareiškėjai pažymi, kad atsakovo teiginys, jog nei pareiškėjai, nei teismas neanalizavo, kodėl policijos pareigūnų dalyvavimas buvo neproporcingas, yra neteisingas. 2019 m. sausio 8 d. vykusi</w:t>
      </w:r>
      <w:r w:rsidR="00F171E6">
        <w:rPr>
          <w:rFonts w:ascii="Times New Roman" w:eastAsia="Times New Roman" w:hAnsi="Times New Roman" w:cs="Times New Roman"/>
          <w:color w:val="000000"/>
          <w:sz w:val="24"/>
          <w:szCs w:val="24"/>
          <w:lang w:val="lt-LT" w:eastAsia="lt-LT" w:bidi="lt-LT"/>
        </w:rPr>
        <w:t xml:space="preserve">ame teismo posėdyje </w:t>
      </w:r>
      <w:r w:rsidRPr="009C64EB">
        <w:rPr>
          <w:rFonts w:ascii="Times New Roman" w:eastAsia="Times New Roman" w:hAnsi="Times New Roman" w:cs="Times New Roman"/>
          <w:color w:val="000000"/>
          <w:sz w:val="24"/>
          <w:szCs w:val="24"/>
          <w:lang w:val="lt-LT" w:eastAsia="lt-LT" w:bidi="lt-LT"/>
        </w:rPr>
        <w:t>buvo keliami klausimai dėl policijos pareigūnų dalyvavimo, į kuriuos Tarybos atstovai nepateikė aiškių atsakymų. Pareiškėjai teigia, jog neaišku, kodėl buvo prašoma policijos pareigūnų pagalbos trumpiau nei pusvalandžiui, nes pagrįsta būtų manyti, kad policijos pareigūnai pasitelkiami tais išimtinais atvejais, kai yra grėsmė, kad bus priešinamasi Tarybos pareigūnams, trukdoma patikrinimo veiksmų atlikimui ar pan. Numatyti tikslų policijos pareigūnų dalyvavimą patikrinime yra paprasčiausiai neįmanoma. Pareiškėjai teigia, jog šiuo konkrečiu atveju buvo siekiama tik padaryti tam tikrą spaudimą, o ne užtikrinti viešąją rimtį.</w:t>
      </w:r>
    </w:p>
    <w:p w14:paraId="35B3DEBE"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color w:val="000000"/>
          <w:sz w:val="24"/>
          <w:szCs w:val="24"/>
          <w:lang w:val="lt-LT" w:eastAsia="lt-LT" w:bidi="lt-LT"/>
        </w:rPr>
        <w:t xml:space="preserve">Pareiškėjai dėl Tarybos viešų pasisakymų nurodo, kad įvertinus Tarybos veiksmus ir elgesį pareiškėjų atžvilgiu, įskaitant nesiėmimą veiksmų dėl tariamo pažeidimo, galima daryti išvadą, kad šie veiksmai, remiantis teisėtų lūkesčių apsaugos doktrina, sudarė pakankamą pagrindą suvokti, jog priežiūros institucija neturi pretenzijų konkrečios veiklos atžvilgiu, nepriklausomai nuo valstybės institucijos valios išreiškimo formos ir būdo. Toks aiškinimas atitinka ir ES teismų jurisprudenciją, kurioje pabrėžiama, kad teisėtų lūkesčių apsaugos principas saugo tik tokius ūkio subjekto lūkesčius, kurie yra sukelti objektyviais viešosios valdžios veiksmais. Pareiškėjai atkreipia dėmesį, kad gero administravimo imperatyvas nustato pareigą konkurencijos priežiūros institucijai vykdyti atsakingą ir </w:t>
      </w:r>
      <w:r w:rsidRPr="009C64EB">
        <w:rPr>
          <w:rFonts w:ascii="Times New Roman" w:eastAsia="Times New Roman" w:hAnsi="Times New Roman" w:cs="Times New Roman"/>
          <w:color w:val="000000"/>
          <w:sz w:val="24"/>
          <w:szCs w:val="24"/>
          <w:lang w:val="lt-LT" w:eastAsia="lt-LT" w:bidi="lt-LT"/>
        </w:rPr>
        <w:lastRenderedPageBreak/>
        <w:t xml:space="preserve">skaidrią informacijos sklaidą, susijusią su konkurencijos politika, nes asmenys turi galėti suvokti, kokia apimtimi ir kada jie gali būti paveikti konkurencijos teisės normų, todėl atsakovo pozicija, kad Tarybos viešai išsakyti teiginiai, pateikti oficialiuose dokumentuose nieko nereiškia, rodo neatsakingą, neskaidrią ir klaidinančią informacijos sklaidą. Pareiškėjai pažymi, kad ir Lietuvos vyriausiasis administracinis teismas savo praktikoje yra kritiškai įvertinęs Tarybos ilgą laiką viešai skelbtus teiginius ir pripažinęs, kad jie sukelia teisėtus lūkesčius (žr., pvz., </w:t>
      </w:r>
      <w:r w:rsidRPr="009C64EB">
        <w:rPr>
          <w:rFonts w:ascii="Times New Roman" w:eastAsia="Arial" w:hAnsi="Times New Roman" w:cs="Times New Roman"/>
          <w:sz w:val="24"/>
          <w:szCs w:val="24"/>
          <w:lang w:val="lt-LT" w:bidi="en-US"/>
        </w:rPr>
        <w:t xml:space="preserve">2017 m. rugsėjo 27 d. </w:t>
      </w:r>
      <w:r w:rsidRPr="009C64EB">
        <w:rPr>
          <w:rFonts w:ascii="Times New Roman" w:eastAsia="Arial" w:hAnsi="Times New Roman" w:cs="Times New Roman"/>
          <w:sz w:val="24"/>
          <w:szCs w:val="24"/>
          <w:lang w:val="lt-LT"/>
        </w:rPr>
        <w:t xml:space="preserve">nutartį administracinėje byloje </w:t>
      </w:r>
      <w:r w:rsidRPr="009C64EB">
        <w:rPr>
          <w:rFonts w:ascii="Times New Roman" w:eastAsia="Arial" w:hAnsi="Times New Roman" w:cs="Times New Roman"/>
          <w:sz w:val="24"/>
          <w:szCs w:val="24"/>
          <w:lang w:val="lt-LT" w:bidi="en-US"/>
        </w:rPr>
        <w:t>Nr. eA-1537-858/2017).</w:t>
      </w:r>
    </w:p>
    <w:p w14:paraId="5074E920"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Arial" w:hAnsi="Times New Roman" w:cs="Times New Roman"/>
          <w:sz w:val="24"/>
          <w:szCs w:val="24"/>
          <w:lang w:val="lt-LT" w:bidi="en-US"/>
        </w:rPr>
        <w:t xml:space="preserve">Trečiasis suinteresuotas asmuo Teisingumo ministerija </w:t>
      </w:r>
      <w:r w:rsidRPr="009C64EB">
        <w:rPr>
          <w:rFonts w:ascii="Times New Roman" w:eastAsia="Times New Roman" w:hAnsi="Times New Roman" w:cs="Times New Roman"/>
          <w:sz w:val="24"/>
          <w:szCs w:val="24"/>
          <w:lang w:val="lt-LT"/>
        </w:rPr>
        <w:t>pateikė atsiliepimą į atsakovo Konkurencijos tarybos apeliacinį skundą, kuriame prašo apeliacinio skundo netenkinti, o pirmosios instancijos teismo sprendimą palikti nepakeistą.</w:t>
      </w:r>
    </w:p>
    <w:p w14:paraId="3020631E" w14:textId="2CF05BD6"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Teisingumo ministerija sutinka su </w:t>
      </w:r>
      <w:r w:rsidRPr="009C64EB">
        <w:rPr>
          <w:rFonts w:ascii="Times New Roman" w:eastAsia="Times New Roman" w:hAnsi="Times New Roman" w:cs="Times New Roman"/>
          <w:color w:val="000000"/>
          <w:sz w:val="24"/>
          <w:szCs w:val="24"/>
          <w:lang w:val="lt-LT" w:eastAsia="lt-LT" w:bidi="lt-LT"/>
        </w:rPr>
        <w:t xml:space="preserve">teismo išvada, jog nagrinėjamoje byloje netikslinga vertinti notaro statuso problematikos, nes nėra tiek aktualu nustatyti, ar notarai yra ūkio subjektai, ar ne ir kokiose ribose galimas jų veiklos ribojimas konkurencijos teisės prasme, kiek svarbus Lietuvos notarų rūmų statuso įvertinimas, kadangi nagrinėjamos bylos dalykas susijęs su pareiškėjų, kaip Lietuvos notarų rūmų valdymo organo Prezidiumo narių, teiktu notarų paslaugų įkainių </w:t>
      </w:r>
      <w:r w:rsidR="00F171E6">
        <w:rPr>
          <w:rFonts w:ascii="Times New Roman" w:eastAsia="Times New Roman" w:hAnsi="Times New Roman" w:cs="Times New Roman"/>
          <w:color w:val="000000"/>
          <w:sz w:val="24"/>
          <w:szCs w:val="24"/>
          <w:lang w:val="lt-LT" w:eastAsia="lt-LT" w:bidi="lt-LT"/>
        </w:rPr>
        <w:t>i</w:t>
      </w:r>
      <w:r w:rsidRPr="009C64EB">
        <w:rPr>
          <w:rFonts w:ascii="Times New Roman" w:eastAsia="Times New Roman" w:hAnsi="Times New Roman" w:cs="Times New Roman"/>
          <w:color w:val="000000"/>
          <w:sz w:val="24"/>
          <w:szCs w:val="24"/>
          <w:lang w:val="lt-LT" w:eastAsia="lt-LT" w:bidi="lt-LT"/>
        </w:rPr>
        <w:t>šaiškinimu, vykdant teisės aktuose nustatytas funkcijas. Teisingumo ministerija atkreipia dėmesį, kad atsakovas vienu iš esminių Nutarimo argumentų pasirinko būtent motyvą, kad notarai yra ūkinės veiklos subjektai, todėl pareiškėjams besąlygiškai taikytinos konkurencijos teisės taisyklės.</w:t>
      </w:r>
    </w:p>
    <w:p w14:paraId="65873E5A" w14:textId="4A977F5D"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color w:val="000000"/>
          <w:sz w:val="24"/>
          <w:szCs w:val="24"/>
          <w:lang w:val="lt-LT" w:eastAsia="lt-LT" w:bidi="lt-LT"/>
        </w:rPr>
        <w:t xml:space="preserve">Teisingumo ministerija remiasi Konkurencijos įstatymo, Notariato įstatymo, </w:t>
      </w:r>
      <w:r w:rsidRPr="009C64EB">
        <w:rPr>
          <w:rFonts w:ascii="Times New Roman" w:eastAsia="Times New Roman" w:hAnsi="Times New Roman" w:cs="Times New Roman"/>
          <w:iCs/>
          <w:sz w:val="24"/>
          <w:szCs w:val="24"/>
          <w:shd w:val="clear" w:color="auto" w:fill="FFFFFF"/>
          <w:lang w:val="lt-LT"/>
        </w:rPr>
        <w:t>Teisingumo Teismo</w:t>
      </w:r>
      <w:r w:rsidRPr="009C64EB">
        <w:rPr>
          <w:rFonts w:ascii="Times New Roman" w:eastAsia="Times New Roman" w:hAnsi="Times New Roman" w:cs="Times New Roman"/>
          <w:color w:val="000000"/>
          <w:sz w:val="24"/>
          <w:szCs w:val="24"/>
          <w:lang w:val="lt-LT" w:eastAsia="lt-LT" w:bidi="lt-LT"/>
        </w:rPr>
        <w:t xml:space="preserve">, </w:t>
      </w:r>
      <w:r w:rsidR="00F171E6">
        <w:rPr>
          <w:rFonts w:ascii="Times New Roman" w:eastAsia="Times New Roman" w:hAnsi="Times New Roman" w:cs="Times New Roman"/>
          <w:color w:val="000000"/>
          <w:sz w:val="24"/>
          <w:szCs w:val="24"/>
          <w:lang w:val="lt-LT" w:eastAsia="lt-LT" w:bidi="lt-LT"/>
        </w:rPr>
        <w:t xml:space="preserve">Lietuvos Respublikos </w:t>
      </w:r>
      <w:r w:rsidRPr="009C64EB">
        <w:rPr>
          <w:rFonts w:ascii="Times New Roman" w:eastAsia="Times New Roman" w:hAnsi="Times New Roman" w:cs="Times New Roman"/>
          <w:color w:val="000000"/>
          <w:sz w:val="24"/>
          <w:szCs w:val="24"/>
          <w:lang w:val="lt-LT" w:eastAsia="lt-LT" w:bidi="lt-LT"/>
        </w:rPr>
        <w:t>Konstitucinio Teismo praktika bei akcentuoja, kad Prezidiumo nariai, teikdami Išaiškinimus</w:t>
      </w:r>
      <w:r w:rsidR="00F171E6">
        <w:rPr>
          <w:rFonts w:ascii="Times New Roman" w:eastAsia="Times New Roman" w:hAnsi="Times New Roman" w:cs="Times New Roman"/>
          <w:color w:val="000000"/>
          <w:sz w:val="24"/>
          <w:szCs w:val="24"/>
          <w:lang w:val="lt-LT" w:eastAsia="lt-LT" w:bidi="lt-LT"/>
        </w:rPr>
        <w:t>,</w:t>
      </w:r>
      <w:r w:rsidRPr="009C64EB">
        <w:rPr>
          <w:rFonts w:ascii="Times New Roman" w:eastAsia="Times New Roman" w:hAnsi="Times New Roman" w:cs="Times New Roman"/>
          <w:color w:val="000000"/>
          <w:sz w:val="24"/>
          <w:szCs w:val="24"/>
          <w:lang w:val="lt-LT" w:eastAsia="lt-LT" w:bidi="lt-LT"/>
        </w:rPr>
        <w:t xml:space="preserve"> vykdo viešojo administravimo funkciją, kurios vykdymas turėtų būti suprantamas ir kaip viešojo intereso užtikrinimas konkrečioje srityje. Ta aplinkybė, kad Prezidiumo narius renka Lietuvos notarų rūmų susirinkimas pagal Statuto 20 punktą, savaime nepaneigia išvados, kad Prezidiumo kompetencija yra susijusi su Lietuvos notarų rūmų veikla, vykdant jiems suteiktas viešojo administravimo funkcijas, kurių iš esmės negalima atsisakyti vykdyti. Neabejotinas viešasis interesas yra ir tai, kad notarų paslaugų įkainiai būtų aiškūs, skaidriai nustatomi ir teisės aktai būtų taikomi visiems vienodai, o šie aspektai iš esmės atitinka </w:t>
      </w:r>
      <w:r w:rsidRPr="009C64EB">
        <w:rPr>
          <w:rFonts w:ascii="Times New Roman" w:eastAsia="Times New Roman" w:hAnsi="Times New Roman" w:cs="Times New Roman"/>
          <w:iCs/>
          <w:sz w:val="24"/>
          <w:szCs w:val="24"/>
          <w:shd w:val="clear" w:color="auto" w:fill="FFFFFF"/>
          <w:lang w:val="lt-LT"/>
        </w:rPr>
        <w:t>Teisingumo Teismo</w:t>
      </w:r>
      <w:r w:rsidRPr="009C64EB">
        <w:rPr>
          <w:rFonts w:ascii="Times New Roman" w:eastAsia="Times New Roman" w:hAnsi="Times New Roman" w:cs="Times New Roman"/>
          <w:color w:val="000000"/>
          <w:sz w:val="24"/>
          <w:szCs w:val="24"/>
          <w:lang w:val="lt-LT" w:eastAsia="lt-LT" w:bidi="lt-LT"/>
        </w:rPr>
        <w:t xml:space="preserve"> praktiką vertinant asociacijos priimto sprendimo teisėtumą (</w:t>
      </w:r>
      <w:r w:rsidRPr="009C64EB">
        <w:rPr>
          <w:rFonts w:ascii="Times New Roman" w:eastAsia="Times New Roman" w:hAnsi="Times New Roman" w:cs="Times New Roman"/>
          <w:iCs/>
          <w:sz w:val="24"/>
          <w:szCs w:val="24"/>
          <w:shd w:val="clear" w:color="auto" w:fill="FFFFFF"/>
          <w:lang w:val="lt-LT"/>
        </w:rPr>
        <w:t>Teisingumo Teismo</w:t>
      </w:r>
      <w:r w:rsidRPr="009C64EB">
        <w:rPr>
          <w:rFonts w:ascii="Times New Roman" w:eastAsia="Times New Roman" w:hAnsi="Times New Roman" w:cs="Times New Roman"/>
          <w:color w:val="000000"/>
          <w:sz w:val="24"/>
          <w:szCs w:val="24"/>
          <w:lang w:val="lt-LT" w:eastAsia="lt-LT" w:bidi="lt-LT"/>
        </w:rPr>
        <w:t xml:space="preserve"> 2002 m. vasario 19 d. sprendimas byloje Nr. C-35/99, </w:t>
      </w:r>
      <w:proofErr w:type="spellStart"/>
      <w:r w:rsidRPr="009C64EB">
        <w:rPr>
          <w:rFonts w:ascii="Times New Roman" w:eastAsia="Times New Roman" w:hAnsi="Times New Roman" w:cs="Times New Roman"/>
          <w:i/>
          <w:iCs/>
          <w:color w:val="000000"/>
          <w:sz w:val="24"/>
          <w:szCs w:val="24"/>
          <w:lang w:val="lt-LT" w:eastAsia="lt-LT" w:bidi="lt-LT"/>
        </w:rPr>
        <w:t>Maunele</w:t>
      </w:r>
      <w:proofErr w:type="spellEnd"/>
      <w:r w:rsidRPr="009C64EB">
        <w:rPr>
          <w:rFonts w:ascii="Times New Roman" w:eastAsia="Times New Roman" w:hAnsi="Times New Roman" w:cs="Times New Roman"/>
          <w:i/>
          <w:iCs/>
          <w:color w:val="000000"/>
          <w:sz w:val="24"/>
          <w:szCs w:val="24"/>
          <w:lang w:val="lt-LT" w:eastAsia="lt-LT" w:bidi="lt-LT"/>
        </w:rPr>
        <w:t xml:space="preserve"> </w:t>
      </w:r>
      <w:proofErr w:type="spellStart"/>
      <w:r w:rsidRPr="009C64EB">
        <w:rPr>
          <w:rFonts w:ascii="Times New Roman" w:eastAsia="Times New Roman" w:hAnsi="Times New Roman" w:cs="Times New Roman"/>
          <w:i/>
          <w:iCs/>
          <w:color w:val="000000"/>
          <w:sz w:val="24"/>
          <w:szCs w:val="24"/>
          <w:lang w:val="lt-LT" w:eastAsia="lt-LT" w:bidi="lt-LT"/>
        </w:rPr>
        <w:t>Arfuiono</w:t>
      </w:r>
      <w:proofErr w:type="spellEnd"/>
      <w:r w:rsidRPr="009C64EB">
        <w:rPr>
          <w:rFonts w:ascii="Times New Roman" w:eastAsia="Times New Roman" w:hAnsi="Times New Roman" w:cs="Times New Roman"/>
          <w:i/>
          <w:iCs/>
          <w:color w:val="000000"/>
          <w:sz w:val="24"/>
          <w:szCs w:val="24"/>
          <w:lang w:val="lt-LT" w:eastAsia="lt-LT" w:bidi="lt-LT"/>
        </w:rPr>
        <w:t xml:space="preserve"> prieš </w:t>
      </w:r>
      <w:proofErr w:type="spellStart"/>
      <w:r w:rsidRPr="009C64EB">
        <w:rPr>
          <w:rFonts w:ascii="Times New Roman" w:eastAsia="Times New Roman" w:hAnsi="Times New Roman" w:cs="Times New Roman"/>
          <w:i/>
          <w:iCs/>
          <w:color w:val="000000"/>
          <w:sz w:val="24"/>
          <w:szCs w:val="24"/>
          <w:lang w:val="lt-LT" w:eastAsia="lt-LT" w:bidi="lt-LT"/>
        </w:rPr>
        <w:t>Compagnia</w:t>
      </w:r>
      <w:proofErr w:type="spellEnd"/>
      <w:r w:rsidRPr="009C64EB">
        <w:rPr>
          <w:rFonts w:ascii="Times New Roman" w:eastAsia="Times New Roman" w:hAnsi="Times New Roman" w:cs="Times New Roman"/>
          <w:i/>
          <w:iCs/>
          <w:color w:val="000000"/>
          <w:sz w:val="24"/>
          <w:szCs w:val="24"/>
          <w:lang w:val="lt-LT" w:eastAsia="lt-LT" w:bidi="lt-LT"/>
        </w:rPr>
        <w:t xml:space="preserve"> </w:t>
      </w:r>
      <w:proofErr w:type="spellStart"/>
      <w:r w:rsidRPr="009C64EB">
        <w:rPr>
          <w:rFonts w:ascii="Times New Roman" w:eastAsia="Times New Roman" w:hAnsi="Times New Roman" w:cs="Times New Roman"/>
          <w:i/>
          <w:iCs/>
          <w:color w:val="000000"/>
          <w:sz w:val="24"/>
          <w:szCs w:val="24"/>
          <w:lang w:val="lt-LT" w:eastAsia="lt-LT" w:bidi="lt-LT"/>
        </w:rPr>
        <w:t>Assicuratrice</w:t>
      </w:r>
      <w:proofErr w:type="spellEnd"/>
      <w:r w:rsidRPr="009C64EB">
        <w:rPr>
          <w:rFonts w:ascii="Times New Roman" w:eastAsia="Times New Roman" w:hAnsi="Times New Roman" w:cs="Times New Roman"/>
          <w:i/>
          <w:iCs/>
          <w:color w:val="000000"/>
          <w:sz w:val="24"/>
          <w:szCs w:val="24"/>
          <w:lang w:val="lt-LT" w:eastAsia="lt-LT" w:bidi="lt-LT"/>
        </w:rPr>
        <w:t xml:space="preserve"> RAS </w:t>
      </w:r>
      <w:proofErr w:type="spellStart"/>
      <w:r w:rsidRPr="009C64EB">
        <w:rPr>
          <w:rFonts w:ascii="Times New Roman" w:eastAsia="Times New Roman" w:hAnsi="Times New Roman" w:cs="Times New Roman"/>
          <w:i/>
          <w:iCs/>
          <w:color w:val="000000"/>
          <w:sz w:val="24"/>
          <w:szCs w:val="24"/>
          <w:lang w:val="lt-LT" w:eastAsia="lt-LT" w:bidi="lt-LT"/>
        </w:rPr>
        <w:t>spA</w:t>
      </w:r>
      <w:proofErr w:type="spellEnd"/>
      <w:r w:rsidRPr="009C64EB">
        <w:rPr>
          <w:rFonts w:ascii="Times New Roman" w:eastAsia="Times New Roman" w:hAnsi="Times New Roman" w:cs="Times New Roman"/>
          <w:i/>
          <w:iCs/>
          <w:color w:val="000000"/>
          <w:sz w:val="24"/>
          <w:szCs w:val="24"/>
          <w:lang w:val="lt-LT" w:eastAsia="lt-LT" w:bidi="lt-LT"/>
        </w:rPr>
        <w:t>,</w:t>
      </w:r>
      <w:r w:rsidRPr="009C64EB">
        <w:rPr>
          <w:rFonts w:ascii="Times New Roman" w:eastAsia="Times New Roman" w:hAnsi="Times New Roman" w:cs="Times New Roman"/>
          <w:color w:val="000000"/>
          <w:sz w:val="24"/>
          <w:szCs w:val="24"/>
          <w:lang w:val="lt-LT" w:eastAsia="lt-LT" w:bidi="lt-LT"/>
        </w:rPr>
        <w:t xml:space="preserve"> 37 pastraipa).</w:t>
      </w:r>
    </w:p>
    <w:p w14:paraId="106FF557" w14:textId="175A7416"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color w:val="000000"/>
          <w:sz w:val="24"/>
          <w:szCs w:val="24"/>
          <w:lang w:val="lt-LT" w:eastAsia="lt-LT" w:bidi="lt-LT"/>
        </w:rPr>
        <w:t xml:space="preserve">Teisingumo ministerija nurodo, kad Išaiškinimuose notarai ne nustatė naują notarų atlyginimo mechanizmą, o užpildė teisės spragas ir, apibendrinę notarinę praktiką, pasiūlė būdą, kaip galėtų ir turėtų būti taikomos </w:t>
      </w:r>
      <w:r w:rsidR="00F171E6">
        <w:rPr>
          <w:rFonts w:ascii="Times New Roman" w:eastAsia="Times New Roman" w:hAnsi="Times New Roman" w:cs="Times New Roman"/>
          <w:color w:val="000000"/>
          <w:sz w:val="24"/>
          <w:szCs w:val="24"/>
          <w:lang w:val="lt-LT" w:eastAsia="lt-LT" w:bidi="lt-LT"/>
        </w:rPr>
        <w:t>t</w:t>
      </w:r>
      <w:r w:rsidRPr="009C64EB">
        <w:rPr>
          <w:rFonts w:ascii="Times New Roman" w:eastAsia="Times New Roman" w:hAnsi="Times New Roman" w:cs="Times New Roman"/>
          <w:color w:val="000000"/>
          <w:sz w:val="24"/>
          <w:szCs w:val="24"/>
          <w:lang w:val="lt-LT" w:eastAsia="lt-LT" w:bidi="lt-LT"/>
        </w:rPr>
        <w:t>eisingumo ministro įsakymo dėl</w:t>
      </w:r>
      <w:r w:rsidRPr="009C64EB">
        <w:rPr>
          <w:rFonts w:ascii="Times New Roman" w:eastAsia="Times New Roman" w:hAnsi="Times New Roman" w:cs="Times New Roman"/>
          <w:i/>
          <w:iCs/>
          <w:color w:val="000000"/>
          <w:sz w:val="24"/>
          <w:szCs w:val="24"/>
          <w:lang w:val="lt-LT" w:eastAsia="lt-LT" w:bidi="lt-LT"/>
        </w:rPr>
        <w:t xml:space="preserve"> </w:t>
      </w:r>
      <w:r w:rsidRPr="009C64EB">
        <w:rPr>
          <w:rFonts w:ascii="Times New Roman" w:eastAsia="Times New Roman" w:hAnsi="Times New Roman" w:cs="Times New Roman"/>
          <w:color w:val="000000"/>
          <w:sz w:val="24"/>
          <w:szCs w:val="24"/>
          <w:lang w:val="lt-LT" w:eastAsia="lt-LT" w:bidi="lt-LT"/>
        </w:rPr>
        <w:t>Laikinųjų dydžių nuostatos. Teisingumo ministerija iš esmės pritarė pateiktiems Išaiškinimams. Teisingumo ministerija teigia, kad ginčo atveju formalus Konkurencijos 5 straipsnio 2 dalies taikymas laikant pareiškėjus tinkamu konkurencijos teisės subjektu, prieštarauja notaro statuso ir notaro vykdomos veikios prigimčiai – užtikrinti notaro nepriklausomumą, apribojus jam galimybę konkuruoti dėl teikiamų paslaugų įkainių. Tuo labiau, kad ginčo atveju vertinamas Prezidiumo narių elgesys, o ne atskirų notarų, veikiančių savarankiškai ir užsiimančių konkrečia ūkine veikla teikiant paslaugas. Teisingumo ministerija pastebi ir tai, kad iš tiesų Išaiškinimų poveikis rinkai ir ūkinei veiklai galėtų būti ir yra tik minimalus. Teisingumo ministerija nėra gavusi šiais klausimais daugybės skundų ir neturi šiuo klausimų kitų įtikinamų duomenų, o vien veiksmų vertinimas „pagal tikslą“ šiuo atveju yra akivaizdžiai nepakankamas.</w:t>
      </w:r>
    </w:p>
    <w:p w14:paraId="3223BAA3"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color w:val="000000"/>
          <w:sz w:val="24"/>
          <w:szCs w:val="24"/>
          <w:lang w:val="lt-LT" w:eastAsia="lt-LT" w:bidi="lt-LT"/>
        </w:rPr>
        <w:t>Teisingumo ministerija nurodo, kad teisės aktuose yra įtvirtinta imperatyvi pareiga Lietuvos notarų rūmams teikti Išaiškinimus dėl notarinių paslaugų įkainių ir Lietuvos notarų rūmai iš esmės negali tokių išaiškinimų neteikti. Teismo sprendime nustatytos visos aplinkybės, reikšmingos taikant valstybės prievartos doktriną ir iš esmės pašalinančios ūkio subjektų atsakomybę (žr., pvz., Lietuvos vyriausiojo administracinio teismo 2012 m. gegužės 17 d. nutartį administracinėje byloje Nr. A</w:t>
      </w:r>
      <w:r w:rsidRPr="009C64EB">
        <w:rPr>
          <w:rFonts w:ascii="Times New Roman" w:eastAsia="Times New Roman" w:hAnsi="Times New Roman" w:cs="Times New Roman"/>
          <w:color w:val="000000"/>
          <w:sz w:val="24"/>
          <w:szCs w:val="24"/>
          <w:vertAlign w:val="superscript"/>
          <w:lang w:val="lt-LT" w:eastAsia="lt-LT" w:bidi="lt-LT"/>
        </w:rPr>
        <w:t>502</w:t>
      </w:r>
      <w:r w:rsidRPr="009C64EB">
        <w:rPr>
          <w:rFonts w:ascii="Times New Roman" w:eastAsia="Times New Roman" w:hAnsi="Times New Roman" w:cs="Times New Roman"/>
          <w:color w:val="000000"/>
          <w:sz w:val="24"/>
          <w:szCs w:val="24"/>
          <w:lang w:val="lt-LT" w:eastAsia="lt-LT" w:bidi="lt-LT"/>
        </w:rPr>
        <w:t>-1301/2012).</w:t>
      </w:r>
    </w:p>
    <w:p w14:paraId="1FBBC341"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color w:val="000000"/>
          <w:sz w:val="24"/>
          <w:szCs w:val="24"/>
          <w:lang w:val="lt-LT" w:eastAsia="lt-LT" w:bidi="lt-LT"/>
        </w:rPr>
        <w:lastRenderedPageBreak/>
        <w:t>Teisingumo ministerija nurodo, kad teismas įvertino Išaiškinimų atitikimą proporcingumo principui (</w:t>
      </w:r>
      <w:proofErr w:type="spellStart"/>
      <w:r w:rsidRPr="009C64EB">
        <w:rPr>
          <w:rFonts w:ascii="Times New Roman" w:eastAsia="Times New Roman" w:hAnsi="Times New Roman" w:cs="Times New Roman"/>
          <w:i/>
          <w:iCs/>
          <w:color w:val="000000"/>
          <w:sz w:val="24"/>
          <w:szCs w:val="24"/>
          <w:lang w:val="lt-LT" w:eastAsia="lt-LT" w:bidi="lt-LT"/>
        </w:rPr>
        <w:t>Wouters</w:t>
      </w:r>
      <w:proofErr w:type="spellEnd"/>
      <w:r w:rsidRPr="009C64EB">
        <w:rPr>
          <w:rFonts w:ascii="Times New Roman" w:eastAsia="Times New Roman" w:hAnsi="Times New Roman" w:cs="Times New Roman"/>
          <w:color w:val="000000"/>
          <w:sz w:val="24"/>
          <w:szCs w:val="24"/>
          <w:lang w:val="lt-LT" w:eastAsia="lt-LT" w:bidi="lt-LT"/>
        </w:rPr>
        <w:t xml:space="preserve"> byla) ir visiškai pagristai nurodė, kad Išaiškinimais buvo siekiama užtikrinti kryžminį subsidijavimą. Nutarime nebuvo vertinamas įkainių už notarines paslaugas nustatymo procesas, todėl teismas neprivalėjo konkrečiai tirti jo įgyvendinimo, tačiau minėto principo taikymas leidžia suprasti, kodėl vienu atveju nustatyti vienokie, o kitu atveju kitokie notarų paslaugų įkainiai ir, atitinkamai, kodėl Prezidiumas teikė tam tikro pobūdžio ir turimo Išaiškinimus.</w:t>
      </w:r>
    </w:p>
    <w:p w14:paraId="013E4565" w14:textId="77777777"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color w:val="000000"/>
          <w:sz w:val="24"/>
          <w:szCs w:val="24"/>
          <w:lang w:val="lt-LT" w:eastAsia="lt-LT" w:bidi="lt-LT"/>
        </w:rPr>
        <w:t>Teisingumo ministerija pritaria teismo vertinimui dėl pažeisto dvigubo nubaudimo principo. Teisingumo ministerija teigia, kad ginčo atveju svarbu ne tai, kad pagal susiklosčiusią Tarybos bei Lietuvos vyriausiojo administracinio teismo praktiką gali būti pripažįstama, kad už konkurencijos teisės pažeidimą yra atsakinga tiek asociacija, tiek jos nariai, tačiau būtina įvertinti, jog Prezidiumo nariai yra notarai.</w:t>
      </w:r>
    </w:p>
    <w:p w14:paraId="4CF8F0AF" w14:textId="4CB9108C"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color w:val="000000"/>
          <w:sz w:val="24"/>
          <w:szCs w:val="24"/>
          <w:lang w:val="lt-LT" w:eastAsia="lt-LT" w:bidi="lt-LT"/>
        </w:rPr>
        <w:t>Teisingumo ministerija nurodo, kad Taryba visą laiką žinojo apie Laikinuosius dydžius ir jų nustatymo specifiką, tačiau apsiribodavo tik vienokiais ar kitokiais viešais pasisakymais, t. y. reiškė nuomonę, tačiau atliko tyrimą dėl Prezidiumo Išaiškinimų pateikimo, kurie neatsiejamai susiję su tame teisės akte nustatytu teisiniu reguliavimu. Teisingumo ministerija, atsižvelgdama į tai, kad atsakomybė už konkurencijos teisės pažeidimą yra ribojama priklausomai nuo galimo teisės pažeidimo trukmės (Konkurencijos įstatymo 36–38 str</w:t>
      </w:r>
      <w:r w:rsidR="00E62B69">
        <w:rPr>
          <w:rFonts w:ascii="Times New Roman" w:eastAsia="Times New Roman" w:hAnsi="Times New Roman" w:cs="Times New Roman"/>
          <w:color w:val="000000"/>
          <w:sz w:val="24"/>
          <w:szCs w:val="24"/>
          <w:lang w:val="lt-LT" w:eastAsia="lt-LT" w:bidi="lt-LT"/>
        </w:rPr>
        <w:t>.</w:t>
      </w:r>
      <w:r w:rsidRPr="009C64EB">
        <w:rPr>
          <w:rFonts w:ascii="Times New Roman" w:eastAsia="Times New Roman" w:hAnsi="Times New Roman" w:cs="Times New Roman"/>
          <w:color w:val="000000"/>
          <w:sz w:val="24"/>
          <w:szCs w:val="24"/>
          <w:lang w:val="lt-LT" w:eastAsia="lt-LT" w:bidi="lt-LT"/>
        </w:rPr>
        <w:t>), teigia, jog atsakovo pozicija yra nenuosekli. Klausimas dėl notarų veiklos liberalizavimo yra diskusijų objektas, tačiau tai yra įstatymų leidėjo prerogatyva, o ne atsakovo kompetencija, taigi ir dėl šios priežasties priimtas Nutarimas nesuderinamas su gero administravimo, teisėtų lūkesčių bei teisinio saugumo principais.</w:t>
      </w:r>
    </w:p>
    <w:p w14:paraId="05363DE0" w14:textId="4902B104" w:rsidR="00B56117" w:rsidRPr="009C64EB" w:rsidRDefault="00B56117" w:rsidP="00B56117">
      <w:pPr>
        <w:numPr>
          <w:ilvl w:val="0"/>
          <w:numId w:val="8"/>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Teisingumo ministerija nurodo, kad ginčo atveju tyrimo atlikimo laikotarpiu Notariato Įstatymo 19</w:t>
      </w:r>
      <w:r w:rsidRPr="009C64EB">
        <w:rPr>
          <w:rFonts w:ascii="Times New Roman" w:eastAsia="Times New Roman" w:hAnsi="Times New Roman" w:cs="Times New Roman"/>
          <w:sz w:val="24"/>
          <w:szCs w:val="24"/>
          <w:vertAlign w:val="superscript"/>
          <w:lang w:val="lt-LT"/>
        </w:rPr>
        <w:t>1</w:t>
      </w:r>
      <w:r w:rsidRPr="009C64EB">
        <w:rPr>
          <w:rFonts w:ascii="Times New Roman" w:eastAsia="Times New Roman" w:hAnsi="Times New Roman" w:cs="Times New Roman"/>
          <w:sz w:val="24"/>
          <w:szCs w:val="24"/>
          <w:lang w:val="lt-LT"/>
        </w:rPr>
        <w:t xml:space="preserve"> straipsnyje buvo </w:t>
      </w:r>
      <w:r w:rsidRPr="009C64EB">
        <w:rPr>
          <w:rFonts w:ascii="Times New Roman" w:eastAsia="Times New Roman" w:hAnsi="Times New Roman" w:cs="Times New Roman"/>
          <w:color w:val="000000"/>
          <w:sz w:val="24"/>
          <w:szCs w:val="24"/>
          <w:lang w:val="lt-LT" w:eastAsia="lt-LT" w:bidi="lt-LT"/>
        </w:rPr>
        <w:t xml:space="preserve">numatyta </w:t>
      </w:r>
      <w:r w:rsidRPr="009C64EB">
        <w:rPr>
          <w:rFonts w:ascii="Times New Roman" w:eastAsia="Times New Roman" w:hAnsi="Times New Roman" w:cs="Times New Roman"/>
          <w:sz w:val="24"/>
          <w:szCs w:val="24"/>
          <w:lang w:val="lt-LT"/>
        </w:rPr>
        <w:t xml:space="preserve">taisyklė, pagal kurią </w:t>
      </w:r>
      <w:r w:rsidR="00F171E6">
        <w:rPr>
          <w:rFonts w:ascii="Times New Roman" w:eastAsia="Times New Roman" w:hAnsi="Times New Roman" w:cs="Times New Roman"/>
          <w:sz w:val="24"/>
          <w:szCs w:val="24"/>
          <w:lang w:val="lt-LT"/>
        </w:rPr>
        <w:t>t</w:t>
      </w:r>
      <w:r w:rsidRPr="009C64EB">
        <w:rPr>
          <w:rFonts w:ascii="Times New Roman" w:eastAsia="Times New Roman" w:hAnsi="Times New Roman" w:cs="Times New Roman"/>
          <w:sz w:val="24"/>
          <w:szCs w:val="24"/>
          <w:lang w:val="lt-LT"/>
        </w:rPr>
        <w:t xml:space="preserve">eisingumo ministras, nustatydamas įkainius už </w:t>
      </w:r>
      <w:r w:rsidRPr="009C64EB">
        <w:rPr>
          <w:rFonts w:ascii="Times New Roman" w:eastAsia="Times New Roman" w:hAnsi="Times New Roman" w:cs="Times New Roman"/>
          <w:color w:val="000000"/>
          <w:sz w:val="24"/>
          <w:szCs w:val="24"/>
          <w:lang w:val="lt-LT" w:eastAsia="lt-LT" w:bidi="lt-LT"/>
        </w:rPr>
        <w:t xml:space="preserve">notarų </w:t>
      </w:r>
      <w:r w:rsidRPr="009C64EB">
        <w:rPr>
          <w:rFonts w:ascii="Times New Roman" w:eastAsia="Times New Roman" w:hAnsi="Times New Roman" w:cs="Times New Roman"/>
          <w:sz w:val="24"/>
          <w:szCs w:val="24"/>
          <w:lang w:val="lt-LT"/>
        </w:rPr>
        <w:t xml:space="preserve">paslaugas, privalėjo jas derinti su </w:t>
      </w:r>
      <w:r w:rsidR="00F171E6">
        <w:rPr>
          <w:rFonts w:ascii="Times New Roman" w:eastAsia="Times New Roman" w:hAnsi="Times New Roman" w:cs="Times New Roman"/>
          <w:sz w:val="24"/>
          <w:szCs w:val="24"/>
          <w:lang w:val="lt-LT"/>
        </w:rPr>
        <w:t>f</w:t>
      </w:r>
      <w:r w:rsidRPr="009C64EB">
        <w:rPr>
          <w:rFonts w:ascii="Times New Roman" w:eastAsia="Times New Roman" w:hAnsi="Times New Roman" w:cs="Times New Roman"/>
          <w:sz w:val="24"/>
          <w:szCs w:val="24"/>
          <w:lang w:val="lt-LT"/>
        </w:rPr>
        <w:t xml:space="preserve">inansų ministru ir Lietuvos notarų rūmais. Teisingumo ministerijos nuomone, visiškai </w:t>
      </w:r>
      <w:r w:rsidRPr="009C64EB">
        <w:rPr>
          <w:rFonts w:ascii="Times New Roman" w:eastAsia="Times New Roman" w:hAnsi="Times New Roman" w:cs="Times New Roman"/>
          <w:color w:val="000000"/>
          <w:sz w:val="24"/>
          <w:szCs w:val="24"/>
          <w:lang w:val="lt-LT" w:eastAsia="lt-LT" w:bidi="lt-LT"/>
        </w:rPr>
        <w:t xml:space="preserve">nepagrįstas </w:t>
      </w:r>
      <w:r w:rsidRPr="009C64EB">
        <w:rPr>
          <w:rFonts w:ascii="Times New Roman" w:eastAsia="Times New Roman" w:hAnsi="Times New Roman" w:cs="Times New Roman"/>
          <w:sz w:val="24"/>
          <w:szCs w:val="24"/>
          <w:lang w:val="lt-LT"/>
        </w:rPr>
        <w:t xml:space="preserve">apeliacinio skundo argumentas, </w:t>
      </w:r>
      <w:r w:rsidRPr="009C64EB">
        <w:rPr>
          <w:rFonts w:ascii="Times New Roman" w:eastAsia="Times New Roman" w:hAnsi="Times New Roman" w:cs="Times New Roman"/>
          <w:color w:val="000000"/>
          <w:sz w:val="24"/>
          <w:szCs w:val="24"/>
          <w:lang w:val="lt-LT" w:eastAsia="lt-LT" w:bidi="lt-LT"/>
        </w:rPr>
        <w:t xml:space="preserve">jog </w:t>
      </w:r>
      <w:r w:rsidRPr="009C64EB">
        <w:rPr>
          <w:rFonts w:ascii="Times New Roman" w:eastAsia="Times New Roman" w:hAnsi="Times New Roman" w:cs="Times New Roman"/>
          <w:sz w:val="24"/>
          <w:szCs w:val="24"/>
          <w:lang w:val="lt-LT"/>
        </w:rPr>
        <w:t xml:space="preserve">tokio </w:t>
      </w:r>
      <w:r w:rsidRPr="009C64EB">
        <w:rPr>
          <w:rFonts w:ascii="Times New Roman" w:eastAsia="Times New Roman" w:hAnsi="Times New Roman" w:cs="Times New Roman"/>
          <w:color w:val="000000"/>
          <w:sz w:val="24"/>
          <w:szCs w:val="24"/>
          <w:lang w:val="lt-LT" w:eastAsia="lt-LT" w:bidi="lt-LT"/>
        </w:rPr>
        <w:t xml:space="preserve">pobūdžio dalyvavimas </w:t>
      </w:r>
      <w:r w:rsidRPr="009C64EB">
        <w:rPr>
          <w:rFonts w:ascii="Times New Roman" w:eastAsia="Times New Roman" w:hAnsi="Times New Roman" w:cs="Times New Roman"/>
          <w:sz w:val="24"/>
          <w:szCs w:val="24"/>
          <w:lang w:val="lt-LT"/>
        </w:rPr>
        <w:t xml:space="preserve">reikštų tai, kad notarų </w:t>
      </w:r>
      <w:r w:rsidRPr="009C64EB">
        <w:rPr>
          <w:rFonts w:ascii="Times New Roman" w:eastAsia="Times New Roman" w:hAnsi="Times New Roman" w:cs="Times New Roman"/>
          <w:color w:val="000000"/>
          <w:sz w:val="24"/>
          <w:szCs w:val="24"/>
          <w:lang w:val="lt-LT" w:eastAsia="lt-LT" w:bidi="lt-LT"/>
        </w:rPr>
        <w:t xml:space="preserve">paslaugų įkainius </w:t>
      </w:r>
      <w:r w:rsidRPr="009C64EB">
        <w:rPr>
          <w:rFonts w:ascii="Times New Roman" w:eastAsia="Times New Roman" w:hAnsi="Times New Roman" w:cs="Times New Roman"/>
          <w:sz w:val="24"/>
          <w:szCs w:val="24"/>
          <w:lang w:val="lt-LT"/>
        </w:rPr>
        <w:t xml:space="preserve">nustatinėtų patys notarai. Priešingai, tokia rekomendacija yra ne visai suderinama su teisėkūrai keliamais viešumo ir skaidrumo reikalavimais ir reiškia vykdomos politikos sugriežtinimą. Teisingumo ministerija atkreipia dėmesį, kad Taryba 2019 </w:t>
      </w:r>
      <w:r w:rsidRPr="009C64EB">
        <w:rPr>
          <w:rFonts w:ascii="Times New Roman" w:eastAsia="Times New Roman" w:hAnsi="Times New Roman" w:cs="Times New Roman"/>
          <w:color w:val="000000"/>
          <w:sz w:val="24"/>
          <w:szCs w:val="24"/>
          <w:lang w:val="lt-LT" w:eastAsia="lt-LT" w:bidi="lt-LT"/>
        </w:rPr>
        <w:t xml:space="preserve">m. </w:t>
      </w:r>
      <w:r w:rsidRPr="009C64EB">
        <w:rPr>
          <w:rFonts w:ascii="Times New Roman" w:eastAsia="Times New Roman" w:hAnsi="Times New Roman" w:cs="Times New Roman"/>
          <w:sz w:val="24"/>
          <w:szCs w:val="24"/>
          <w:lang w:val="lt-LT"/>
        </w:rPr>
        <w:t xml:space="preserve">kovo 26 d. raštu informavo Teisingumo ministeriją, kad ji užbaigė tyrimą „Dėl Lietuvos Respublikos </w:t>
      </w:r>
      <w:r w:rsidRPr="009C64EB">
        <w:rPr>
          <w:rFonts w:ascii="Times New Roman" w:eastAsia="Times New Roman" w:hAnsi="Times New Roman" w:cs="Times New Roman"/>
          <w:color w:val="000000"/>
          <w:sz w:val="24"/>
          <w:szCs w:val="24"/>
          <w:lang w:val="lt-LT" w:eastAsia="lt-LT" w:bidi="lt-LT"/>
        </w:rPr>
        <w:t xml:space="preserve">teisingumo </w:t>
      </w:r>
      <w:r w:rsidRPr="009C64EB">
        <w:rPr>
          <w:rFonts w:ascii="Times New Roman" w:eastAsia="Times New Roman" w:hAnsi="Times New Roman" w:cs="Times New Roman"/>
          <w:sz w:val="24"/>
          <w:szCs w:val="24"/>
          <w:lang w:val="lt-LT"/>
        </w:rPr>
        <w:t xml:space="preserve">ministro įsakymu patvirtintų notarų atlyginimo už notarinių </w:t>
      </w:r>
      <w:r w:rsidRPr="009C64EB">
        <w:rPr>
          <w:rFonts w:ascii="Times New Roman" w:eastAsia="Times New Roman" w:hAnsi="Times New Roman" w:cs="Times New Roman"/>
          <w:color w:val="000000"/>
          <w:sz w:val="24"/>
          <w:szCs w:val="24"/>
          <w:lang w:val="lt-LT" w:eastAsia="lt-LT" w:bidi="lt-LT"/>
        </w:rPr>
        <w:t xml:space="preserve">veiksmų </w:t>
      </w:r>
      <w:r w:rsidRPr="009C64EB">
        <w:rPr>
          <w:rFonts w:ascii="Times New Roman" w:eastAsia="Times New Roman" w:hAnsi="Times New Roman" w:cs="Times New Roman"/>
          <w:sz w:val="24"/>
          <w:szCs w:val="24"/>
          <w:lang w:val="lt-LT"/>
        </w:rPr>
        <w:t>atlikimą dydžių nustatymo atitikties Lietuvos Respublikos konkurencijos įstatymo 4 straipsnio reikalavimams“ ir šis faktas, kai teisės akto patikra atliekama po to, kai padarytos išvados dėl šio teisės akto taikymo, tik patvirtina šios institucijos nenuoseklumą ir šališkumą.</w:t>
      </w:r>
    </w:p>
    <w:p w14:paraId="4ACFA6FC" w14:textId="04D19D7C" w:rsidR="003D46A7" w:rsidRPr="009C64EB" w:rsidRDefault="00C961F5" w:rsidP="007C492B">
      <w:pPr>
        <w:pStyle w:val="Sraopastraipa"/>
        <w:numPr>
          <w:ilvl w:val="0"/>
          <w:numId w:val="8"/>
        </w:numPr>
        <w:tabs>
          <w:tab w:val="left" w:pos="567"/>
          <w:tab w:val="left" w:pos="1134"/>
        </w:tabs>
        <w:ind w:left="0" w:firstLine="709"/>
        <w:jc w:val="both"/>
        <w:rPr>
          <w:sz w:val="24"/>
          <w:szCs w:val="24"/>
        </w:rPr>
      </w:pPr>
      <w:r w:rsidRPr="009C64EB">
        <w:rPr>
          <w:sz w:val="24"/>
          <w:szCs w:val="24"/>
        </w:rPr>
        <w:t xml:space="preserve">Lietuvos vyriausiasis administracinis teismas </w:t>
      </w:r>
      <w:r w:rsidR="003D46A7" w:rsidRPr="009C64EB">
        <w:rPr>
          <w:sz w:val="24"/>
          <w:szCs w:val="24"/>
        </w:rPr>
        <w:t>2021 m. vasario 17 d. nutartimi nutarė:</w:t>
      </w:r>
    </w:p>
    <w:p w14:paraId="12A58EC4" w14:textId="77777777" w:rsidR="003D46A7" w:rsidRPr="009C64EB" w:rsidRDefault="003D46A7" w:rsidP="007C492B">
      <w:pPr>
        <w:pStyle w:val="Sraopastraipa"/>
        <w:numPr>
          <w:ilvl w:val="1"/>
          <w:numId w:val="8"/>
        </w:numPr>
        <w:tabs>
          <w:tab w:val="left" w:pos="567"/>
          <w:tab w:val="left" w:pos="1134"/>
        </w:tabs>
        <w:ind w:left="0" w:firstLine="709"/>
        <w:jc w:val="both"/>
        <w:rPr>
          <w:sz w:val="24"/>
          <w:szCs w:val="24"/>
        </w:rPr>
      </w:pPr>
      <w:r w:rsidRPr="009C64EB">
        <w:rPr>
          <w:sz w:val="24"/>
          <w:szCs w:val="24"/>
        </w:rPr>
        <w:t xml:space="preserve">Kreiptis į Europos Sąjungos Teisingumo Teismą su prašymu priimti </w:t>
      </w:r>
      <w:proofErr w:type="spellStart"/>
      <w:r w:rsidRPr="009C64EB">
        <w:rPr>
          <w:sz w:val="24"/>
          <w:szCs w:val="24"/>
        </w:rPr>
        <w:t>prejudicinį</w:t>
      </w:r>
      <w:proofErr w:type="spellEnd"/>
      <w:r w:rsidRPr="009C64EB">
        <w:rPr>
          <w:sz w:val="24"/>
          <w:szCs w:val="24"/>
        </w:rPr>
        <w:t xml:space="preserve"> sprendimą šiais byloje reikšmingais klausimais:</w:t>
      </w:r>
    </w:p>
    <w:p w14:paraId="16FF127F" w14:textId="77777777" w:rsidR="003D46A7" w:rsidRPr="009C64EB" w:rsidRDefault="003D46A7" w:rsidP="007C492B">
      <w:pPr>
        <w:pStyle w:val="Sraopastraipa"/>
        <w:numPr>
          <w:ilvl w:val="2"/>
          <w:numId w:val="8"/>
        </w:numPr>
        <w:tabs>
          <w:tab w:val="left" w:pos="567"/>
          <w:tab w:val="left" w:pos="1134"/>
        </w:tabs>
        <w:ind w:left="0" w:firstLine="709"/>
        <w:jc w:val="both"/>
        <w:rPr>
          <w:sz w:val="24"/>
          <w:szCs w:val="24"/>
        </w:rPr>
      </w:pPr>
      <w:r w:rsidRPr="009C64EB">
        <w:rPr>
          <w:sz w:val="24"/>
          <w:szCs w:val="24"/>
        </w:rPr>
        <w:t xml:space="preserve"> Ar SESV 101 straipsnio 1 dalis turėtų būti aiškinama taip, kad Lietuvos Respublikos notarai, vykdydami veiklą, susijusią su šioje byloje apibūdintais Notarų rūmų priimtais išaiškinimais, yra įmonės SESV 101 straipsnio prasme?</w:t>
      </w:r>
    </w:p>
    <w:p w14:paraId="72C59876" w14:textId="77777777" w:rsidR="003D46A7" w:rsidRPr="009C64EB" w:rsidRDefault="003D46A7" w:rsidP="007C492B">
      <w:pPr>
        <w:pStyle w:val="Sraopastraipa"/>
        <w:numPr>
          <w:ilvl w:val="2"/>
          <w:numId w:val="8"/>
        </w:numPr>
        <w:tabs>
          <w:tab w:val="left" w:pos="567"/>
          <w:tab w:val="left" w:pos="1134"/>
        </w:tabs>
        <w:ind w:left="0" w:firstLine="709"/>
        <w:jc w:val="both"/>
        <w:rPr>
          <w:sz w:val="24"/>
          <w:szCs w:val="24"/>
        </w:rPr>
      </w:pPr>
      <w:r w:rsidRPr="009C64EB">
        <w:rPr>
          <w:sz w:val="24"/>
          <w:szCs w:val="24"/>
        </w:rPr>
        <w:t xml:space="preserve">Ar SESV 101 straipsnio 1 dalis turėtų būti aiškinama taip, kad </w:t>
      </w:r>
      <w:bookmarkStart w:id="68" w:name="_Hlk62146093"/>
      <w:r w:rsidRPr="009C64EB">
        <w:rPr>
          <w:sz w:val="24"/>
          <w:szCs w:val="24"/>
        </w:rPr>
        <w:t>Lietuvos Respublikos Notarų rūmų priimti išaiškinimai, apibūdinti šioje byloje, yra asociacijos sprendimas SESV 101 straipsnio 1 dalies prasme</w:t>
      </w:r>
      <w:bookmarkEnd w:id="68"/>
      <w:r w:rsidRPr="009C64EB">
        <w:rPr>
          <w:sz w:val="24"/>
          <w:szCs w:val="24"/>
        </w:rPr>
        <w:t>?</w:t>
      </w:r>
    </w:p>
    <w:p w14:paraId="1F73C803" w14:textId="77777777" w:rsidR="003D46A7" w:rsidRPr="009C64EB" w:rsidRDefault="003D46A7" w:rsidP="007C492B">
      <w:pPr>
        <w:pStyle w:val="Sraopastraipa"/>
        <w:numPr>
          <w:ilvl w:val="2"/>
          <w:numId w:val="8"/>
        </w:numPr>
        <w:tabs>
          <w:tab w:val="left" w:pos="567"/>
          <w:tab w:val="left" w:pos="1134"/>
        </w:tabs>
        <w:ind w:left="0" w:firstLine="709"/>
        <w:jc w:val="both"/>
        <w:rPr>
          <w:sz w:val="24"/>
          <w:szCs w:val="24"/>
        </w:rPr>
      </w:pPr>
      <w:r w:rsidRPr="009C64EB">
        <w:rPr>
          <w:sz w:val="24"/>
          <w:szCs w:val="24"/>
        </w:rPr>
        <w:t>Jei atsakymas į antrąjį klausimą yra teigiamas, ar pagal SESV 101 straipsnio 1 dalį šių išaiškinimų tikslas ar poveikis yra konkurencijos trukdymas, ribojimas arba iškraipymas vidaus rinkoje?</w:t>
      </w:r>
    </w:p>
    <w:p w14:paraId="35074381" w14:textId="77777777" w:rsidR="003D46A7" w:rsidRPr="009C64EB" w:rsidRDefault="003D46A7" w:rsidP="007C492B">
      <w:pPr>
        <w:pStyle w:val="Sraopastraipa"/>
        <w:numPr>
          <w:ilvl w:val="2"/>
          <w:numId w:val="8"/>
        </w:numPr>
        <w:tabs>
          <w:tab w:val="left" w:pos="567"/>
          <w:tab w:val="left" w:pos="1134"/>
        </w:tabs>
        <w:ind w:left="0" w:firstLine="709"/>
        <w:jc w:val="both"/>
        <w:rPr>
          <w:sz w:val="24"/>
          <w:szCs w:val="24"/>
        </w:rPr>
      </w:pPr>
      <w:r w:rsidRPr="009C64EB">
        <w:rPr>
          <w:sz w:val="24"/>
          <w:szCs w:val="24"/>
        </w:rPr>
        <w:t xml:space="preserve">Ar, sprendžiant dėl galimo SESV 101 straipsnio 1 dalies pažeidimo, minėti išaiškinimai, apibūdinti šioje byloje, turėtų būti vertinami pagal </w:t>
      </w:r>
      <w:proofErr w:type="spellStart"/>
      <w:r w:rsidRPr="009C64EB">
        <w:rPr>
          <w:i/>
          <w:iCs/>
          <w:sz w:val="24"/>
          <w:szCs w:val="24"/>
        </w:rPr>
        <w:t>Wouters</w:t>
      </w:r>
      <w:proofErr w:type="spellEnd"/>
      <w:r w:rsidRPr="009C64EB">
        <w:rPr>
          <w:sz w:val="24"/>
          <w:szCs w:val="24"/>
        </w:rPr>
        <w:t xml:space="preserve"> sprendimo 97 punkte nurodytus kriterijus?</w:t>
      </w:r>
    </w:p>
    <w:p w14:paraId="37751773" w14:textId="77777777" w:rsidR="003D46A7" w:rsidRPr="009C64EB" w:rsidRDefault="003D46A7" w:rsidP="007C492B">
      <w:pPr>
        <w:pStyle w:val="Sraopastraipa"/>
        <w:numPr>
          <w:ilvl w:val="2"/>
          <w:numId w:val="8"/>
        </w:numPr>
        <w:tabs>
          <w:tab w:val="left" w:pos="567"/>
          <w:tab w:val="left" w:pos="1134"/>
        </w:tabs>
        <w:ind w:left="0" w:firstLine="709"/>
        <w:jc w:val="both"/>
        <w:rPr>
          <w:sz w:val="24"/>
          <w:szCs w:val="24"/>
        </w:rPr>
      </w:pPr>
      <w:r w:rsidRPr="009C64EB">
        <w:rPr>
          <w:sz w:val="24"/>
          <w:szCs w:val="24"/>
        </w:rPr>
        <w:t xml:space="preserve">Jei atsakymas į ketvirtąjį klausimą yra teigiamas, ar pareiškėjų nurodomi tikslai </w:t>
      </w:r>
      <w:r w:rsidRPr="009C64EB">
        <w:rPr>
          <w:sz w:val="24"/>
          <w:szCs w:val="24"/>
        </w:rPr>
        <w:sym w:font="Symbol" w:char="F02D"/>
      </w:r>
      <w:r w:rsidRPr="009C64EB">
        <w:rPr>
          <w:sz w:val="24"/>
          <w:szCs w:val="24"/>
        </w:rPr>
        <w:t xml:space="preserve"> </w:t>
      </w:r>
      <w:bookmarkStart w:id="69" w:name="_Hlk62216152"/>
      <w:r w:rsidRPr="009C64EB">
        <w:rPr>
          <w:sz w:val="24"/>
          <w:szCs w:val="24"/>
        </w:rPr>
        <w:t xml:space="preserve">siekis suvienodinti notarinę praktiką, užpildyti spragą teisiniame reguliavime, apsaugoti vartotojų interesus, </w:t>
      </w:r>
      <w:r w:rsidRPr="009C64EB">
        <w:rPr>
          <w:sz w:val="24"/>
          <w:szCs w:val="24"/>
        </w:rPr>
        <w:lastRenderedPageBreak/>
        <w:t xml:space="preserve">užtikrinti vartotojų lygiateisiškumo ir proporcingumo principus, apsaugoti notarus nuo nepagrįstos civilinės atsakomybės </w:t>
      </w:r>
      <w:r w:rsidRPr="009C64EB">
        <w:rPr>
          <w:sz w:val="24"/>
          <w:szCs w:val="24"/>
        </w:rPr>
        <w:sym w:font="Symbol" w:char="F02D"/>
      </w:r>
      <w:r w:rsidRPr="009C64EB">
        <w:rPr>
          <w:sz w:val="24"/>
          <w:szCs w:val="24"/>
        </w:rPr>
        <w:t xml:space="preserve"> yra teisėti tikslai, vertinant minėtus išaiškinimus pagal </w:t>
      </w:r>
      <w:proofErr w:type="spellStart"/>
      <w:r w:rsidRPr="009C64EB">
        <w:rPr>
          <w:i/>
          <w:iCs/>
          <w:sz w:val="24"/>
          <w:szCs w:val="24"/>
        </w:rPr>
        <w:t>Wouters</w:t>
      </w:r>
      <w:proofErr w:type="spellEnd"/>
      <w:r w:rsidRPr="009C64EB">
        <w:rPr>
          <w:sz w:val="24"/>
          <w:szCs w:val="24"/>
        </w:rPr>
        <w:t xml:space="preserve"> sprendimo 97 punkte nurodytus kriterijus</w:t>
      </w:r>
      <w:bookmarkEnd w:id="69"/>
      <w:r w:rsidRPr="009C64EB">
        <w:rPr>
          <w:sz w:val="24"/>
          <w:szCs w:val="24"/>
        </w:rPr>
        <w:t>?</w:t>
      </w:r>
    </w:p>
    <w:p w14:paraId="548254B0" w14:textId="77777777" w:rsidR="003D46A7" w:rsidRPr="009C64EB" w:rsidRDefault="003D46A7" w:rsidP="007C492B">
      <w:pPr>
        <w:pStyle w:val="Sraopastraipa"/>
        <w:numPr>
          <w:ilvl w:val="2"/>
          <w:numId w:val="8"/>
        </w:numPr>
        <w:tabs>
          <w:tab w:val="left" w:pos="567"/>
          <w:tab w:val="left" w:pos="1134"/>
        </w:tabs>
        <w:ind w:left="0" w:firstLine="709"/>
        <w:jc w:val="both"/>
        <w:rPr>
          <w:sz w:val="24"/>
          <w:szCs w:val="24"/>
        </w:rPr>
      </w:pPr>
      <w:r w:rsidRPr="009C64EB">
        <w:rPr>
          <w:sz w:val="24"/>
          <w:szCs w:val="24"/>
        </w:rPr>
        <w:t xml:space="preserve">Jei atsakymas į penktąjį klausimą yra teigiamas, ar </w:t>
      </w:r>
      <w:bookmarkStart w:id="70" w:name="_Hlk62216308"/>
      <w:r w:rsidRPr="009C64EB">
        <w:rPr>
          <w:sz w:val="24"/>
          <w:szCs w:val="24"/>
        </w:rPr>
        <w:t>minėtuose išaiškinimuose įtvirtinti apribojimai neviršija to, kas yra būtina norint užtikrinti, kad būtų pasiekti teisėti tikslai</w:t>
      </w:r>
      <w:bookmarkEnd w:id="70"/>
      <w:r w:rsidRPr="009C64EB">
        <w:rPr>
          <w:sz w:val="24"/>
          <w:szCs w:val="24"/>
        </w:rPr>
        <w:t>?</w:t>
      </w:r>
    </w:p>
    <w:p w14:paraId="61DD3D57" w14:textId="74113DF2" w:rsidR="003D46A7" w:rsidRPr="009C64EB" w:rsidRDefault="003D46A7" w:rsidP="007C492B">
      <w:pPr>
        <w:pStyle w:val="Sraopastraipa"/>
        <w:numPr>
          <w:ilvl w:val="2"/>
          <w:numId w:val="8"/>
        </w:numPr>
        <w:tabs>
          <w:tab w:val="left" w:pos="567"/>
          <w:tab w:val="left" w:pos="1134"/>
        </w:tabs>
        <w:ind w:left="0" w:firstLine="709"/>
        <w:jc w:val="both"/>
        <w:rPr>
          <w:sz w:val="24"/>
          <w:szCs w:val="24"/>
        </w:rPr>
      </w:pPr>
      <w:r w:rsidRPr="009C64EB">
        <w:rPr>
          <w:sz w:val="24"/>
          <w:szCs w:val="24"/>
        </w:rPr>
        <w:t>Ar SESV 101 straipsnis turėtų būti aiškinamas taip, kad notarai prezidiumo nariai gali būti laikomi pažeidusiais šį straipsnį ir jiems skirtos baudos dėl to, kad jie, dirbdami kaip notarai, dalyvavo priimant šioje byloje apibūdintus išaiškinimus?</w:t>
      </w:r>
    </w:p>
    <w:p w14:paraId="0CF06038" w14:textId="08B3B730" w:rsidR="00B56117" w:rsidRPr="009C64EB" w:rsidRDefault="003D46A7" w:rsidP="007C492B">
      <w:pPr>
        <w:pStyle w:val="Sraopastraipa"/>
        <w:numPr>
          <w:ilvl w:val="1"/>
          <w:numId w:val="8"/>
        </w:numPr>
        <w:tabs>
          <w:tab w:val="left" w:pos="567"/>
          <w:tab w:val="left" w:pos="1134"/>
        </w:tabs>
        <w:ind w:left="0" w:firstLine="709"/>
        <w:jc w:val="both"/>
        <w:rPr>
          <w:sz w:val="24"/>
          <w:szCs w:val="24"/>
        </w:rPr>
      </w:pPr>
      <w:r w:rsidRPr="009C64EB">
        <w:rPr>
          <w:sz w:val="24"/>
          <w:szCs w:val="24"/>
        </w:rPr>
        <w:t xml:space="preserve">Nagrinėjamą administracinę bylą sustabdyti iki bus gautas Europos Sąjungos Teisingumo Teismo </w:t>
      </w:r>
      <w:proofErr w:type="spellStart"/>
      <w:r w:rsidRPr="009C64EB">
        <w:rPr>
          <w:sz w:val="24"/>
          <w:szCs w:val="24"/>
        </w:rPr>
        <w:t>prejudicinis</w:t>
      </w:r>
      <w:proofErr w:type="spellEnd"/>
      <w:r w:rsidRPr="009C64EB">
        <w:rPr>
          <w:sz w:val="24"/>
          <w:szCs w:val="24"/>
        </w:rPr>
        <w:t xml:space="preserve"> sprendimas.</w:t>
      </w:r>
    </w:p>
    <w:p w14:paraId="1F3EADCA" w14:textId="33243B87" w:rsidR="009B07FE" w:rsidRPr="009C64EB" w:rsidRDefault="009B07FE" w:rsidP="009B07FE">
      <w:pPr>
        <w:pStyle w:val="Sraopastraipa"/>
        <w:numPr>
          <w:ilvl w:val="0"/>
          <w:numId w:val="8"/>
        </w:numPr>
        <w:tabs>
          <w:tab w:val="left" w:pos="567"/>
          <w:tab w:val="left" w:pos="1134"/>
        </w:tabs>
        <w:ind w:left="0" w:firstLine="709"/>
        <w:jc w:val="both"/>
        <w:rPr>
          <w:sz w:val="24"/>
          <w:szCs w:val="24"/>
        </w:rPr>
      </w:pPr>
      <w:r w:rsidRPr="009C64EB">
        <w:rPr>
          <w:sz w:val="24"/>
          <w:szCs w:val="24"/>
        </w:rPr>
        <w:t xml:space="preserve">Teisingumo Teismas 2024 m. sausio 18 d. priėmė </w:t>
      </w:r>
      <w:proofErr w:type="spellStart"/>
      <w:r w:rsidRPr="009C64EB">
        <w:rPr>
          <w:sz w:val="24"/>
          <w:szCs w:val="24"/>
        </w:rPr>
        <w:t>prejudicinį</w:t>
      </w:r>
      <w:proofErr w:type="spellEnd"/>
      <w:r w:rsidRPr="009C64EB">
        <w:rPr>
          <w:sz w:val="24"/>
          <w:szCs w:val="24"/>
        </w:rPr>
        <w:t xml:space="preserve"> sprendimą byloje C-128/21 </w:t>
      </w:r>
      <w:r w:rsidRPr="009C64EB">
        <w:rPr>
          <w:i/>
          <w:iCs/>
          <w:sz w:val="24"/>
          <w:szCs w:val="24"/>
        </w:rPr>
        <w:t>Lietuvos Notarų rūmai ir kt. prieš Konkurencijos tarybą</w:t>
      </w:r>
      <w:r w:rsidRPr="009C64EB">
        <w:rPr>
          <w:sz w:val="24"/>
          <w:szCs w:val="24"/>
        </w:rPr>
        <w:t xml:space="preserve"> (toliau – ir Sprendimas </w:t>
      </w:r>
      <w:r w:rsidRPr="009C64EB">
        <w:rPr>
          <w:i/>
          <w:iCs/>
          <w:sz w:val="24"/>
          <w:szCs w:val="24"/>
        </w:rPr>
        <w:t>Notarų rūmai</w:t>
      </w:r>
      <w:r w:rsidRPr="009C64EB">
        <w:rPr>
          <w:sz w:val="24"/>
          <w:szCs w:val="24"/>
        </w:rPr>
        <w:t>), kuriame nusprendė, kad</w:t>
      </w:r>
      <w:r w:rsidR="00B06D31" w:rsidRPr="009C64EB">
        <w:rPr>
          <w:sz w:val="24"/>
          <w:szCs w:val="24"/>
        </w:rPr>
        <w:t>:</w:t>
      </w:r>
    </w:p>
    <w:p w14:paraId="60577681" w14:textId="0DDAC847" w:rsidR="009B07FE" w:rsidRPr="009C64EB" w:rsidRDefault="009B07FE" w:rsidP="009B07FE">
      <w:pPr>
        <w:pStyle w:val="Sraopastraipa"/>
        <w:numPr>
          <w:ilvl w:val="1"/>
          <w:numId w:val="8"/>
        </w:numPr>
        <w:tabs>
          <w:tab w:val="left" w:pos="567"/>
          <w:tab w:val="left" w:pos="1134"/>
        </w:tabs>
        <w:ind w:left="0" w:firstLine="720"/>
        <w:jc w:val="both"/>
        <w:rPr>
          <w:sz w:val="24"/>
          <w:szCs w:val="24"/>
        </w:rPr>
      </w:pPr>
      <w:r w:rsidRPr="009C64EB">
        <w:rPr>
          <w:sz w:val="24"/>
          <w:szCs w:val="24"/>
        </w:rPr>
        <w:t>SESV 101 straipsnis turi būti aiškinamas taip, kad valstybėje narėje įsisteigę notarai turi būti laikomi „įmonėmis“, kaip jos suprantamos pagal šią nuostatą, kai jie tam tikrais atvejais tvirtina hipotekos (įkeitimo) sandorius, atlieka vykdomuosius įrašus, notarinius veiksmus, rengia sandorių projektus, teikia konsultacijas, technines paslaugas ir tvirtina mainų sutartis, jei ši veikla nesusijusi su viešosios valdžios įgaliojimų vykdymu.</w:t>
      </w:r>
    </w:p>
    <w:p w14:paraId="18A2EBF1" w14:textId="77777777" w:rsidR="009B07FE" w:rsidRPr="009C64EB" w:rsidRDefault="009B07FE" w:rsidP="009B07FE">
      <w:pPr>
        <w:pStyle w:val="Sraopastraipa"/>
        <w:numPr>
          <w:ilvl w:val="1"/>
          <w:numId w:val="8"/>
        </w:numPr>
        <w:tabs>
          <w:tab w:val="left" w:pos="567"/>
          <w:tab w:val="left" w:pos="1134"/>
        </w:tabs>
        <w:ind w:left="0" w:firstLine="720"/>
        <w:jc w:val="both"/>
        <w:rPr>
          <w:sz w:val="24"/>
          <w:szCs w:val="24"/>
        </w:rPr>
      </w:pPr>
      <w:r w:rsidRPr="009C64EB">
        <w:rPr>
          <w:sz w:val="24"/>
          <w:szCs w:val="24"/>
        </w:rPr>
        <w:t>SESV 101 straipsnio 1 dalis turi būti aiškinama taip, kad tokios profesinės organizacijos, kaip valstybės narės notarų rūmų, priimtos taisyklės, suvienodinančios tvarką, kaip šios valstybės narės notarai turi apskaičiuoti už jų vykdomą tam tikrą veiklą imamo atlyginimo dydį, yra įmonių asociacijos sprendimai, kaip jie suprantami pagal šią nuostatą.</w:t>
      </w:r>
    </w:p>
    <w:p w14:paraId="257CFEB8" w14:textId="77777777" w:rsidR="009B07FE" w:rsidRPr="009C64EB" w:rsidRDefault="009B07FE" w:rsidP="009B07FE">
      <w:pPr>
        <w:pStyle w:val="Sraopastraipa"/>
        <w:numPr>
          <w:ilvl w:val="1"/>
          <w:numId w:val="8"/>
        </w:numPr>
        <w:tabs>
          <w:tab w:val="left" w:pos="567"/>
          <w:tab w:val="left" w:pos="1134"/>
        </w:tabs>
        <w:ind w:left="0" w:firstLine="720"/>
        <w:jc w:val="both"/>
        <w:rPr>
          <w:sz w:val="24"/>
          <w:szCs w:val="24"/>
        </w:rPr>
      </w:pPr>
      <w:r w:rsidRPr="009C64EB">
        <w:rPr>
          <w:sz w:val="24"/>
          <w:szCs w:val="24"/>
        </w:rPr>
        <w:t>SESV 101 straipsnio 1 dalis turi būti aiškinama taip, kad įmonių asociacijos sprendimai, kuriais suvienodinama tvarka, kaip notarai turi apskaičiuoti už jų vykdomą tam tikrą veiklą imamo atlyginimo dydį, yra šia nuostata draudžiami konkurencijos ribojimai pagal tikslą.</w:t>
      </w:r>
    </w:p>
    <w:p w14:paraId="510B9C29" w14:textId="7A18D3A9" w:rsidR="009B07FE" w:rsidRPr="009C64EB" w:rsidRDefault="009B07FE" w:rsidP="009B07FE">
      <w:pPr>
        <w:pStyle w:val="Sraopastraipa"/>
        <w:numPr>
          <w:ilvl w:val="1"/>
          <w:numId w:val="8"/>
        </w:numPr>
        <w:tabs>
          <w:tab w:val="left" w:pos="567"/>
          <w:tab w:val="left" w:pos="1134"/>
        </w:tabs>
        <w:ind w:left="0" w:firstLine="720"/>
        <w:jc w:val="both"/>
        <w:rPr>
          <w:sz w:val="24"/>
          <w:szCs w:val="24"/>
        </w:rPr>
      </w:pPr>
      <w:r w:rsidRPr="009C64EB">
        <w:rPr>
          <w:sz w:val="24"/>
          <w:szCs w:val="24"/>
        </w:rPr>
        <w:t xml:space="preserve">SESV 101 straipsnis turi būti aiškinamas taip, kad pagal jį draudžiama, kad nacionalinė konkurencijos institucija už įmonių asociacijos padarytą šios nuostatos pažeidimą skirtų individualias baudas įmonėms, šios asociacijos valdymo organo narėms, jeigu šios įmonės nėra šio pažeidimo </w:t>
      </w:r>
      <w:proofErr w:type="spellStart"/>
      <w:r w:rsidRPr="009C64EB">
        <w:rPr>
          <w:sz w:val="24"/>
          <w:szCs w:val="24"/>
        </w:rPr>
        <w:t>bendravykdės</w:t>
      </w:r>
      <w:proofErr w:type="spellEnd"/>
      <w:r w:rsidRPr="009C64EB">
        <w:rPr>
          <w:sz w:val="24"/>
          <w:szCs w:val="24"/>
        </w:rPr>
        <w:t>.</w:t>
      </w:r>
    </w:p>
    <w:p w14:paraId="6628C6B4" w14:textId="6516E655" w:rsidR="00E27D34" w:rsidRPr="009C64EB" w:rsidRDefault="00E27D34" w:rsidP="009B07FE">
      <w:pPr>
        <w:pStyle w:val="Sraopastraipa"/>
        <w:numPr>
          <w:ilvl w:val="0"/>
          <w:numId w:val="22"/>
        </w:numPr>
        <w:tabs>
          <w:tab w:val="left" w:pos="567"/>
          <w:tab w:val="left" w:pos="1134"/>
        </w:tabs>
        <w:ind w:left="0" w:firstLine="709"/>
        <w:jc w:val="both"/>
        <w:rPr>
          <w:sz w:val="24"/>
          <w:szCs w:val="24"/>
        </w:rPr>
      </w:pPr>
      <w:r w:rsidRPr="009C64EB">
        <w:rPr>
          <w:sz w:val="24"/>
          <w:szCs w:val="24"/>
        </w:rPr>
        <w:t xml:space="preserve">Lietuvos vyriausiasis administracinis teismas 2024 m. sausio 31 d. nutartimi atnaujino administracinės bylos Nr. eA-215-629/2024 nagrinėjimą bei pasiūlė proceso dalyviams pateikti papildomus paaiškinimus byloje, atsižvelgiant į Europos Sąjungos Teisingumo Teismo </w:t>
      </w:r>
      <w:bookmarkStart w:id="71" w:name="_Hlk171069996"/>
      <w:r w:rsidRPr="009C64EB">
        <w:rPr>
          <w:sz w:val="24"/>
          <w:szCs w:val="24"/>
        </w:rPr>
        <w:t xml:space="preserve">priimtą </w:t>
      </w:r>
      <w:proofErr w:type="spellStart"/>
      <w:r w:rsidRPr="009C64EB">
        <w:rPr>
          <w:sz w:val="24"/>
          <w:szCs w:val="24"/>
        </w:rPr>
        <w:t>prejudicinį</w:t>
      </w:r>
      <w:proofErr w:type="spellEnd"/>
      <w:r w:rsidRPr="009C64EB">
        <w:rPr>
          <w:sz w:val="24"/>
          <w:szCs w:val="24"/>
        </w:rPr>
        <w:t xml:space="preserve"> </w:t>
      </w:r>
      <w:r w:rsidR="00207124" w:rsidRPr="009C64EB">
        <w:rPr>
          <w:sz w:val="24"/>
          <w:szCs w:val="24"/>
        </w:rPr>
        <w:t>Sprendim</w:t>
      </w:r>
      <w:r w:rsidR="009619D0" w:rsidRPr="009C64EB">
        <w:rPr>
          <w:sz w:val="24"/>
          <w:szCs w:val="24"/>
        </w:rPr>
        <w:t>ą</w:t>
      </w:r>
      <w:r w:rsidR="00207124" w:rsidRPr="009C64EB">
        <w:rPr>
          <w:sz w:val="24"/>
          <w:szCs w:val="24"/>
        </w:rPr>
        <w:t xml:space="preserve"> </w:t>
      </w:r>
      <w:r w:rsidR="00207124" w:rsidRPr="009C64EB">
        <w:rPr>
          <w:i/>
          <w:iCs/>
          <w:sz w:val="24"/>
          <w:szCs w:val="24"/>
        </w:rPr>
        <w:t>Notarų rūmai</w:t>
      </w:r>
      <w:bookmarkEnd w:id="71"/>
      <w:r w:rsidRPr="009C64EB">
        <w:rPr>
          <w:sz w:val="24"/>
          <w:szCs w:val="24"/>
        </w:rPr>
        <w:t>.</w:t>
      </w:r>
    </w:p>
    <w:p w14:paraId="628B9772" w14:textId="59A20F06" w:rsidR="00BA494C" w:rsidRPr="009C64EB" w:rsidRDefault="00BA494C" w:rsidP="009B07FE">
      <w:pPr>
        <w:pStyle w:val="Sraopastraipa"/>
        <w:numPr>
          <w:ilvl w:val="0"/>
          <w:numId w:val="22"/>
        </w:numPr>
        <w:tabs>
          <w:tab w:val="left" w:pos="567"/>
          <w:tab w:val="left" w:pos="1134"/>
        </w:tabs>
        <w:ind w:left="0" w:firstLine="709"/>
        <w:jc w:val="both"/>
        <w:rPr>
          <w:sz w:val="24"/>
          <w:szCs w:val="24"/>
        </w:rPr>
      </w:pPr>
      <w:r w:rsidRPr="009C64EB">
        <w:rPr>
          <w:sz w:val="24"/>
          <w:szCs w:val="24"/>
        </w:rPr>
        <w:t>Lietuvos konkurencijos taryba pateikė papildomus paaiškinimus, kuriuose nurodo šiuos argumentus:</w:t>
      </w:r>
    </w:p>
    <w:p w14:paraId="18684F89" w14:textId="3EDE8967" w:rsidR="00E27D34" w:rsidRPr="009C64EB" w:rsidRDefault="00207124" w:rsidP="009B07FE">
      <w:pPr>
        <w:pStyle w:val="Sraopastraipa"/>
        <w:numPr>
          <w:ilvl w:val="1"/>
          <w:numId w:val="22"/>
        </w:numPr>
        <w:tabs>
          <w:tab w:val="left" w:pos="567"/>
          <w:tab w:val="left" w:pos="1134"/>
        </w:tabs>
        <w:ind w:left="0" w:firstLine="709"/>
        <w:jc w:val="both"/>
        <w:rPr>
          <w:sz w:val="24"/>
          <w:szCs w:val="24"/>
        </w:rPr>
      </w:pPr>
      <w:bookmarkStart w:id="72" w:name="_Hlk171069558"/>
      <w:r w:rsidRPr="009C64EB">
        <w:rPr>
          <w:sz w:val="24"/>
          <w:szCs w:val="24"/>
        </w:rPr>
        <w:t>S</w:t>
      </w:r>
      <w:r w:rsidR="00E27D34" w:rsidRPr="009C64EB">
        <w:rPr>
          <w:sz w:val="24"/>
          <w:szCs w:val="24"/>
        </w:rPr>
        <w:t>prendime</w:t>
      </w:r>
      <w:r w:rsidRPr="009C64EB">
        <w:rPr>
          <w:sz w:val="24"/>
          <w:szCs w:val="24"/>
        </w:rPr>
        <w:t xml:space="preserve"> </w:t>
      </w:r>
      <w:r w:rsidRPr="009C64EB">
        <w:rPr>
          <w:i/>
          <w:iCs/>
          <w:sz w:val="24"/>
          <w:szCs w:val="24"/>
        </w:rPr>
        <w:t>Notarų rūmai</w:t>
      </w:r>
      <w:r w:rsidR="00E27D34" w:rsidRPr="009C64EB">
        <w:rPr>
          <w:sz w:val="24"/>
          <w:szCs w:val="24"/>
        </w:rPr>
        <w:t xml:space="preserve"> </w:t>
      </w:r>
      <w:bookmarkEnd w:id="72"/>
      <w:r w:rsidR="00E27D34" w:rsidRPr="009C64EB">
        <w:rPr>
          <w:sz w:val="24"/>
          <w:szCs w:val="24"/>
        </w:rPr>
        <w:t xml:space="preserve">buvo patvirtintos Konkurencijos tarybos padarytos išvados, kad notarai yra ūkio subjektai; Notarų rūmų priimti išaiškinimai laikyti įmonių asociacijos sprendimu; susitarimas vertintinas kaip turintis tikslą riboti konkurenciją; šiuo susitarimu buvo pažeistas ne tik Konkurencijos įstatymas bet ir </w:t>
      </w:r>
      <w:r w:rsidR="004018FD" w:rsidRPr="009C64EB">
        <w:rPr>
          <w:sz w:val="24"/>
          <w:szCs w:val="24"/>
        </w:rPr>
        <w:t>SESV</w:t>
      </w:r>
      <w:r w:rsidR="00E27D34" w:rsidRPr="009C64EB">
        <w:rPr>
          <w:sz w:val="24"/>
          <w:szCs w:val="24"/>
        </w:rPr>
        <w:t xml:space="preserve"> 101 straipsnis. Taip pat ESTT išaiškino, kad Konkurencijos taryba neteisingai apskaičiavo baudą.</w:t>
      </w:r>
    </w:p>
    <w:p w14:paraId="1EBB17C4" w14:textId="012B9969" w:rsidR="00E27D34" w:rsidRPr="009C64EB" w:rsidRDefault="00E27D34" w:rsidP="009B07FE">
      <w:pPr>
        <w:pStyle w:val="Sraopastraipa"/>
        <w:numPr>
          <w:ilvl w:val="1"/>
          <w:numId w:val="22"/>
        </w:numPr>
        <w:tabs>
          <w:tab w:val="left" w:pos="567"/>
          <w:tab w:val="left" w:pos="1134"/>
        </w:tabs>
        <w:ind w:left="0" w:firstLine="709"/>
        <w:jc w:val="both"/>
        <w:rPr>
          <w:sz w:val="24"/>
          <w:szCs w:val="24"/>
        </w:rPr>
      </w:pPr>
      <w:r w:rsidRPr="009C64EB">
        <w:rPr>
          <w:sz w:val="24"/>
          <w:szCs w:val="24"/>
        </w:rPr>
        <w:t xml:space="preserve">ESTT </w:t>
      </w:r>
      <w:r w:rsidR="00207124" w:rsidRPr="009C64EB">
        <w:rPr>
          <w:sz w:val="24"/>
          <w:szCs w:val="24"/>
        </w:rPr>
        <w:t xml:space="preserve">Sprendime </w:t>
      </w:r>
      <w:r w:rsidR="00207124" w:rsidRPr="009C64EB">
        <w:rPr>
          <w:i/>
          <w:iCs/>
          <w:sz w:val="24"/>
          <w:szCs w:val="24"/>
        </w:rPr>
        <w:t>Notarų rūmai</w:t>
      </w:r>
      <w:r w:rsidR="00207124" w:rsidRPr="009C64EB">
        <w:rPr>
          <w:sz w:val="24"/>
          <w:szCs w:val="24"/>
        </w:rPr>
        <w:t xml:space="preserve"> </w:t>
      </w:r>
      <w:r w:rsidRPr="009C64EB">
        <w:rPr>
          <w:sz w:val="24"/>
          <w:szCs w:val="24"/>
        </w:rPr>
        <w:t xml:space="preserve">nurodė, kad ta aplinkybė, jog subjektas daliai savo veiklos vykdyti turi viešosios valdžios įgaliojimus, netrukdo jo kvalifikuoti kaip įmonės pagal konkurencijos teisę dėl likusios jo ekonominės veiklos dalies, jei ši veikla gali būti atskirta nuo jo, kaip viešosios valdžios subjekto, funkcijų. ESTT atkreipė dėmesį, kad negalima tiesiogiai ir konkrečiai prie viešosios valdžios vykdymo priskirti notarinės veiklos, kai tvirtinamas aktų, kuriuose išreiškiami vienašaliai įsipareigojimai arba laisva valia šalių sudaryti susitarimai, autentiškumas, sudaromos hipotekos, atliekami vykdomieji įrašai, rengiami sandorių projektai ir kai notarai teikia konsultacijas ir technines </w:t>
      </w:r>
      <w:r w:rsidRPr="009C64EB">
        <w:rPr>
          <w:sz w:val="24"/>
          <w:szCs w:val="24"/>
        </w:rPr>
        <w:lastRenderedPageBreak/>
        <w:t>paslaugas. ESTT pažymėjo, kad nematyti, jog notarų Išaiškinimuose nurodyta veikla neatskiriama nuo kitos veiklos, kuri susijusi su viešosios valdžios įgaliojimų vykdymu, bei Lietuvoje įsisteigę notarai didelę savo veiklos dalį vykdo konkurencijos sąlygomis, veikdami pagal atitinkamą savo teritorinę kompetenciją, nes Notariato įstatymo 28 straipsnio pirmoje pastraipoje tuo klausimu numatyta, kad notariniai veiksmai gali būti atliekami pas bet kurį notarą, išskyrus turto paveldėjimo atvejus, o tai nebūdinga viešosios valdžios funkcijų vykdymui.</w:t>
      </w:r>
    </w:p>
    <w:p w14:paraId="15454089" w14:textId="2182223D" w:rsidR="007B0F37" w:rsidRPr="009C64EB" w:rsidRDefault="007B0F37" w:rsidP="009B07FE">
      <w:pPr>
        <w:pStyle w:val="Sraopastraipa"/>
        <w:numPr>
          <w:ilvl w:val="1"/>
          <w:numId w:val="22"/>
        </w:numPr>
        <w:tabs>
          <w:tab w:val="left" w:pos="567"/>
          <w:tab w:val="left" w:pos="1134"/>
        </w:tabs>
        <w:ind w:left="0" w:firstLine="709"/>
        <w:jc w:val="both"/>
        <w:rPr>
          <w:sz w:val="24"/>
          <w:szCs w:val="24"/>
        </w:rPr>
      </w:pPr>
      <w:r w:rsidRPr="009C64EB">
        <w:rPr>
          <w:sz w:val="24"/>
          <w:szCs w:val="24"/>
        </w:rPr>
        <w:t>ESTT, įvertinęs bylos faktines aplinkybes bei nacionalinį teisinį reglamentavimą, nurodė, kad Notarų rūmai atitinka Lietuvos notaro profesijos reguliavimo organizacijos požymius ir kad jų valdymo organą, t. y. Prezidiumą, sudaro nariai, kurie patys yra notarai ir kuriuos renka tik notarai, o Lietuvos valstybė nesikiša nei į minėtų narių skyrimą, nei į Prezidiumo sprendimų priėmimą. ESTT nebuvo pateikta jokia teisės akto nuostata, iš kurios būtų galima spręsti, kad Notarų rūmai veikia paisydami bendrojo viešojo intereso.</w:t>
      </w:r>
    </w:p>
    <w:p w14:paraId="2BE81837" w14:textId="383FA389" w:rsidR="007B0F37" w:rsidRPr="009C64EB" w:rsidRDefault="007B0F37" w:rsidP="009B07FE">
      <w:pPr>
        <w:pStyle w:val="Sraopastraipa"/>
        <w:numPr>
          <w:ilvl w:val="1"/>
          <w:numId w:val="22"/>
        </w:numPr>
        <w:tabs>
          <w:tab w:val="left" w:pos="567"/>
          <w:tab w:val="left" w:pos="1134"/>
        </w:tabs>
        <w:ind w:left="0" w:firstLine="709"/>
        <w:jc w:val="both"/>
        <w:rPr>
          <w:sz w:val="24"/>
          <w:szCs w:val="24"/>
        </w:rPr>
      </w:pPr>
      <w:r w:rsidRPr="009C64EB">
        <w:rPr>
          <w:sz w:val="24"/>
          <w:szCs w:val="24"/>
        </w:rPr>
        <w:t>ESTT, spręsdamas, ar Notarų rūmai priimti Išaiškinimai yra įmonių asociacijos sprendimai, nurodė, kad įmonių asociacijų sprendimais, kaip jie suprantami pagal SESV 101 straipsnį, laikomi sprendimai, kuriais išreiškiama tam tikros profesijos atstovų valia, kad tos profesijos nariai, vykdydami savo ekonominę veiklą, elgtųsi tam tikru būdu, o tai, kad kaina yra rekomendacinė taip pat nedaro įtakos susitarimo kvalifikavimui. ESTT, atsižvelgęs į teismų praktiką bei į tai, kad Išaiškinimai, kuriais siekiama suvienodinti notarų už tam tikrą vykdomą veiklą imamo atlyginimo dydžio apskaičiavimo tvarką, yra privalomi notarams pagal Notariato įstatymo 13 straipsnį ir Notarų rūmų statuto 10 straipsnio 4 punktą, sprendė, kad Išaiškinimai turi būti laikomi įmonių asociacijos sprendimais, kaip jie suprantami pagal SESV 101 straipsnio 1 dalį</w:t>
      </w:r>
      <w:r w:rsidR="004018FD" w:rsidRPr="009C64EB">
        <w:rPr>
          <w:sz w:val="24"/>
          <w:szCs w:val="24"/>
        </w:rPr>
        <w:t>.</w:t>
      </w:r>
    </w:p>
    <w:p w14:paraId="16841BEC" w14:textId="7B027414" w:rsidR="00FC6151" w:rsidRPr="009C64EB" w:rsidRDefault="00FC6151" w:rsidP="009B07FE">
      <w:pPr>
        <w:pStyle w:val="Sraopastraipa"/>
        <w:numPr>
          <w:ilvl w:val="1"/>
          <w:numId w:val="22"/>
        </w:numPr>
        <w:tabs>
          <w:tab w:val="left" w:pos="567"/>
          <w:tab w:val="left" w:pos="1134"/>
        </w:tabs>
        <w:ind w:left="0" w:firstLine="709"/>
        <w:jc w:val="both"/>
        <w:rPr>
          <w:sz w:val="24"/>
          <w:szCs w:val="24"/>
        </w:rPr>
      </w:pPr>
      <w:r w:rsidRPr="009C64EB">
        <w:rPr>
          <w:sz w:val="24"/>
          <w:szCs w:val="24"/>
        </w:rPr>
        <w:t xml:space="preserve">Nutarime padarytos išvados visiškai atitinka </w:t>
      </w:r>
      <w:r w:rsidR="00207124" w:rsidRPr="009C64EB">
        <w:rPr>
          <w:sz w:val="24"/>
          <w:szCs w:val="24"/>
        </w:rPr>
        <w:t xml:space="preserve">Sprendime </w:t>
      </w:r>
      <w:r w:rsidR="00207124" w:rsidRPr="009C64EB">
        <w:rPr>
          <w:i/>
          <w:iCs/>
          <w:sz w:val="24"/>
          <w:szCs w:val="24"/>
        </w:rPr>
        <w:t>Notarų rūmai</w:t>
      </w:r>
      <w:r w:rsidR="00207124" w:rsidRPr="009C64EB">
        <w:rPr>
          <w:sz w:val="24"/>
          <w:szCs w:val="24"/>
        </w:rPr>
        <w:t xml:space="preserve"> </w:t>
      </w:r>
      <w:r w:rsidRPr="009C64EB">
        <w:rPr>
          <w:sz w:val="24"/>
          <w:szCs w:val="24"/>
        </w:rPr>
        <w:t xml:space="preserve">pateiktus išaiškinimus. Notarų veiksmai, kuriais buvo nustatytas notarų atlyginimo dydžių apskaičiavimo būdas už hipotekos, servituto bei mainų sandorių tvirtinimą, t. y. netiesiogiai nustatyti atlyginimo dydžiai už nurodytų notarinių veiksmų atlikimą, vertintini kaip susitarimas, kurio tikslas buvo apriboti notarų konkurenciją. Analogiškai (kaip ribojantis konkurenciją pagal tikslą) vertintas ir notarų susitarimas, kuriuo buvo tiesiogiai nustatytas notarų taikytinas atlyginimo dydis – maksimalus intervalo atlyginimo dydis – imamas už hipotekos (įkeitimo) tvirtinimą tuo atveju, kai šalys nenurodo įkeičiamo objekto vertės. Atlikdami nurodytus veiksmus, apeliantai eliminavo notarų galimybę savarankiškai pasirinkti taikomą atlyginimo dydį Laikinuosiuose dydžiuose nustatyto intervalo ribose bei pasirinkti atlyginimo dydžio apskaičiavimo būdą. Tokiais veiksmais notarai apribojo notarų (konkurentų) veikimo laisvę ir panaikino netikrumą dėl kitų notarų (konkurentų) elgesio rinkoje. </w:t>
      </w:r>
    </w:p>
    <w:p w14:paraId="6C875BDF" w14:textId="4F7BF3A7" w:rsidR="0091552F" w:rsidRPr="009C64EB" w:rsidRDefault="00207124" w:rsidP="009B07FE">
      <w:pPr>
        <w:pStyle w:val="Sraopastraipa"/>
        <w:numPr>
          <w:ilvl w:val="1"/>
          <w:numId w:val="22"/>
        </w:numPr>
        <w:tabs>
          <w:tab w:val="left" w:pos="567"/>
          <w:tab w:val="left" w:pos="1134"/>
        </w:tabs>
        <w:ind w:left="0" w:firstLine="709"/>
        <w:jc w:val="both"/>
        <w:rPr>
          <w:sz w:val="24"/>
          <w:szCs w:val="24"/>
        </w:rPr>
      </w:pPr>
      <w:r w:rsidRPr="009C64EB">
        <w:rPr>
          <w:sz w:val="24"/>
          <w:szCs w:val="24"/>
        </w:rPr>
        <w:t xml:space="preserve">Sprendime </w:t>
      </w:r>
      <w:r w:rsidRPr="009C64EB">
        <w:rPr>
          <w:i/>
          <w:iCs/>
          <w:sz w:val="24"/>
          <w:szCs w:val="24"/>
        </w:rPr>
        <w:t>Notarų rūmai</w:t>
      </w:r>
      <w:r w:rsidR="00FC6151" w:rsidRPr="009C64EB">
        <w:rPr>
          <w:sz w:val="24"/>
          <w:szCs w:val="24"/>
        </w:rPr>
        <w:t xml:space="preserve"> ESTT, atsižvelgęs į tai, kad Išaiškinimai taikomi visoje Lietuvos Respublikos teritorijoje, nes jie, kaip Notarų rūmų nutarimai, pagal Notariato įstatymo 13 straipsnį ir Notarų rūmų statuto 10 straipsnio 4 punktą yra privalomi visiems šioje valstybėje narėje įsteigusiems notarams, bei tai, kad notaro profesijai iš esmės taikoma įsisteigimo laisvė, darė išvadą, kad Išaiškinimai, galėtų paveikti valstybių narių tarpusavio prekybą.</w:t>
      </w:r>
    </w:p>
    <w:p w14:paraId="2FA0BB35" w14:textId="0DCC2A81" w:rsidR="00BA494C" w:rsidRPr="009C64EB" w:rsidRDefault="0091552F" w:rsidP="009B07FE">
      <w:pPr>
        <w:pStyle w:val="Sraopastraipa"/>
        <w:numPr>
          <w:ilvl w:val="1"/>
          <w:numId w:val="22"/>
        </w:numPr>
        <w:tabs>
          <w:tab w:val="left" w:pos="567"/>
          <w:tab w:val="left" w:pos="1134"/>
        </w:tabs>
        <w:ind w:left="0" w:firstLine="709"/>
        <w:jc w:val="both"/>
        <w:rPr>
          <w:sz w:val="24"/>
          <w:szCs w:val="24"/>
        </w:rPr>
      </w:pPr>
      <w:r w:rsidRPr="009C64EB">
        <w:rPr>
          <w:sz w:val="24"/>
          <w:szCs w:val="24"/>
        </w:rPr>
        <w:t>Konkurencijos taryba sutinka su ESTT išaiškinimu, kad šiuo atveju bauda turėjo būti skiriama tik Notarų rūmams, apskaičiuojant baudą pagal visų asociacijos, t. y. Notarų rūmų narių pajamas.</w:t>
      </w:r>
    </w:p>
    <w:p w14:paraId="5287D37A" w14:textId="6C398044" w:rsidR="00E27D34" w:rsidRPr="009C64EB" w:rsidRDefault="003D46A7" w:rsidP="009B07FE">
      <w:pPr>
        <w:pStyle w:val="Sraopastraipa"/>
        <w:numPr>
          <w:ilvl w:val="0"/>
          <w:numId w:val="22"/>
        </w:numPr>
        <w:tabs>
          <w:tab w:val="left" w:pos="567"/>
          <w:tab w:val="left" w:pos="1134"/>
        </w:tabs>
        <w:ind w:left="0" w:firstLine="709"/>
        <w:jc w:val="both"/>
        <w:rPr>
          <w:sz w:val="24"/>
          <w:szCs w:val="24"/>
        </w:rPr>
      </w:pPr>
      <w:r w:rsidRPr="009C64EB">
        <w:rPr>
          <w:sz w:val="24"/>
          <w:szCs w:val="24"/>
        </w:rPr>
        <w:t>Pareiškėjai</w:t>
      </w:r>
      <w:r w:rsidR="00E27D34" w:rsidRPr="009C64EB">
        <w:rPr>
          <w:sz w:val="24"/>
          <w:szCs w:val="24"/>
        </w:rPr>
        <w:t xml:space="preserve"> pateikė papildomus paaiškinimus, kuriuose nurodo šiuos argumentus:</w:t>
      </w:r>
    </w:p>
    <w:p w14:paraId="18117ED1" w14:textId="56A189FD" w:rsidR="00E27D34" w:rsidRPr="009C64EB" w:rsidRDefault="009C20B9" w:rsidP="009B07FE">
      <w:pPr>
        <w:pStyle w:val="Sraopastraipa"/>
        <w:numPr>
          <w:ilvl w:val="1"/>
          <w:numId w:val="22"/>
        </w:numPr>
        <w:tabs>
          <w:tab w:val="left" w:pos="567"/>
          <w:tab w:val="left" w:pos="1134"/>
        </w:tabs>
        <w:ind w:left="0" w:firstLine="709"/>
        <w:jc w:val="both"/>
        <w:rPr>
          <w:sz w:val="24"/>
          <w:szCs w:val="24"/>
        </w:rPr>
      </w:pPr>
      <w:r w:rsidRPr="009C64EB">
        <w:rPr>
          <w:sz w:val="24"/>
          <w:szCs w:val="24"/>
        </w:rPr>
        <w:t>Pirmosios instancijos teismo sprendime akcentuojamas viešąjį interesą užtikrinančių funkcijų atlikimas ir iš esmės konstitucinis Lietuvos notariato reguliavimo pagrindas. Nėra pagrindo kvestionuoti pirmosios instancijos teismo sprendimo nuostatas. Priešingas aiškinimas ir, atitinkamai, Konkurencijos įstatymo taikymas konstatuojant teisės pažeidimą reikalautų korekcijų oficialiojoje konstitucinėje doktrinoje.</w:t>
      </w:r>
    </w:p>
    <w:p w14:paraId="3A4373F2" w14:textId="77777777" w:rsidR="00BA552A" w:rsidRPr="009C64EB" w:rsidRDefault="009C20B9" w:rsidP="009B07FE">
      <w:pPr>
        <w:pStyle w:val="Sraopastraipa"/>
        <w:numPr>
          <w:ilvl w:val="1"/>
          <w:numId w:val="22"/>
        </w:numPr>
        <w:tabs>
          <w:tab w:val="left" w:pos="567"/>
          <w:tab w:val="left" w:pos="1134"/>
        </w:tabs>
        <w:ind w:left="0" w:firstLine="709"/>
        <w:jc w:val="both"/>
        <w:rPr>
          <w:sz w:val="24"/>
          <w:szCs w:val="24"/>
        </w:rPr>
      </w:pPr>
      <w:r w:rsidRPr="009C64EB">
        <w:rPr>
          <w:sz w:val="24"/>
          <w:szCs w:val="24"/>
        </w:rPr>
        <w:lastRenderedPageBreak/>
        <w:t>Vertinant šioje konkrečioje byloje nagrinėjamų notarinių veiksmų viešąjį pobūdį, negalima aklai ir automatiškai vadovautis ne su konkurencijos teisiniais santykiais, kitokiais notariniais veiksmais ir skirtingomis nacionalinėmis teisinėmis sistemomis susijusiais ESTT sprendimais. Toks teismo elgesys galėtų būti vertinamas kaip atitinkantis seniai teisės doktrinoje išsakytą kritiką apie precedentų ir teisės mechaninį taikymą.</w:t>
      </w:r>
    </w:p>
    <w:p w14:paraId="2846DFD0" w14:textId="750311EC" w:rsidR="00BA552A" w:rsidRPr="009C64EB" w:rsidRDefault="00BA552A" w:rsidP="009B07FE">
      <w:pPr>
        <w:pStyle w:val="Sraopastraipa"/>
        <w:numPr>
          <w:ilvl w:val="1"/>
          <w:numId w:val="22"/>
        </w:numPr>
        <w:tabs>
          <w:tab w:val="left" w:pos="567"/>
          <w:tab w:val="left" w:pos="1134"/>
        </w:tabs>
        <w:ind w:left="0" w:firstLine="709"/>
        <w:jc w:val="both"/>
        <w:rPr>
          <w:sz w:val="24"/>
          <w:szCs w:val="24"/>
        </w:rPr>
      </w:pPr>
      <w:r w:rsidRPr="009C64EB">
        <w:rPr>
          <w:sz w:val="24"/>
          <w:szCs w:val="24"/>
        </w:rPr>
        <w:t>Lietuvoje didžioji dalis notarų atliekamų veiksmų priskiriami viešosios valdžios funkcijų atlikimui. Įstatymų leidėjas labai aiškiai tokią poziciją išreiškė Notariato įstatyme, kurio 2 straipsnyje įtvirtino bendrąjį principą, kad notaras veikia kaip valstybės įgaliotas pareigūnas ir tai įgyvendina atlikdamas šio įstatymo 26 straipsnyje nurodytus notarinius veiksmus, ir tuo pači</w:t>
      </w:r>
      <w:r w:rsidR="00B37DAE">
        <w:rPr>
          <w:sz w:val="24"/>
          <w:szCs w:val="24"/>
        </w:rPr>
        <w:t>u</w:t>
      </w:r>
      <w:r w:rsidRPr="009C64EB">
        <w:rPr>
          <w:sz w:val="24"/>
          <w:szCs w:val="24"/>
        </w:rPr>
        <w:t xml:space="preserve"> 2 straipsnyje </w:t>
      </w:r>
      <w:proofErr w:type="spellStart"/>
      <w:r w:rsidRPr="009C64EB">
        <w:rPr>
          <w:sz w:val="24"/>
          <w:szCs w:val="24"/>
        </w:rPr>
        <w:t>eksplicitiškai</w:t>
      </w:r>
      <w:proofErr w:type="spellEnd"/>
      <w:r w:rsidRPr="009C64EB">
        <w:rPr>
          <w:sz w:val="24"/>
          <w:szCs w:val="24"/>
        </w:rPr>
        <w:t xml:space="preserve"> nustatydamas, kad notarai gali teikti paslaugas ir veikti ne viešųjų funkcijų įgyvendinimo srityje būnant civilinių ginčų mediatoriumi ir turto pardavimo ir nuomos viešųjų aukcionų organizatoriumi bei vykdytoju. Tik mediacija ir turto aukcionų veikla yra aiškiai išskiriamos kaip Lietuvos notarų vykdomos veiklos, kurios nepatenka į klasikinės valstybės įgaliotų asmenų, pareigūnų veiklos sritį. </w:t>
      </w:r>
    </w:p>
    <w:p w14:paraId="56A6DC58" w14:textId="2592375D" w:rsidR="007C492B" w:rsidRPr="009C64EB" w:rsidRDefault="00BA552A" w:rsidP="009B07FE">
      <w:pPr>
        <w:pStyle w:val="Sraopastraipa"/>
        <w:numPr>
          <w:ilvl w:val="1"/>
          <w:numId w:val="22"/>
        </w:numPr>
        <w:tabs>
          <w:tab w:val="left" w:pos="567"/>
          <w:tab w:val="left" w:pos="1134"/>
        </w:tabs>
        <w:ind w:left="0" w:firstLine="709"/>
        <w:jc w:val="both"/>
        <w:rPr>
          <w:sz w:val="24"/>
          <w:szCs w:val="24"/>
        </w:rPr>
      </w:pPr>
      <w:r w:rsidRPr="009C64EB">
        <w:rPr>
          <w:sz w:val="24"/>
          <w:szCs w:val="24"/>
        </w:rPr>
        <w:t xml:space="preserve">Skirtingai negu </w:t>
      </w:r>
      <w:r w:rsidR="00207124" w:rsidRPr="009C64EB">
        <w:rPr>
          <w:sz w:val="24"/>
          <w:szCs w:val="24"/>
        </w:rPr>
        <w:t xml:space="preserve">Sprendime </w:t>
      </w:r>
      <w:r w:rsidR="00207124" w:rsidRPr="009C64EB">
        <w:rPr>
          <w:i/>
          <w:iCs/>
          <w:sz w:val="24"/>
          <w:szCs w:val="24"/>
        </w:rPr>
        <w:t>Notarų rūmai</w:t>
      </w:r>
      <w:r w:rsidR="00207124" w:rsidRPr="009C64EB">
        <w:rPr>
          <w:sz w:val="24"/>
          <w:szCs w:val="24"/>
        </w:rPr>
        <w:t xml:space="preserve"> </w:t>
      </w:r>
      <w:r w:rsidRPr="009C64EB">
        <w:rPr>
          <w:sz w:val="24"/>
          <w:szCs w:val="24"/>
        </w:rPr>
        <w:t>minimų valstybių atveju, kur nagrinėjamas tik notarinio akto autentiškumas ir (ar) privaloma notarinė forma, šias dvi sąlygas papildo notaro atliekama notarinio veiksmo duomenų perdavimo valstybės registrams funkcija. Sandorio šalys neturi galimybės pasirinkti neperduoti duomenų valstybės registrams, t. y. įtvirtintas duomenų perdavimo neišvengiamumas. Notaro perduodamų dokumentų ir duomenų pagrindu daromi įrašai pagrindiniuose valstybės registruose, o notaro profesinės veiklos metu sudarytų dokumentų archyvas yra Lietuvos archyvų fondo dalis (Notariato įstatymo 15(1) straipsnis). Duomenų apie patvirtintą nuosavybės teisės į nekilnojamąjį daiktą perleidimo sutartį (įskaitant mainų sutartį), servituto sutartį, hipotekos (įkeitimo) sandorį perdavimo privalomumas įtvirtintas Notariato įstatymo 51 straipsnio 2 dalyje, 46 straipsnio 7 ir 8 dalyse.</w:t>
      </w:r>
    </w:p>
    <w:p w14:paraId="6C1F2992" w14:textId="5F1BC527" w:rsidR="00BA552A" w:rsidRPr="009C64EB" w:rsidRDefault="00372C2D" w:rsidP="009B07FE">
      <w:pPr>
        <w:pStyle w:val="Sraopastraipa"/>
        <w:numPr>
          <w:ilvl w:val="1"/>
          <w:numId w:val="22"/>
        </w:numPr>
        <w:tabs>
          <w:tab w:val="left" w:pos="567"/>
          <w:tab w:val="left" w:pos="1134"/>
        </w:tabs>
        <w:ind w:left="0" w:firstLine="709"/>
        <w:jc w:val="both"/>
        <w:rPr>
          <w:sz w:val="24"/>
          <w:szCs w:val="24"/>
        </w:rPr>
      </w:pPr>
      <w:r w:rsidRPr="009C64EB">
        <w:rPr>
          <w:sz w:val="24"/>
          <w:szCs w:val="24"/>
        </w:rPr>
        <w:t xml:space="preserve">Kiek tai susiję su byloje nagrinėjamais tariamai konkurenciją ribojančiais veiksmais ir draudžiamo susitarimo egzistavimu, pirmosios instancijos teismas sprendime, išsamiai ir visapusiškai ištyręs bylos medžiagą ir teisinį reguliavimą, išsakė itin daug kritikos Konkurencijos tarybos atliktam faktiniam ir teisiniam vertinimui bei konstatavo, kad Prezidiumo išaiškinimai buvo skirti suvienodinti notarinę praktiką ir užpildyti teisės spragas, o ne riboti konkurentų veikimo laisvę. </w:t>
      </w:r>
      <w:r w:rsidR="00F171E6">
        <w:rPr>
          <w:sz w:val="24"/>
          <w:szCs w:val="24"/>
        </w:rPr>
        <w:t>Pirmosios instancijos t</w:t>
      </w:r>
      <w:r w:rsidRPr="009C64EB">
        <w:rPr>
          <w:sz w:val="24"/>
          <w:szCs w:val="24"/>
        </w:rPr>
        <w:t xml:space="preserve">eismo atlikto vertinimo ir padarytų išvadų nekoreguoja </w:t>
      </w:r>
      <w:r w:rsidR="00207124" w:rsidRPr="009C64EB">
        <w:rPr>
          <w:sz w:val="24"/>
          <w:szCs w:val="24"/>
        </w:rPr>
        <w:t xml:space="preserve">Sprendime </w:t>
      </w:r>
      <w:r w:rsidR="00207124" w:rsidRPr="009C64EB">
        <w:rPr>
          <w:i/>
          <w:iCs/>
          <w:sz w:val="24"/>
          <w:szCs w:val="24"/>
        </w:rPr>
        <w:t>Notarų rūmai</w:t>
      </w:r>
      <w:r w:rsidR="00207124" w:rsidRPr="009C64EB">
        <w:rPr>
          <w:sz w:val="24"/>
          <w:szCs w:val="24"/>
        </w:rPr>
        <w:t xml:space="preserve"> </w:t>
      </w:r>
      <w:r w:rsidRPr="009C64EB">
        <w:rPr>
          <w:sz w:val="24"/>
          <w:szCs w:val="24"/>
        </w:rPr>
        <w:t xml:space="preserve">pateiktas Europos Sąjungos teisės aiškinimas. Nepaisant to, kad </w:t>
      </w:r>
      <w:r w:rsidR="00207124" w:rsidRPr="009C64EB">
        <w:rPr>
          <w:sz w:val="24"/>
          <w:szCs w:val="24"/>
        </w:rPr>
        <w:t xml:space="preserve">Sprendime </w:t>
      </w:r>
      <w:r w:rsidR="00207124" w:rsidRPr="009C64EB">
        <w:rPr>
          <w:i/>
          <w:iCs/>
          <w:sz w:val="24"/>
          <w:szCs w:val="24"/>
        </w:rPr>
        <w:t>Notarų rūmai</w:t>
      </w:r>
      <w:r w:rsidR="00207124" w:rsidRPr="009C64EB">
        <w:rPr>
          <w:sz w:val="24"/>
          <w:szCs w:val="24"/>
        </w:rPr>
        <w:t xml:space="preserve"> </w:t>
      </w:r>
      <w:r w:rsidRPr="009C64EB">
        <w:rPr>
          <w:sz w:val="24"/>
          <w:szCs w:val="24"/>
        </w:rPr>
        <w:t>konst</w:t>
      </w:r>
      <w:r w:rsidR="007C492B" w:rsidRPr="009C64EB">
        <w:rPr>
          <w:sz w:val="24"/>
          <w:szCs w:val="24"/>
        </w:rPr>
        <w:t>at</w:t>
      </w:r>
      <w:r w:rsidRPr="009C64EB">
        <w:rPr>
          <w:sz w:val="24"/>
          <w:szCs w:val="24"/>
        </w:rPr>
        <w:t>uota SESV 101 straipsnio taikymo galimybę tokio pobūdžio veiksmams, kaip nagrinėjami šioje byloje, galutinį vertinimą ESTT nurodė atlikti būtent nacionaliniam teismui.</w:t>
      </w:r>
      <w:r w:rsidR="007C492B" w:rsidRPr="009C64EB">
        <w:rPr>
          <w:sz w:val="24"/>
          <w:szCs w:val="24"/>
        </w:rPr>
        <w:t xml:space="preserve"> Valstybė teisėkūros veiksmais pripažino pareiškėjų viso proceso metu akcentuotą teisės spragą ir jos užpildymo poreikį.</w:t>
      </w:r>
    </w:p>
    <w:p w14:paraId="061E44F0" w14:textId="4767536B" w:rsidR="00BA552A" w:rsidRPr="009C64EB" w:rsidRDefault="00BA552A" w:rsidP="009B07FE">
      <w:pPr>
        <w:pStyle w:val="Sraopastraipa"/>
        <w:numPr>
          <w:ilvl w:val="1"/>
          <w:numId w:val="22"/>
        </w:numPr>
        <w:tabs>
          <w:tab w:val="left" w:pos="567"/>
          <w:tab w:val="left" w:pos="1134"/>
        </w:tabs>
        <w:ind w:left="0" w:firstLine="709"/>
        <w:jc w:val="both"/>
        <w:rPr>
          <w:sz w:val="24"/>
          <w:szCs w:val="24"/>
        </w:rPr>
      </w:pPr>
      <w:r w:rsidRPr="009C64EB">
        <w:rPr>
          <w:sz w:val="24"/>
          <w:szCs w:val="24"/>
        </w:rPr>
        <w:t>Teismas, nagrinėdamas atnaujintą bylą, turėtų atsižvelgti ir į pirmosios instancijos teisme nustatytas itin svarbias su Konkurencijos tarybos ir Teisingumo ministerijos elgesiu susijusias aplinkybes, šalinančias bet kokią, net ir hipotetiškai svarstytiną pareiškėjų atsakomybę už imperatyviai įstatymo pavestos pareigos vienodinti notarinę praktiką ir teikti rekomendacijas įgyvendinimą. Pirmosios instancijos teismas atkreipė dėmesį ne tik į Konkurencijos tarybos atlikto vertinimo ir apskųsto akto ydingumą, nepagrįstumą faktais ir teisės normomis, bet ir į bendrą Nutarime pateikto vertinimo prieštaringumą ir neobjektyvumą.</w:t>
      </w:r>
    </w:p>
    <w:p w14:paraId="55E6ABAD" w14:textId="21C166F5" w:rsidR="00BA552A" w:rsidRPr="009C64EB" w:rsidRDefault="00207124" w:rsidP="009B07FE">
      <w:pPr>
        <w:pStyle w:val="Sraopastraipa"/>
        <w:numPr>
          <w:ilvl w:val="1"/>
          <w:numId w:val="22"/>
        </w:numPr>
        <w:tabs>
          <w:tab w:val="left" w:pos="567"/>
          <w:tab w:val="left" w:pos="1134"/>
        </w:tabs>
        <w:ind w:left="0" w:firstLine="709"/>
        <w:jc w:val="both"/>
        <w:rPr>
          <w:sz w:val="24"/>
          <w:szCs w:val="24"/>
        </w:rPr>
      </w:pPr>
      <w:r w:rsidRPr="009C64EB">
        <w:rPr>
          <w:sz w:val="24"/>
          <w:szCs w:val="24"/>
        </w:rPr>
        <w:t xml:space="preserve">Sprendimas </w:t>
      </w:r>
      <w:r w:rsidRPr="009C64EB">
        <w:rPr>
          <w:i/>
          <w:iCs/>
          <w:sz w:val="24"/>
          <w:szCs w:val="24"/>
        </w:rPr>
        <w:t>Notarų rūmai</w:t>
      </w:r>
      <w:r w:rsidRPr="009C64EB">
        <w:rPr>
          <w:sz w:val="24"/>
          <w:szCs w:val="24"/>
        </w:rPr>
        <w:t xml:space="preserve"> </w:t>
      </w:r>
      <w:r w:rsidR="00BA552A" w:rsidRPr="009C64EB">
        <w:rPr>
          <w:sz w:val="24"/>
          <w:szCs w:val="24"/>
        </w:rPr>
        <w:t>nekeičia pirmosios instancijos teismo atlikto faktinio ir teisinio vertinimo bei padarytų išvadų. Pirmosios instancijos teismo sprendimas yra pagrįstas ir teisėtas, teismas tinkamai įvertino faktines bylos aplinkybes, teisinį reglamentavimą, bylai taikytiną administracinių teismų, Lietuvos Respublikos Konstitucinio Teismo ir Europos Sąjungos teismų jurisprudenciją bei pagrįstai konstatavo, kad pareiškėjai nesudarė Konkurencijos įstatymo 5 straipsnio ir SESV 101 straipsnio draudžiamo susitarimo.</w:t>
      </w:r>
    </w:p>
    <w:p w14:paraId="33F5DBCC" w14:textId="59FD1007" w:rsidR="00E27D34" w:rsidRPr="009C64EB" w:rsidRDefault="00977A6E" w:rsidP="009B07FE">
      <w:pPr>
        <w:pStyle w:val="Sraopastraipa"/>
        <w:numPr>
          <w:ilvl w:val="0"/>
          <w:numId w:val="22"/>
        </w:numPr>
        <w:tabs>
          <w:tab w:val="left" w:pos="567"/>
          <w:tab w:val="left" w:pos="1134"/>
        </w:tabs>
        <w:ind w:left="0" w:firstLine="709"/>
        <w:jc w:val="both"/>
        <w:rPr>
          <w:sz w:val="24"/>
          <w:szCs w:val="24"/>
        </w:rPr>
      </w:pPr>
      <w:r w:rsidRPr="009C64EB">
        <w:rPr>
          <w:sz w:val="24"/>
          <w:szCs w:val="24"/>
        </w:rPr>
        <w:lastRenderedPageBreak/>
        <w:t>Teisingumo ministerija</w:t>
      </w:r>
      <w:r w:rsidR="00E27D34" w:rsidRPr="009C64EB">
        <w:rPr>
          <w:sz w:val="24"/>
          <w:szCs w:val="24"/>
        </w:rPr>
        <w:t xml:space="preserve"> pateikė papildomus paaiškinimus, kuriuose nurodo</w:t>
      </w:r>
      <w:r w:rsidR="00A44BD2" w:rsidRPr="009C64EB">
        <w:rPr>
          <w:sz w:val="24"/>
          <w:szCs w:val="24"/>
        </w:rPr>
        <w:t xml:space="preserve">, kad </w:t>
      </w:r>
      <w:r w:rsidR="00A44BD2" w:rsidRPr="009C64EB">
        <w:rPr>
          <w:bCs/>
          <w:iCs/>
          <w:sz w:val="24"/>
          <w:szCs w:val="24"/>
        </w:rPr>
        <w:t xml:space="preserve">pasisakys tik dėl </w:t>
      </w:r>
      <w:r w:rsidR="00207124" w:rsidRPr="009C64EB">
        <w:rPr>
          <w:sz w:val="24"/>
          <w:szCs w:val="24"/>
        </w:rPr>
        <w:t xml:space="preserve">Sprendime </w:t>
      </w:r>
      <w:r w:rsidR="00207124" w:rsidRPr="009C64EB">
        <w:rPr>
          <w:i/>
          <w:iCs/>
          <w:sz w:val="24"/>
          <w:szCs w:val="24"/>
        </w:rPr>
        <w:t>Notarų rūmai</w:t>
      </w:r>
      <w:r w:rsidR="00207124" w:rsidRPr="009C64EB">
        <w:rPr>
          <w:sz w:val="24"/>
          <w:szCs w:val="24"/>
        </w:rPr>
        <w:t xml:space="preserve"> </w:t>
      </w:r>
      <w:r w:rsidR="00A44BD2" w:rsidRPr="009C64EB">
        <w:rPr>
          <w:bCs/>
          <w:iCs/>
          <w:sz w:val="24"/>
          <w:szCs w:val="24"/>
        </w:rPr>
        <w:t xml:space="preserve">pateikto atsakymo į pirmąjį </w:t>
      </w:r>
      <w:proofErr w:type="spellStart"/>
      <w:r w:rsidR="00A44BD2" w:rsidRPr="009C64EB">
        <w:rPr>
          <w:bCs/>
          <w:iCs/>
          <w:sz w:val="24"/>
          <w:szCs w:val="24"/>
        </w:rPr>
        <w:t>prejudicinį</w:t>
      </w:r>
      <w:proofErr w:type="spellEnd"/>
      <w:r w:rsidR="00A44BD2" w:rsidRPr="009C64EB">
        <w:rPr>
          <w:bCs/>
          <w:iCs/>
          <w:sz w:val="24"/>
          <w:szCs w:val="24"/>
        </w:rPr>
        <w:t xml:space="preserve"> klausimą, kadangi tik šis yra susijęs su </w:t>
      </w:r>
      <w:r w:rsidR="003D46A7" w:rsidRPr="009C64EB">
        <w:rPr>
          <w:bCs/>
          <w:iCs/>
          <w:sz w:val="24"/>
          <w:szCs w:val="24"/>
        </w:rPr>
        <w:t xml:space="preserve">Teisingumo </w:t>
      </w:r>
      <w:r w:rsidR="00A44BD2" w:rsidRPr="009C64EB">
        <w:rPr>
          <w:bCs/>
          <w:iCs/>
          <w:sz w:val="24"/>
          <w:szCs w:val="24"/>
        </w:rPr>
        <w:t>ministerijos valdymo sritimi – reglamentuoti notarų veiklą</w:t>
      </w:r>
      <w:r w:rsidR="00A44BD2" w:rsidRPr="009C64EB">
        <w:rPr>
          <w:sz w:val="24"/>
          <w:szCs w:val="24"/>
        </w:rPr>
        <w:t>. Teisingumo ministerija nurodo</w:t>
      </w:r>
      <w:r w:rsidR="00E27D34" w:rsidRPr="009C64EB">
        <w:rPr>
          <w:sz w:val="24"/>
          <w:szCs w:val="24"/>
        </w:rPr>
        <w:t xml:space="preserve"> šiuos argumentus:</w:t>
      </w:r>
    </w:p>
    <w:p w14:paraId="45BA47DD" w14:textId="3D7CC80B" w:rsidR="00F35E7E" w:rsidRPr="009C64EB" w:rsidRDefault="00207124" w:rsidP="009B07FE">
      <w:pPr>
        <w:pStyle w:val="Sraopastraipa"/>
        <w:numPr>
          <w:ilvl w:val="1"/>
          <w:numId w:val="22"/>
        </w:numPr>
        <w:ind w:left="0" w:firstLine="709"/>
        <w:jc w:val="both"/>
        <w:rPr>
          <w:iCs/>
          <w:sz w:val="24"/>
          <w:szCs w:val="24"/>
          <w:lang w:bidi="lt-LT"/>
        </w:rPr>
      </w:pPr>
      <w:r w:rsidRPr="009C64EB">
        <w:rPr>
          <w:sz w:val="24"/>
          <w:szCs w:val="24"/>
        </w:rPr>
        <w:t xml:space="preserve">Sprendimo </w:t>
      </w:r>
      <w:r w:rsidRPr="009C64EB">
        <w:rPr>
          <w:i/>
          <w:iCs/>
          <w:sz w:val="24"/>
          <w:szCs w:val="24"/>
        </w:rPr>
        <w:t>Notarų rūmai</w:t>
      </w:r>
      <w:r w:rsidRPr="009C64EB">
        <w:rPr>
          <w:sz w:val="24"/>
          <w:szCs w:val="24"/>
        </w:rPr>
        <w:t xml:space="preserve"> </w:t>
      </w:r>
      <w:r w:rsidR="00F35E7E" w:rsidRPr="009C64EB">
        <w:rPr>
          <w:iCs/>
          <w:sz w:val="24"/>
          <w:szCs w:val="24"/>
          <w:lang w:bidi="lt-LT"/>
        </w:rPr>
        <w:t xml:space="preserve">68 punkte pateiktas išaiškinimas yra sąlyginis ir taikomas kartu su </w:t>
      </w:r>
      <w:r w:rsidRPr="009C64EB">
        <w:rPr>
          <w:sz w:val="24"/>
          <w:szCs w:val="24"/>
        </w:rPr>
        <w:t xml:space="preserve">Sprendimo </w:t>
      </w:r>
      <w:r w:rsidRPr="009C64EB">
        <w:rPr>
          <w:i/>
          <w:iCs/>
          <w:sz w:val="24"/>
          <w:szCs w:val="24"/>
        </w:rPr>
        <w:t>Notarų rūmai</w:t>
      </w:r>
      <w:r w:rsidRPr="009C64EB">
        <w:rPr>
          <w:sz w:val="24"/>
          <w:szCs w:val="24"/>
        </w:rPr>
        <w:t xml:space="preserve"> </w:t>
      </w:r>
      <w:r w:rsidR="00F35E7E" w:rsidRPr="009C64EB">
        <w:rPr>
          <w:iCs/>
          <w:sz w:val="24"/>
          <w:szCs w:val="24"/>
          <w:lang w:bidi="lt-LT"/>
        </w:rPr>
        <w:t xml:space="preserve">63 punkte numatyta pareiga nacionaliniam teismui patikrinti, ar tam tikrais atvejais notarų veiklą būtų galima priskirti prie viešosios valdžios įgaliojimų vykdymo. </w:t>
      </w:r>
      <w:r w:rsidRPr="009C64EB">
        <w:rPr>
          <w:sz w:val="24"/>
          <w:szCs w:val="24"/>
        </w:rPr>
        <w:t xml:space="preserve">Sprendimo </w:t>
      </w:r>
      <w:r w:rsidRPr="009C64EB">
        <w:rPr>
          <w:i/>
          <w:iCs/>
          <w:sz w:val="24"/>
          <w:szCs w:val="24"/>
        </w:rPr>
        <w:t>Notarų rūmai</w:t>
      </w:r>
      <w:r w:rsidR="00F35E7E" w:rsidRPr="009C64EB">
        <w:rPr>
          <w:iCs/>
          <w:sz w:val="24"/>
          <w:szCs w:val="24"/>
          <w:lang w:bidi="lt-LT"/>
        </w:rPr>
        <w:t xml:space="preserve"> 65 punkte ESTT aiškiai nurodo, kad pateiktas išaiškinimas remiasi prielaida ir ribota informacija.</w:t>
      </w:r>
    </w:p>
    <w:p w14:paraId="49A57F7E" w14:textId="3E60ACCB" w:rsidR="007A4DB5" w:rsidRPr="009C64EB" w:rsidRDefault="00207124" w:rsidP="009B07FE">
      <w:pPr>
        <w:pStyle w:val="Sraopastraipa"/>
        <w:numPr>
          <w:ilvl w:val="1"/>
          <w:numId w:val="22"/>
        </w:numPr>
        <w:ind w:left="0" w:firstLine="709"/>
        <w:jc w:val="both"/>
        <w:rPr>
          <w:iCs/>
          <w:sz w:val="24"/>
          <w:szCs w:val="24"/>
          <w:lang w:bidi="lt-LT"/>
        </w:rPr>
      </w:pPr>
      <w:r w:rsidRPr="009C64EB">
        <w:rPr>
          <w:sz w:val="24"/>
          <w:szCs w:val="24"/>
        </w:rPr>
        <w:t xml:space="preserve">Sprendime </w:t>
      </w:r>
      <w:r w:rsidRPr="009C64EB">
        <w:rPr>
          <w:i/>
          <w:iCs/>
          <w:sz w:val="24"/>
          <w:szCs w:val="24"/>
        </w:rPr>
        <w:t>Notarų rūmai</w:t>
      </w:r>
      <w:r w:rsidRPr="009C64EB">
        <w:rPr>
          <w:sz w:val="24"/>
          <w:szCs w:val="24"/>
        </w:rPr>
        <w:t xml:space="preserve"> </w:t>
      </w:r>
      <w:r w:rsidR="00F35E7E" w:rsidRPr="009C64EB">
        <w:rPr>
          <w:iCs/>
          <w:sz w:val="24"/>
          <w:szCs w:val="24"/>
          <w:lang w:bidi="lt-LT"/>
        </w:rPr>
        <w:t xml:space="preserve">ESTT neneigė, kad byloje aptariami notariniai veiksmai neatitinka viešosios valdžios įgalinimų požymių, jis tik nurodė, kad šią koncepciją reikia aiškinti siaurai. </w:t>
      </w:r>
      <w:r w:rsidRPr="009C64EB">
        <w:rPr>
          <w:sz w:val="24"/>
          <w:szCs w:val="24"/>
        </w:rPr>
        <w:t xml:space="preserve">Sprendimo </w:t>
      </w:r>
      <w:r w:rsidRPr="009C64EB">
        <w:rPr>
          <w:i/>
          <w:iCs/>
          <w:sz w:val="24"/>
          <w:szCs w:val="24"/>
        </w:rPr>
        <w:t>Notarų rūmai</w:t>
      </w:r>
      <w:r w:rsidRPr="009C64EB">
        <w:rPr>
          <w:sz w:val="24"/>
          <w:szCs w:val="24"/>
        </w:rPr>
        <w:t xml:space="preserve"> </w:t>
      </w:r>
      <w:r w:rsidR="00F35E7E" w:rsidRPr="009C64EB">
        <w:rPr>
          <w:iCs/>
          <w:sz w:val="24"/>
          <w:szCs w:val="24"/>
          <w:lang w:bidi="lt-LT"/>
        </w:rPr>
        <w:t>64 punkte yra pateikti ESTT praktikos pavyzdžiai kaip šis teismas taiko viešųjų įgalinimų koncepciją kai kuriose kitose valstybėse narėse, tačiau tai yra tik pavyzdžiai, kaip atliekamas vertinimas kitais atvejais, esant visiškai kitoms teisinėms (kitų šalių teisė) ir faktinėms aplinkybėms (įsisteigimo laisvė, pilietybės reikalavimas). Lietuvoje įstatymų leidėjas labai aiškiai atribojo notaro, kaip valstybės įgalioto asmens, funkcijas, kurios yra išvardintos Notariato įstatymo 26 straipsnyje, ir notaro teikiamas kitas paslaugas – civilinių ginčų mediaciją, turto pardavimo ir nuomos viešųjų aukcionų organizavimą bei vykdymą. Tuo pačiu atribojimo kriterijumi Teisingumo ministerija siūlo vadovautis ir šioje byloje.</w:t>
      </w:r>
    </w:p>
    <w:p w14:paraId="480B76D1" w14:textId="389A1BEF" w:rsidR="006B5BA8" w:rsidRPr="00137C71" w:rsidRDefault="007A4DB5" w:rsidP="009B07FE">
      <w:pPr>
        <w:pStyle w:val="Sraopastraipa"/>
        <w:numPr>
          <w:ilvl w:val="1"/>
          <w:numId w:val="22"/>
        </w:numPr>
        <w:ind w:left="0" w:firstLine="709"/>
        <w:jc w:val="both"/>
        <w:rPr>
          <w:iCs/>
          <w:sz w:val="24"/>
          <w:szCs w:val="24"/>
          <w:lang w:bidi="lt-LT"/>
        </w:rPr>
      </w:pPr>
      <w:r w:rsidRPr="00137C71">
        <w:rPr>
          <w:iCs/>
          <w:sz w:val="24"/>
          <w:szCs w:val="24"/>
          <w:lang w:bidi="lt-LT"/>
        </w:rPr>
        <w:t xml:space="preserve">Lietuvoje notaras atlieka ne tik šalių valios įforminimo, patvirtinimo, autentiško dokumento sudarymo funkciją ar pan., bet taip pat visų civilinių teisinių santykių ir dokumentų teisėtumo kontrolę, kadangi notariniai veiksmai valstybės registruose fiksuojami taikant jų teisėtumo prezumpciją, valstybė pati kontrolės neatlieka. Be to, notarai atlieka juridinių faktų (duomenų) perdavimą valstybės registrams funkciją, kuri užtikrina valstybės registrų duomenų teisingumą, taigi ir tinkamą registrų veikimą, kas nulemia taip pat teisinį tikrumą, saugumą bei asmenų teisių apsaugą. </w:t>
      </w:r>
    </w:p>
    <w:p w14:paraId="41A00EF7" w14:textId="6DD79331" w:rsidR="006B5BA8" w:rsidRPr="00137C71" w:rsidRDefault="00726D34" w:rsidP="009B07FE">
      <w:pPr>
        <w:pStyle w:val="Sraopastraipa"/>
        <w:numPr>
          <w:ilvl w:val="1"/>
          <w:numId w:val="22"/>
        </w:numPr>
        <w:tabs>
          <w:tab w:val="left" w:pos="567"/>
          <w:tab w:val="left" w:pos="1134"/>
        </w:tabs>
        <w:ind w:left="0" w:firstLine="709"/>
        <w:jc w:val="both"/>
        <w:rPr>
          <w:iCs/>
          <w:sz w:val="24"/>
          <w:szCs w:val="24"/>
          <w:lang w:bidi="lt-LT"/>
        </w:rPr>
      </w:pPr>
      <w:r w:rsidRPr="00137C71">
        <w:rPr>
          <w:iCs/>
          <w:sz w:val="24"/>
          <w:szCs w:val="24"/>
          <w:lang w:bidi="lt-LT"/>
        </w:rPr>
        <w:t xml:space="preserve">ESTT nesprendžia pagrindinės bylos, nenurodo nacionaliniams teismams, koks turėtų būti sprendimas, tai yra nacionalinio teismo pareiga ir funkcija. ESTT </w:t>
      </w:r>
      <w:proofErr w:type="spellStart"/>
      <w:r w:rsidRPr="00137C71">
        <w:rPr>
          <w:iCs/>
          <w:sz w:val="24"/>
          <w:szCs w:val="24"/>
          <w:lang w:bidi="lt-LT"/>
        </w:rPr>
        <w:t>prejudiciniame</w:t>
      </w:r>
      <w:proofErr w:type="spellEnd"/>
      <w:r w:rsidRPr="00137C71">
        <w:rPr>
          <w:iCs/>
          <w:sz w:val="24"/>
          <w:szCs w:val="24"/>
          <w:lang w:bidi="lt-LT"/>
        </w:rPr>
        <w:t xml:space="preserve"> sprendime, atsakydamas į nacionalinio teismo klausimus, pateikia ES teisės išaiškinimą, konkrečios bylos faktinių ir teisinių aplinkybių kontekste, ir tai daro jo nuomone bylai išspręsti naudingiausiu būdu. Taigi, nagrinėdamas šią bylą Lietuvos vyriausiasis administracinis teismas turi vertinti </w:t>
      </w:r>
      <w:r w:rsidR="00207124" w:rsidRPr="00137C71">
        <w:rPr>
          <w:sz w:val="24"/>
          <w:szCs w:val="24"/>
        </w:rPr>
        <w:t xml:space="preserve">Sprendimą </w:t>
      </w:r>
      <w:r w:rsidR="00207124" w:rsidRPr="00137C71">
        <w:rPr>
          <w:i/>
          <w:iCs/>
          <w:sz w:val="24"/>
          <w:szCs w:val="24"/>
        </w:rPr>
        <w:t>Notarų rūmai</w:t>
      </w:r>
      <w:r w:rsidR="00207124" w:rsidRPr="00137C71">
        <w:rPr>
          <w:sz w:val="24"/>
          <w:szCs w:val="24"/>
        </w:rPr>
        <w:t xml:space="preserve"> </w:t>
      </w:r>
      <w:r w:rsidRPr="00137C71">
        <w:rPr>
          <w:iCs/>
          <w:sz w:val="24"/>
          <w:szCs w:val="24"/>
          <w:lang w:bidi="lt-LT"/>
        </w:rPr>
        <w:t xml:space="preserve">ir jo motyvus tik ginčo laikotarpiu galiojusių faktinių ir teisinių aplinkybių kontekste, be kita ko, taikydamas </w:t>
      </w:r>
      <w:r w:rsidR="00207124" w:rsidRPr="00137C71">
        <w:rPr>
          <w:sz w:val="24"/>
          <w:szCs w:val="24"/>
        </w:rPr>
        <w:t xml:space="preserve">Sprendimo </w:t>
      </w:r>
      <w:r w:rsidR="00207124" w:rsidRPr="00137C71">
        <w:rPr>
          <w:i/>
          <w:iCs/>
          <w:sz w:val="24"/>
          <w:szCs w:val="24"/>
        </w:rPr>
        <w:t>Notarų rūmai</w:t>
      </w:r>
      <w:r w:rsidR="00207124" w:rsidRPr="00137C71">
        <w:rPr>
          <w:sz w:val="24"/>
          <w:szCs w:val="24"/>
        </w:rPr>
        <w:t xml:space="preserve"> </w:t>
      </w:r>
      <w:r w:rsidRPr="00137C71">
        <w:rPr>
          <w:iCs/>
          <w:sz w:val="24"/>
          <w:szCs w:val="24"/>
          <w:lang w:bidi="lt-LT"/>
        </w:rPr>
        <w:t>motyvus konkretaus ginčo apimtyje, kuri nagrinėjamoje byloje</w:t>
      </w:r>
      <w:r w:rsidR="00F35E7E" w:rsidRPr="00137C71">
        <w:rPr>
          <w:iCs/>
          <w:sz w:val="24"/>
          <w:szCs w:val="24"/>
          <w:lang w:bidi="lt-LT"/>
        </w:rPr>
        <w:t xml:space="preserve"> </w:t>
      </w:r>
      <w:r w:rsidRPr="00137C71">
        <w:rPr>
          <w:iCs/>
          <w:sz w:val="24"/>
          <w:szCs w:val="24"/>
          <w:lang w:bidi="lt-LT"/>
        </w:rPr>
        <w:t>yra siaura.</w:t>
      </w:r>
      <w:r w:rsidR="00F35E7E" w:rsidRPr="00137C71">
        <w:rPr>
          <w:iCs/>
          <w:sz w:val="24"/>
          <w:szCs w:val="24"/>
          <w:lang w:bidi="lt-LT"/>
        </w:rPr>
        <w:t xml:space="preserve"> N</w:t>
      </w:r>
      <w:r w:rsidRPr="00137C71">
        <w:rPr>
          <w:iCs/>
          <w:sz w:val="24"/>
          <w:szCs w:val="24"/>
          <w:lang w:bidi="lt-LT"/>
        </w:rPr>
        <w:t xml:space="preserve">agrinėjamoje byloje nesprendžiamas Lietuvos notariato sistemos reglamentavimo ar organizavimo klausimas, bylos dalykas yra konkretus ginčas dėl atskirų notarinių veiksmų kvalifikavimo pagal konkurencijos teisę. </w:t>
      </w:r>
      <w:r w:rsidR="00207124" w:rsidRPr="00137C71">
        <w:rPr>
          <w:sz w:val="24"/>
          <w:szCs w:val="24"/>
        </w:rPr>
        <w:t xml:space="preserve">Sprendime </w:t>
      </w:r>
      <w:r w:rsidR="00207124" w:rsidRPr="00137C71">
        <w:rPr>
          <w:i/>
          <w:iCs/>
          <w:sz w:val="24"/>
          <w:szCs w:val="24"/>
        </w:rPr>
        <w:t>Notarų rūmai</w:t>
      </w:r>
      <w:r w:rsidR="00207124" w:rsidRPr="00137C71">
        <w:rPr>
          <w:sz w:val="24"/>
          <w:szCs w:val="24"/>
        </w:rPr>
        <w:t xml:space="preserve"> </w:t>
      </w:r>
      <w:r w:rsidRPr="00137C71">
        <w:rPr>
          <w:iCs/>
          <w:sz w:val="24"/>
          <w:szCs w:val="24"/>
          <w:lang w:bidi="lt-LT"/>
        </w:rPr>
        <w:t>aiškiai nurodyta, kad būtent tai ir turėtų patikrinti nacionalinis teismas.</w:t>
      </w:r>
    </w:p>
    <w:p w14:paraId="261BB8B8" w14:textId="7A5F13C6" w:rsidR="006B5BA8" w:rsidRPr="00137C71" w:rsidRDefault="006B5BA8" w:rsidP="009B07FE">
      <w:pPr>
        <w:pStyle w:val="Sraopastraipa"/>
        <w:numPr>
          <w:ilvl w:val="1"/>
          <w:numId w:val="22"/>
        </w:numPr>
        <w:tabs>
          <w:tab w:val="left" w:pos="567"/>
          <w:tab w:val="left" w:pos="1134"/>
        </w:tabs>
        <w:ind w:left="0" w:firstLine="709"/>
        <w:jc w:val="both"/>
        <w:rPr>
          <w:iCs/>
          <w:sz w:val="24"/>
          <w:szCs w:val="24"/>
          <w:lang w:bidi="lt-LT"/>
        </w:rPr>
      </w:pPr>
      <w:r w:rsidRPr="00137C71">
        <w:rPr>
          <w:iCs/>
          <w:sz w:val="24"/>
          <w:szCs w:val="24"/>
          <w:lang w:bidi="lt-LT"/>
        </w:rPr>
        <w:t xml:space="preserve">Vertinant Lietuvos notarų atliekamų notarinių veiksmų pobūdį, būtent nacionaliniam teismui tenka vaidmuo patikrinti notarų vykdomos veiklos teisinį reguliavimą, notarų teisinį statusą ir užtikrinti </w:t>
      </w:r>
      <w:r w:rsidR="00207124" w:rsidRPr="00137C71">
        <w:rPr>
          <w:sz w:val="24"/>
          <w:szCs w:val="24"/>
        </w:rPr>
        <w:t xml:space="preserve">Sprendimo </w:t>
      </w:r>
      <w:r w:rsidR="00207124" w:rsidRPr="00137C71">
        <w:rPr>
          <w:i/>
          <w:iCs/>
          <w:sz w:val="24"/>
          <w:szCs w:val="24"/>
        </w:rPr>
        <w:t>Notarų rūmai</w:t>
      </w:r>
      <w:r w:rsidR="00207124" w:rsidRPr="00137C71">
        <w:rPr>
          <w:sz w:val="24"/>
          <w:szCs w:val="24"/>
        </w:rPr>
        <w:t xml:space="preserve"> </w:t>
      </w:r>
      <w:r w:rsidRPr="00137C71">
        <w:rPr>
          <w:iCs/>
          <w:sz w:val="24"/>
          <w:szCs w:val="24"/>
          <w:lang w:bidi="lt-LT"/>
        </w:rPr>
        <w:t xml:space="preserve">išaiškinimų tinkamą taikymą nacionalinės teisinės sistemos ribose. </w:t>
      </w:r>
    </w:p>
    <w:p w14:paraId="102F49BF" w14:textId="427F48D2" w:rsidR="006B5BA8" w:rsidRPr="00137C71" w:rsidRDefault="006B5BA8" w:rsidP="009B07FE">
      <w:pPr>
        <w:pStyle w:val="Sraopastraipa"/>
        <w:numPr>
          <w:ilvl w:val="1"/>
          <w:numId w:val="22"/>
        </w:numPr>
        <w:tabs>
          <w:tab w:val="left" w:pos="567"/>
          <w:tab w:val="left" w:pos="1134"/>
        </w:tabs>
        <w:ind w:left="0" w:firstLine="709"/>
        <w:jc w:val="both"/>
        <w:rPr>
          <w:iCs/>
          <w:sz w:val="24"/>
          <w:szCs w:val="24"/>
          <w:lang w:bidi="lt-LT"/>
        </w:rPr>
      </w:pPr>
      <w:r w:rsidRPr="00137C71">
        <w:rPr>
          <w:iCs/>
          <w:sz w:val="24"/>
          <w:szCs w:val="24"/>
          <w:lang w:bidi="lt-LT"/>
        </w:rPr>
        <w:t>Notariato įstatyme nustatytas notarų teikiamų notarinių veiksmų ir kitų paslaugų atribojimas yra esminis vertinant, be kita ko, viešųjų įgalinimų aspektą šioje byloje. Kitas svarbus kriterijus, identifikuojantis viešosios valdžios įgaliojimų vykdymą, yra notarams įtvirtintas imperatyvas registruoti viešuose registruose juridinius faktus, kurie būtini užtikrinant Lietuvos Respublikos civilinio kodekso 4.262 straipsnio ir Lietuvos Respublikos valstybės informacinių išteklių valdymo įstatymo 4</w:t>
      </w:r>
      <w:r w:rsidR="00207124" w:rsidRPr="00137C71">
        <w:rPr>
          <w:iCs/>
          <w:sz w:val="24"/>
          <w:szCs w:val="24"/>
          <w:lang w:bidi="lt-LT"/>
        </w:rPr>
        <w:t> </w:t>
      </w:r>
      <w:r w:rsidRPr="00137C71">
        <w:rPr>
          <w:iCs/>
          <w:sz w:val="24"/>
          <w:szCs w:val="24"/>
          <w:lang w:bidi="lt-LT"/>
        </w:rPr>
        <w:t>straipsnio 2 dalies 5 punkto prezumpcijas.</w:t>
      </w:r>
    </w:p>
    <w:p w14:paraId="3CCA323B" w14:textId="3117DD99" w:rsidR="00E27D34" w:rsidRPr="009C64EB" w:rsidRDefault="00F35E7E" w:rsidP="009B07FE">
      <w:pPr>
        <w:pStyle w:val="Sraopastraipa"/>
        <w:numPr>
          <w:ilvl w:val="1"/>
          <w:numId w:val="22"/>
        </w:numPr>
        <w:tabs>
          <w:tab w:val="left" w:pos="567"/>
          <w:tab w:val="left" w:pos="1134"/>
        </w:tabs>
        <w:ind w:left="0" w:firstLine="709"/>
        <w:jc w:val="both"/>
        <w:rPr>
          <w:sz w:val="24"/>
          <w:szCs w:val="24"/>
        </w:rPr>
      </w:pPr>
      <w:r w:rsidRPr="00137C71">
        <w:rPr>
          <w:sz w:val="24"/>
          <w:szCs w:val="24"/>
        </w:rPr>
        <w:t>B</w:t>
      </w:r>
      <w:r w:rsidR="00977A6E" w:rsidRPr="00137C71">
        <w:rPr>
          <w:iCs/>
          <w:sz w:val="24"/>
          <w:szCs w:val="24"/>
          <w:lang w:bidi="lt-LT"/>
        </w:rPr>
        <w:t>ylos</w:t>
      </w:r>
      <w:r w:rsidR="00977A6E" w:rsidRPr="009C64EB">
        <w:rPr>
          <w:iCs/>
          <w:sz w:val="24"/>
          <w:szCs w:val="24"/>
          <w:lang w:bidi="lt-LT"/>
        </w:rPr>
        <w:t xml:space="preserve"> nagrinėjimo metu galiojęs teisinis reguliavimas </w:t>
      </w:r>
      <w:r w:rsidR="00977A6E" w:rsidRPr="009C64EB">
        <w:rPr>
          <w:sz w:val="24"/>
          <w:szCs w:val="24"/>
          <w:lang w:bidi="lt-LT"/>
        </w:rPr>
        <w:t xml:space="preserve">yra pasikeitęs. </w:t>
      </w:r>
      <w:bookmarkStart w:id="73" w:name="_Hlk159575711"/>
      <w:r w:rsidR="00977A6E" w:rsidRPr="009C64EB">
        <w:rPr>
          <w:sz w:val="24"/>
          <w:szCs w:val="24"/>
          <w:lang w:bidi="lt-LT"/>
        </w:rPr>
        <w:t>Lietuvos Respublikos Vyriausybė</w:t>
      </w:r>
      <w:r w:rsidR="00977A6E" w:rsidRPr="009C64EB">
        <w:rPr>
          <w:sz w:val="24"/>
          <w:szCs w:val="24"/>
        </w:rPr>
        <w:t xml:space="preserve"> 2023 m. sausio 25 d. nutarimu Nr. 59 </w:t>
      </w:r>
      <w:bookmarkEnd w:id="73"/>
      <w:r w:rsidR="00977A6E" w:rsidRPr="009C64EB">
        <w:rPr>
          <w:sz w:val="24"/>
          <w:szCs w:val="24"/>
        </w:rPr>
        <w:t xml:space="preserve">„Dėl Notarų atlyginimo dydžių (įkainių) nustatymo metodikos patvirtinimo“ (toliau – Nutarimas) patvirtino Notarų atlyginimo dydžių (įkainių) nustatymo </w:t>
      </w:r>
      <w:r w:rsidR="00977A6E" w:rsidRPr="009C64EB">
        <w:rPr>
          <w:sz w:val="24"/>
          <w:szCs w:val="24"/>
        </w:rPr>
        <w:lastRenderedPageBreak/>
        <w:t xml:space="preserve">metodiką (toliau – Metodika). </w:t>
      </w:r>
      <w:r w:rsidR="00A44BD2" w:rsidRPr="009C64EB">
        <w:rPr>
          <w:sz w:val="24"/>
          <w:szCs w:val="24"/>
        </w:rPr>
        <w:t>Buvo n</w:t>
      </w:r>
      <w:r w:rsidR="00977A6E" w:rsidRPr="009C64EB">
        <w:rPr>
          <w:sz w:val="24"/>
          <w:szCs w:val="24"/>
        </w:rPr>
        <w:t>uspręsta taikyti fiksuotus įkainius, t</w:t>
      </w:r>
      <w:r w:rsidR="00A44BD2" w:rsidRPr="009C64EB">
        <w:rPr>
          <w:sz w:val="24"/>
          <w:szCs w:val="24"/>
        </w:rPr>
        <w:t xml:space="preserve">odėl </w:t>
      </w:r>
      <w:r w:rsidR="00977A6E" w:rsidRPr="009C64EB">
        <w:rPr>
          <w:sz w:val="24"/>
          <w:szCs w:val="24"/>
        </w:rPr>
        <w:t>byloje kylantis ginčas dėl to, ar notarai konkuruoja kainomis</w:t>
      </w:r>
      <w:r w:rsidR="00A44BD2" w:rsidRPr="009C64EB">
        <w:rPr>
          <w:sz w:val="24"/>
          <w:szCs w:val="24"/>
        </w:rPr>
        <w:t>, nebeaktualus.</w:t>
      </w:r>
    </w:p>
    <w:p w14:paraId="05FBCD86" w14:textId="77777777" w:rsidR="00185F1F" w:rsidRPr="009C64EB" w:rsidRDefault="00185F1F" w:rsidP="00B56117">
      <w:pPr>
        <w:tabs>
          <w:tab w:val="left" w:pos="567"/>
          <w:tab w:val="left" w:pos="1134"/>
        </w:tabs>
        <w:spacing w:after="0" w:line="240" w:lineRule="auto"/>
        <w:ind w:firstLine="720"/>
        <w:contextualSpacing/>
        <w:jc w:val="both"/>
        <w:rPr>
          <w:rFonts w:ascii="Times New Roman" w:eastAsia="Times New Roman" w:hAnsi="Times New Roman" w:cs="Times New Roman"/>
          <w:sz w:val="24"/>
          <w:szCs w:val="24"/>
          <w:lang w:val="lt-LT"/>
        </w:rPr>
      </w:pPr>
    </w:p>
    <w:p w14:paraId="7CA7ED67" w14:textId="72CEE388" w:rsidR="00B56117" w:rsidRPr="009C64EB" w:rsidRDefault="00B56117" w:rsidP="00B56117">
      <w:pPr>
        <w:tabs>
          <w:tab w:val="left" w:pos="567"/>
          <w:tab w:val="left" w:pos="1134"/>
        </w:tabs>
        <w:spacing w:after="0" w:line="240" w:lineRule="auto"/>
        <w:ind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Išplėstinė teisėjų kolegija</w:t>
      </w:r>
    </w:p>
    <w:p w14:paraId="514B76F0" w14:textId="77777777" w:rsidR="00B56117" w:rsidRPr="009C64EB" w:rsidRDefault="00B56117" w:rsidP="00B56117">
      <w:pPr>
        <w:tabs>
          <w:tab w:val="left" w:pos="993"/>
          <w:tab w:val="left" w:pos="1040"/>
          <w:tab w:val="left" w:pos="1276"/>
        </w:tabs>
        <w:spacing w:after="0" w:line="240" w:lineRule="auto"/>
        <w:ind w:firstLine="720"/>
        <w:contextualSpacing/>
        <w:jc w:val="both"/>
        <w:rPr>
          <w:rFonts w:ascii="Times New Roman" w:eastAsia="Times New Roman" w:hAnsi="Times New Roman" w:cs="Times New Roman"/>
          <w:sz w:val="24"/>
          <w:szCs w:val="24"/>
          <w:lang w:val="lt-LT"/>
        </w:rPr>
      </w:pPr>
    </w:p>
    <w:p w14:paraId="571EAC07" w14:textId="77777777" w:rsidR="00B56117" w:rsidRPr="009C64EB" w:rsidRDefault="00B56117" w:rsidP="00B56117">
      <w:pPr>
        <w:tabs>
          <w:tab w:val="left" w:pos="993"/>
          <w:tab w:val="left" w:pos="1040"/>
          <w:tab w:val="left" w:pos="1276"/>
        </w:tabs>
        <w:spacing w:after="0" w:line="240" w:lineRule="auto"/>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k o n s t a t u o j a:</w:t>
      </w:r>
    </w:p>
    <w:p w14:paraId="4E3CA994" w14:textId="77777777" w:rsidR="00092A48" w:rsidRDefault="00092A48" w:rsidP="00B56117">
      <w:pPr>
        <w:spacing w:after="0"/>
        <w:ind w:firstLine="720"/>
        <w:rPr>
          <w:rFonts w:ascii="Times New Roman" w:eastAsia="Times New Roman" w:hAnsi="Times New Roman" w:cs="Times New Roman"/>
          <w:sz w:val="24"/>
          <w:szCs w:val="24"/>
          <w:lang w:val="lt-LT"/>
        </w:rPr>
      </w:pPr>
    </w:p>
    <w:p w14:paraId="400DE475" w14:textId="77777777" w:rsidR="00FF5531" w:rsidRPr="009C64EB" w:rsidRDefault="00FF5531" w:rsidP="00FF5531">
      <w:pPr>
        <w:tabs>
          <w:tab w:val="left" w:pos="993"/>
          <w:tab w:val="left" w:pos="1040"/>
          <w:tab w:val="left" w:pos="1276"/>
        </w:tabs>
        <w:spacing w:after="0" w:line="240" w:lineRule="auto"/>
        <w:ind w:firstLine="720"/>
        <w:contextualSpacing/>
        <w:jc w:val="center"/>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IV.</w:t>
      </w:r>
    </w:p>
    <w:p w14:paraId="70022F26" w14:textId="77777777" w:rsidR="00FF5531" w:rsidRPr="009C64EB" w:rsidRDefault="00FF5531" w:rsidP="00FF5531">
      <w:pPr>
        <w:tabs>
          <w:tab w:val="left" w:pos="993"/>
          <w:tab w:val="left" w:pos="1040"/>
          <w:tab w:val="left" w:pos="1276"/>
        </w:tabs>
        <w:spacing w:after="0" w:line="240" w:lineRule="auto"/>
        <w:ind w:firstLine="720"/>
        <w:contextualSpacing/>
        <w:jc w:val="center"/>
        <w:rPr>
          <w:rFonts w:ascii="Times New Roman" w:eastAsia="Times New Roman" w:hAnsi="Times New Roman" w:cs="Times New Roman"/>
          <w:sz w:val="24"/>
          <w:szCs w:val="24"/>
          <w:lang w:val="lt-LT"/>
        </w:rPr>
      </w:pPr>
    </w:p>
    <w:p w14:paraId="1ED7AC0F" w14:textId="77777777" w:rsidR="00FF5531" w:rsidRPr="009C64EB" w:rsidRDefault="00FF5531" w:rsidP="00FF5531">
      <w:pPr>
        <w:pStyle w:val="Sraopastraipa"/>
        <w:numPr>
          <w:ilvl w:val="0"/>
          <w:numId w:val="22"/>
        </w:numPr>
        <w:tabs>
          <w:tab w:val="left" w:pos="993"/>
          <w:tab w:val="left" w:pos="1040"/>
          <w:tab w:val="left" w:pos="1276"/>
        </w:tabs>
        <w:ind w:left="0" w:firstLine="709"/>
        <w:jc w:val="both"/>
        <w:rPr>
          <w:sz w:val="24"/>
          <w:szCs w:val="24"/>
        </w:rPr>
      </w:pPr>
      <w:r w:rsidRPr="009C64EB">
        <w:rPr>
          <w:sz w:val="24"/>
          <w:szCs w:val="24"/>
        </w:rPr>
        <w:t xml:space="preserve"> Nagrinėjamoje byloje ginčas kilo dėl Lietuvos Respublikos konkurencijos tarybos 2018 m. balandžio 26 d. nutarimo Nr. 2S-2(2018) „Dėl Lietuvos notarų rūmų ir notarų veiksmų atitikties Lietuvos Respublikos konkurencijos įstatymo 5 straipsnio ir Sutarties dėl Europos Sąjungos veikimo 101 straipsnio reikalavimams“ dalies, kuriais pareiškėjai pripažinti pažeidę Konkurencijos įstatymo 5 straipsnio 1 dalies 1 punkto ir SESV 101 straipsnio 1 dalies a punkto reikalavimus, taip pat kuriais pareiškėjai įpareigoti nutraukti pažeidimą, jei jis dar tęsiamas, ir jiems paskirtos piniginės baudos (Nutarimo rezoliucinės dalies 1, 2, 3 p</w:t>
      </w:r>
      <w:r>
        <w:rPr>
          <w:sz w:val="24"/>
          <w:szCs w:val="24"/>
        </w:rPr>
        <w:t>.</w:t>
      </w:r>
      <w:r w:rsidRPr="009C64EB">
        <w:rPr>
          <w:sz w:val="24"/>
          <w:szCs w:val="24"/>
        </w:rPr>
        <w:t>), teisėtumo ir pagrįstumo.</w:t>
      </w:r>
    </w:p>
    <w:p w14:paraId="52F07A9D" w14:textId="77777777" w:rsidR="00FF5531" w:rsidRPr="009C64EB" w:rsidRDefault="00FF553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Pirmosios instancijos teismas pareiškėjų skundą tenkino </w:t>
      </w:r>
      <w:r w:rsidRPr="009C64EB">
        <w:rPr>
          <w:rFonts w:ascii="Times New Roman" w:eastAsia="Times New Roman" w:hAnsi="Times New Roman" w:cs="Times New Roman"/>
          <w:sz w:val="24"/>
          <w:szCs w:val="24"/>
          <w:lang w:val="lt-LT"/>
        </w:rPr>
        <w:sym w:font="Symbol" w:char="F02D"/>
      </w:r>
      <w:r w:rsidRPr="009C64EB">
        <w:rPr>
          <w:rFonts w:ascii="Times New Roman" w:eastAsia="Times New Roman" w:hAnsi="Times New Roman" w:cs="Times New Roman"/>
          <w:sz w:val="24"/>
          <w:szCs w:val="24"/>
          <w:lang w:val="lt-LT"/>
        </w:rPr>
        <w:t xml:space="preserve"> panaikino Nutarimo rezoliucinės dalies 1, 2 ir 3 punktus. Pirmosios instancijos teismas skundžiamame sprendime, be kita ko, darė išvadą, kad Notarų rūmai, pateikdami Išaiškinimus, suvienodino notarinę praktiką, siekė užpildyti teisinio reguliavimo spragas, o ne apribojo notarų (konkurentų) veikimo laisvę, kaip nurodė Konkurencijos taryba. Pirmosios instancijos teismas taip pat, be kita ko, pažymėjo, jog, atsižvelgiant į tai, kad Notarų rūmai veikė teisės aktais jiems nustatytos kompetencijos ribose (Notariato įstatymo 9 str</w:t>
      </w:r>
      <w:r>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5 d</w:t>
      </w:r>
      <w:r>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Statuto 8</w:t>
      </w:r>
      <w:r>
        <w:rPr>
          <w:rFonts w:ascii="Times New Roman" w:eastAsia="Times New Roman" w:hAnsi="Times New Roman" w:cs="Times New Roman"/>
          <w:sz w:val="24"/>
          <w:szCs w:val="24"/>
          <w:lang w:val="lt-LT"/>
        </w:rPr>
        <w:t> </w:t>
      </w:r>
      <w:r w:rsidRPr="009C64EB">
        <w:rPr>
          <w:rFonts w:ascii="Times New Roman" w:eastAsia="Times New Roman" w:hAnsi="Times New Roman" w:cs="Times New Roman"/>
          <w:sz w:val="24"/>
          <w:szCs w:val="24"/>
          <w:lang w:val="lt-LT"/>
        </w:rPr>
        <w:t>str</w:t>
      </w:r>
      <w:r>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6, 7 p</w:t>
      </w:r>
      <w:r>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Notarų rūmai negalėjo būti prilyginami ūkio subjektui, kaip jis apibrėžtas Konkurencijos įstatymo 3 straipsnio 22 dalyje.</w:t>
      </w:r>
    </w:p>
    <w:p w14:paraId="6E9CB798" w14:textId="77777777" w:rsidR="00FF5531" w:rsidRPr="009C64EB" w:rsidRDefault="00FF553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Atsakovas Konkurencijos taryba pateikė apeliacinį skundą, kuriame prašo panaikinti Vilniaus apygardos administracinio teismo 2019 m. vasario 19 d. sprendimą ir priimti naują sprendimą – pareiškėjų skundą atmesti.</w:t>
      </w:r>
    </w:p>
    <w:p w14:paraId="0D3C24E7" w14:textId="77777777" w:rsidR="00FF5531" w:rsidRPr="009C64EB" w:rsidRDefault="00FF553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Lietuvos Respublikos administracinių bylų teisenos įstatymo 140 straipsnio 1 dalyje nustatyta, kad teismas, apeliacine tvarka nagrinėdamas bylą, patikrina pirmosios instancijos teismo sprendimo pagrįstumą ir teisėtumą, neperžengdamas apeliacinio skundo ribų. Šioje byloje nenustatytos aplinkybės, dėl kurių turėtų būti peržengtos </w:t>
      </w:r>
      <w:r>
        <w:rPr>
          <w:rFonts w:ascii="Times New Roman" w:eastAsia="Times New Roman" w:hAnsi="Times New Roman" w:cs="Times New Roman"/>
          <w:sz w:val="24"/>
          <w:szCs w:val="24"/>
          <w:lang w:val="lt-LT"/>
        </w:rPr>
        <w:t>atsakovo</w:t>
      </w:r>
      <w:r w:rsidRPr="009C64EB">
        <w:rPr>
          <w:rFonts w:ascii="Times New Roman" w:eastAsia="Times New Roman" w:hAnsi="Times New Roman" w:cs="Times New Roman"/>
          <w:sz w:val="24"/>
          <w:szCs w:val="24"/>
          <w:lang w:val="lt-LT"/>
        </w:rPr>
        <w:t xml:space="preserve"> apeliacinio skundo ribos, bei nenustatyti sprendimo negaliojimo pagrindai, įtvirtinti ABTĮ 146 straipsnio 2 dalyje, todėl apeliacinės instancijos teismas šią bylą apeliacine tvarka nagrinėja ir patikrina pirmosios instancijos teismo sprendimo pagrįstumą ir teisėtumą, neperžengdamas atsakovo apeliacinio skundo ribų.</w:t>
      </w:r>
    </w:p>
    <w:p w14:paraId="57606DEF" w14:textId="4C57D105" w:rsidR="00FF5531" w:rsidRPr="009C64EB" w:rsidRDefault="00FF5531" w:rsidP="00FF5531">
      <w:pPr>
        <w:numPr>
          <w:ilvl w:val="0"/>
          <w:numId w:val="22"/>
        </w:numPr>
        <w:tabs>
          <w:tab w:val="left" w:pos="567"/>
          <w:tab w:val="left" w:pos="1134"/>
        </w:tabs>
        <w:spacing w:after="0" w:line="240" w:lineRule="auto"/>
        <w:ind w:left="0" w:firstLine="720"/>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Nutarime nustatyta, kad Lietuvos notarų rūmai ir </w:t>
      </w:r>
      <w:r>
        <w:rPr>
          <w:rFonts w:ascii="Times New Roman" w:eastAsia="Times New Roman" w:hAnsi="Times New Roman" w:cs="Times New Roman"/>
          <w:sz w:val="24"/>
          <w:szCs w:val="24"/>
          <w:lang w:val="lt-LT"/>
        </w:rPr>
        <w:t xml:space="preserve">Lietuvos notarų rūmų prezidiumo nariai </w:t>
      </w:r>
      <w:r w:rsidRPr="009C64EB">
        <w:rPr>
          <w:rFonts w:ascii="Times New Roman" w:eastAsia="Times New Roman" w:hAnsi="Times New Roman" w:cs="Times New Roman"/>
          <w:sz w:val="24"/>
          <w:szCs w:val="24"/>
          <w:lang w:val="lt-LT"/>
        </w:rPr>
        <w:t xml:space="preserve">notarai </w:t>
      </w:r>
      <w:bookmarkStart w:id="74" w:name="Buk_84"/>
      <w:r w:rsidR="00756415" w:rsidRPr="00E3423E">
        <w:rPr>
          <w:rFonts w:ascii="Times New Roman" w:eastAsia="Times New Roman" w:hAnsi="Times New Roman" w:cs="Times New Roman"/>
          <w:sz w:val="24"/>
          <w:szCs w:val="24"/>
          <w:lang w:val="lt-LT"/>
        </w:rPr>
        <w:t>M. S.</w:t>
      </w:r>
      <w:bookmarkEnd w:id="74"/>
      <w:r w:rsidRPr="009C64EB">
        <w:rPr>
          <w:rFonts w:ascii="Times New Roman" w:eastAsia="Times New Roman" w:hAnsi="Times New Roman" w:cs="Times New Roman"/>
          <w:sz w:val="24"/>
          <w:szCs w:val="24"/>
          <w:lang w:val="lt-LT"/>
        </w:rPr>
        <w:t xml:space="preserve">, </w:t>
      </w:r>
      <w:bookmarkStart w:id="75" w:name="Buk_113"/>
      <w:r w:rsidR="00756415" w:rsidRPr="00E3423E">
        <w:rPr>
          <w:rFonts w:ascii="Times New Roman" w:eastAsia="Times New Roman" w:hAnsi="Times New Roman" w:cs="Times New Roman"/>
          <w:sz w:val="24"/>
          <w:szCs w:val="24"/>
          <w:lang w:val="lt-LT"/>
        </w:rPr>
        <w:t>S. Š.</w:t>
      </w:r>
      <w:bookmarkEnd w:id="75"/>
      <w:r w:rsidRPr="00770568">
        <w:rPr>
          <w:rFonts w:ascii="Times New Roman" w:eastAsia="Times New Roman" w:hAnsi="Times New Roman" w:cs="Times New Roman"/>
          <w:sz w:val="24"/>
          <w:szCs w:val="24"/>
          <w:lang w:val="lt-LT"/>
        </w:rPr>
        <w:t xml:space="preserve">, </w:t>
      </w:r>
      <w:bookmarkStart w:id="76" w:name="Buk_32"/>
      <w:r w:rsidR="00756415" w:rsidRPr="00E3423E">
        <w:rPr>
          <w:rFonts w:ascii="Times New Roman" w:eastAsia="Times New Roman" w:hAnsi="Times New Roman" w:cs="Times New Roman"/>
          <w:sz w:val="24"/>
          <w:szCs w:val="24"/>
          <w:lang w:val="lt-LT"/>
        </w:rPr>
        <w:t>D. V.</w:t>
      </w:r>
      <w:bookmarkEnd w:id="76"/>
      <w:r w:rsidRPr="00770568">
        <w:rPr>
          <w:rFonts w:ascii="Times New Roman" w:eastAsia="Times New Roman" w:hAnsi="Times New Roman" w:cs="Times New Roman"/>
          <w:sz w:val="24"/>
          <w:szCs w:val="24"/>
          <w:lang w:val="lt-LT"/>
        </w:rPr>
        <w:t xml:space="preserve">, </w:t>
      </w:r>
      <w:bookmarkStart w:id="77" w:name="Buk_126"/>
      <w:r w:rsidR="00756415" w:rsidRPr="00E3423E">
        <w:rPr>
          <w:rFonts w:ascii="Times New Roman" w:eastAsia="Times New Roman" w:hAnsi="Times New Roman" w:cs="Times New Roman"/>
          <w:sz w:val="24"/>
          <w:szCs w:val="24"/>
          <w:lang w:val="lt-LT"/>
        </w:rPr>
        <w:t>V. P.</w:t>
      </w:r>
      <w:bookmarkEnd w:id="77"/>
      <w:r w:rsidRPr="00770568">
        <w:rPr>
          <w:rFonts w:ascii="Times New Roman" w:eastAsia="Times New Roman" w:hAnsi="Times New Roman" w:cs="Times New Roman"/>
          <w:sz w:val="24"/>
          <w:szCs w:val="24"/>
          <w:lang w:val="lt-LT"/>
        </w:rPr>
        <w:t xml:space="preserve">, </w:t>
      </w:r>
      <w:bookmarkStart w:id="78" w:name="Buk_60"/>
      <w:r w:rsidR="00756415" w:rsidRPr="00E3423E">
        <w:rPr>
          <w:rFonts w:ascii="Times New Roman" w:eastAsia="Times New Roman" w:hAnsi="Times New Roman" w:cs="Times New Roman"/>
          <w:sz w:val="24"/>
          <w:szCs w:val="24"/>
          <w:lang w:val="lt-LT"/>
        </w:rPr>
        <w:t>J. P.</w:t>
      </w:r>
      <w:bookmarkEnd w:id="78"/>
      <w:r w:rsidRPr="00770568">
        <w:rPr>
          <w:rFonts w:ascii="Times New Roman" w:eastAsia="Times New Roman" w:hAnsi="Times New Roman" w:cs="Times New Roman"/>
          <w:sz w:val="24"/>
          <w:szCs w:val="24"/>
          <w:lang w:val="lt-LT"/>
        </w:rPr>
        <w:t xml:space="preserve">, </w:t>
      </w:r>
      <w:bookmarkStart w:id="79" w:name="Buk_20"/>
      <w:r w:rsidR="00756415" w:rsidRPr="00E3423E">
        <w:rPr>
          <w:rFonts w:ascii="Times New Roman" w:eastAsia="Times New Roman" w:hAnsi="Times New Roman" w:cs="Times New Roman"/>
          <w:sz w:val="24"/>
          <w:szCs w:val="24"/>
          <w:lang w:val="lt-LT"/>
        </w:rPr>
        <w:t>D. L.</w:t>
      </w:r>
      <w:bookmarkEnd w:id="79"/>
      <w:r w:rsidRPr="00770568">
        <w:rPr>
          <w:rFonts w:ascii="Times New Roman" w:eastAsia="Times New Roman" w:hAnsi="Times New Roman" w:cs="Times New Roman"/>
          <w:sz w:val="24"/>
          <w:szCs w:val="24"/>
          <w:lang w:val="lt-LT"/>
        </w:rPr>
        <w:t>-B</w:t>
      </w:r>
      <w:r w:rsidR="00E838A5">
        <w:rPr>
          <w:rFonts w:ascii="Times New Roman" w:eastAsia="Times New Roman" w:hAnsi="Times New Roman" w:cs="Times New Roman"/>
          <w:sz w:val="24"/>
          <w:szCs w:val="24"/>
          <w:lang w:val="lt-LT"/>
        </w:rPr>
        <w:t>.</w:t>
      </w:r>
      <w:r w:rsidRPr="00770568">
        <w:rPr>
          <w:rFonts w:ascii="Times New Roman" w:eastAsia="Times New Roman" w:hAnsi="Times New Roman" w:cs="Times New Roman"/>
          <w:sz w:val="24"/>
          <w:szCs w:val="24"/>
          <w:lang w:val="lt-LT"/>
        </w:rPr>
        <w:t xml:space="preserve">, </w:t>
      </w:r>
      <w:bookmarkStart w:id="80" w:name="Buk_11"/>
      <w:r w:rsidR="00756415" w:rsidRPr="00E3423E">
        <w:rPr>
          <w:rFonts w:ascii="Times New Roman" w:eastAsia="Times New Roman" w:hAnsi="Times New Roman" w:cs="Times New Roman"/>
          <w:sz w:val="24"/>
          <w:szCs w:val="24"/>
          <w:lang w:val="lt-LT"/>
        </w:rPr>
        <w:t xml:space="preserve">D. P. </w:t>
      </w:r>
      <w:bookmarkEnd w:id="80"/>
      <w:r w:rsidRPr="00770568">
        <w:rPr>
          <w:rFonts w:ascii="Times New Roman" w:eastAsia="Times New Roman" w:hAnsi="Times New Roman" w:cs="Times New Roman"/>
          <w:sz w:val="24"/>
          <w:szCs w:val="24"/>
          <w:lang w:val="lt-LT"/>
        </w:rPr>
        <w:t>ir R</w:t>
      </w:r>
      <w:r w:rsidR="00E838A5">
        <w:rPr>
          <w:rFonts w:ascii="Times New Roman" w:eastAsia="Times New Roman" w:hAnsi="Times New Roman" w:cs="Times New Roman"/>
          <w:sz w:val="24"/>
          <w:szCs w:val="24"/>
          <w:lang w:val="lt-LT"/>
        </w:rPr>
        <w:t>.</w:t>
      </w:r>
      <w:r w:rsidRPr="00770568">
        <w:rPr>
          <w:rFonts w:ascii="Times New Roman" w:eastAsia="Times New Roman" w:hAnsi="Times New Roman" w:cs="Times New Roman"/>
          <w:sz w:val="24"/>
          <w:szCs w:val="24"/>
          <w:lang w:val="lt-LT"/>
        </w:rPr>
        <w:t xml:space="preserve"> </w:t>
      </w:r>
      <w:bookmarkStart w:id="81" w:name="Buk_93"/>
      <w:r w:rsidR="00756415" w:rsidRPr="00E3423E">
        <w:rPr>
          <w:rFonts w:ascii="Times New Roman" w:eastAsia="Times New Roman" w:hAnsi="Times New Roman" w:cs="Times New Roman"/>
          <w:sz w:val="24"/>
          <w:szCs w:val="24"/>
          <w:lang w:val="lt-LT"/>
        </w:rPr>
        <w:t xml:space="preserve">O. I. </w:t>
      </w:r>
      <w:bookmarkEnd w:id="81"/>
      <w:r w:rsidRPr="00770568">
        <w:rPr>
          <w:rFonts w:ascii="Times New Roman" w:eastAsia="Times New Roman" w:hAnsi="Times New Roman" w:cs="Times New Roman"/>
          <w:sz w:val="24"/>
          <w:szCs w:val="24"/>
          <w:lang w:val="lt-LT"/>
        </w:rPr>
        <w:t>(toliau – ir Notarai) nutarimais tvirtino išaiškinimus</w:t>
      </w:r>
      <w:r w:rsidRPr="009C64EB">
        <w:rPr>
          <w:rFonts w:ascii="Times New Roman" w:eastAsia="Times New Roman" w:hAnsi="Times New Roman" w:cs="Times New Roman"/>
          <w:sz w:val="24"/>
          <w:szCs w:val="24"/>
          <w:lang w:val="lt-LT"/>
        </w:rPr>
        <w:t>, kaip turėtų būti skaičiuojami notarų atlyginimo dydžiai už tam tikrų notarinių veiksmų atlikimą (Nutarimo 160 p</w:t>
      </w:r>
      <w:r>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xml:space="preserve">): </w:t>
      </w:r>
    </w:p>
    <w:p w14:paraId="2966569F" w14:textId="65DDEB1B" w:rsidR="00FF5531" w:rsidRPr="009E76C9" w:rsidRDefault="00FF5531" w:rsidP="00FF5531">
      <w:pPr>
        <w:pStyle w:val="Sraopastraipa"/>
        <w:numPr>
          <w:ilvl w:val="1"/>
          <w:numId w:val="22"/>
        </w:numPr>
        <w:tabs>
          <w:tab w:val="left" w:pos="567"/>
          <w:tab w:val="left" w:pos="1134"/>
        </w:tabs>
        <w:ind w:left="0" w:firstLine="720"/>
        <w:jc w:val="both"/>
        <w:rPr>
          <w:sz w:val="24"/>
          <w:szCs w:val="24"/>
        </w:rPr>
      </w:pPr>
      <w:bookmarkStart w:id="82" w:name="_Hlk169605317"/>
      <w:bookmarkStart w:id="83" w:name="_Hlk169179761"/>
      <w:r w:rsidRPr="009C64EB">
        <w:rPr>
          <w:sz w:val="24"/>
          <w:szCs w:val="24"/>
        </w:rPr>
        <w:t>Notarai Prezidiumo posėd</w:t>
      </w:r>
      <w:r w:rsidR="00A61274">
        <w:rPr>
          <w:sz w:val="24"/>
          <w:szCs w:val="24"/>
        </w:rPr>
        <w:t>yje</w:t>
      </w:r>
      <w:r w:rsidRPr="009C64EB">
        <w:rPr>
          <w:sz w:val="24"/>
          <w:szCs w:val="24"/>
        </w:rPr>
        <w:t xml:space="preserve"> patvirtino ir įtraukė į Hipotekos (įkeitimo) sandorių tvirtinimo ir vykdomųjų įrašų atlikimo taisykles nuostatas, įtvirtinančias, </w:t>
      </w:r>
      <w:bookmarkStart w:id="84" w:name="_Hlk58912817"/>
      <w:r w:rsidRPr="009E76C9">
        <w:rPr>
          <w:sz w:val="24"/>
          <w:szCs w:val="24"/>
        </w:rPr>
        <w:t xml:space="preserve">kad </w:t>
      </w:r>
      <w:bookmarkStart w:id="85" w:name="_Hlk58573239"/>
      <w:bookmarkStart w:id="86" w:name="_Hlk58912582"/>
      <w:r w:rsidRPr="009E76C9">
        <w:rPr>
          <w:sz w:val="24"/>
          <w:szCs w:val="24"/>
        </w:rPr>
        <w:t>kai sandorio šalys nenurodo įkeičiamo objekto</w:t>
      </w:r>
      <w:bookmarkEnd w:id="85"/>
      <w:r w:rsidRPr="009E76C9">
        <w:rPr>
          <w:sz w:val="24"/>
          <w:szCs w:val="24"/>
        </w:rPr>
        <w:t xml:space="preserve"> vertės</w:t>
      </w:r>
      <w:bookmarkEnd w:id="86"/>
      <w:r w:rsidRPr="009E76C9">
        <w:rPr>
          <w:sz w:val="24"/>
          <w:szCs w:val="24"/>
        </w:rPr>
        <w:t>, už hipotekos (įkeitimo) sandorio patvirtinimą turi būti imamas maksimalaus dydžio notaro atlyginimas</w:t>
      </w:r>
      <w:bookmarkEnd w:id="84"/>
      <w:r w:rsidRPr="009E76C9">
        <w:rPr>
          <w:sz w:val="24"/>
          <w:szCs w:val="24"/>
        </w:rPr>
        <w:t xml:space="preserve"> (Nutarimo 3.2.1 d.); </w:t>
      </w:r>
    </w:p>
    <w:p w14:paraId="5615E1B6" w14:textId="77777777" w:rsidR="00FF5531" w:rsidRPr="009C64EB" w:rsidRDefault="00FF5531" w:rsidP="00FF5531">
      <w:pPr>
        <w:pStyle w:val="Sraopastraipa"/>
        <w:numPr>
          <w:ilvl w:val="1"/>
          <w:numId w:val="22"/>
        </w:numPr>
        <w:tabs>
          <w:tab w:val="left" w:pos="567"/>
          <w:tab w:val="left" w:pos="1134"/>
        </w:tabs>
        <w:ind w:left="0" w:firstLine="720"/>
        <w:jc w:val="both"/>
        <w:rPr>
          <w:sz w:val="24"/>
          <w:szCs w:val="24"/>
        </w:rPr>
      </w:pPr>
      <w:r w:rsidRPr="009C64EB">
        <w:rPr>
          <w:sz w:val="24"/>
          <w:szCs w:val="24"/>
        </w:rPr>
        <w:t xml:space="preserve">Notarai Prezidiumo posėdžio metu bendru sutarimu patvirtino išaiškinimą, kaip apskaičiuojamas notaro atlyginimas, </w:t>
      </w:r>
      <w:bookmarkStart w:id="87" w:name="_Hlk58573281"/>
      <w:r w:rsidRPr="009C64EB">
        <w:rPr>
          <w:sz w:val="24"/>
          <w:szCs w:val="24"/>
        </w:rPr>
        <w:t xml:space="preserve">kai viena sutartimi nustatomas servitutas keliems nekilnojamiems daiktams </w:t>
      </w:r>
      <w:bookmarkEnd w:id="87"/>
      <w:r w:rsidRPr="009C64EB">
        <w:rPr>
          <w:sz w:val="24"/>
          <w:szCs w:val="24"/>
        </w:rPr>
        <w:t>(Nutarimo 3.2.3 d</w:t>
      </w:r>
      <w:r>
        <w:rPr>
          <w:sz w:val="24"/>
          <w:szCs w:val="24"/>
        </w:rPr>
        <w:t>.</w:t>
      </w:r>
      <w:r w:rsidRPr="009C64EB">
        <w:rPr>
          <w:sz w:val="24"/>
          <w:szCs w:val="24"/>
        </w:rPr>
        <w:t>). Notarai nusprendė, kad Laikinuosiuose dydžiuose nustatytas atlyginimo dydis dauginamas „iš daiktų, kuriems nustatomas (–i) servitutas (–ai) skaičiaus“;</w:t>
      </w:r>
    </w:p>
    <w:p w14:paraId="2080D5B1" w14:textId="052BC93E" w:rsidR="00FF5531" w:rsidRPr="009C64EB" w:rsidRDefault="00FF5531" w:rsidP="00FF5531">
      <w:pPr>
        <w:pStyle w:val="Sraopastraipa"/>
        <w:numPr>
          <w:ilvl w:val="1"/>
          <w:numId w:val="22"/>
        </w:numPr>
        <w:tabs>
          <w:tab w:val="left" w:pos="567"/>
          <w:tab w:val="left" w:pos="1134"/>
        </w:tabs>
        <w:ind w:left="0" w:firstLine="720"/>
        <w:jc w:val="both"/>
        <w:rPr>
          <w:sz w:val="24"/>
          <w:szCs w:val="24"/>
        </w:rPr>
      </w:pPr>
      <w:r w:rsidRPr="009C64EB">
        <w:rPr>
          <w:sz w:val="24"/>
          <w:szCs w:val="24"/>
        </w:rPr>
        <w:lastRenderedPageBreak/>
        <w:t>Notarai Prezidiumo posėd</w:t>
      </w:r>
      <w:r w:rsidR="00A61274">
        <w:rPr>
          <w:sz w:val="24"/>
          <w:szCs w:val="24"/>
        </w:rPr>
        <w:t>yje</w:t>
      </w:r>
      <w:r w:rsidRPr="009C64EB">
        <w:rPr>
          <w:sz w:val="24"/>
          <w:szCs w:val="24"/>
        </w:rPr>
        <w:t xml:space="preserve"> patvirtino išaiškinimą, kaip apskaičiuojamas notaro atlyginimas, </w:t>
      </w:r>
      <w:bookmarkStart w:id="88" w:name="_Hlk58573312"/>
      <w:r w:rsidRPr="009C64EB">
        <w:rPr>
          <w:sz w:val="24"/>
          <w:szCs w:val="24"/>
        </w:rPr>
        <w:t>kai viena sutartimi mainomos kelių daiktų dalys</w:t>
      </w:r>
      <w:bookmarkEnd w:id="88"/>
      <w:r w:rsidRPr="009C64EB">
        <w:rPr>
          <w:sz w:val="24"/>
          <w:szCs w:val="24"/>
        </w:rPr>
        <w:t xml:space="preserve"> (Nutarimo 3.2.4 d</w:t>
      </w:r>
      <w:r>
        <w:rPr>
          <w:sz w:val="24"/>
          <w:szCs w:val="24"/>
        </w:rPr>
        <w:t>.</w:t>
      </w:r>
      <w:r w:rsidRPr="009C64EB">
        <w:rPr>
          <w:sz w:val="24"/>
          <w:szCs w:val="24"/>
        </w:rPr>
        <w:t xml:space="preserve">). Notarai nusprendė, kad Laikinuosiuose dydžiuose nustatytas atlyginimo dydis skaičiuojamas „nuo kiekvieno sandoriu perleidžiamo daikto kainos ir tada </w:t>
      </w:r>
      <w:proofErr w:type="spellStart"/>
      <w:r w:rsidRPr="009C64EB">
        <w:rPr>
          <w:sz w:val="24"/>
          <w:szCs w:val="24"/>
        </w:rPr>
        <w:t>susumuo</w:t>
      </w:r>
      <w:proofErr w:type="spellEnd"/>
      <w:r w:rsidRPr="009C64EB">
        <w:rPr>
          <w:sz w:val="24"/>
          <w:szCs w:val="24"/>
        </w:rPr>
        <w:t>[</w:t>
      </w:r>
      <w:proofErr w:type="spellStart"/>
      <w:r w:rsidRPr="009C64EB">
        <w:rPr>
          <w:sz w:val="24"/>
          <w:szCs w:val="24"/>
        </w:rPr>
        <w:t>jamas</w:t>
      </w:r>
      <w:proofErr w:type="spellEnd"/>
      <w:r w:rsidRPr="009C64EB">
        <w:rPr>
          <w:sz w:val="24"/>
          <w:szCs w:val="24"/>
        </w:rPr>
        <w:t>]“;</w:t>
      </w:r>
    </w:p>
    <w:p w14:paraId="0992A139" w14:textId="6CB054C6" w:rsidR="00FF5531" w:rsidRPr="003C66FF" w:rsidRDefault="00FF5531" w:rsidP="00FF5531">
      <w:pPr>
        <w:pStyle w:val="Sraopastraipa"/>
        <w:numPr>
          <w:ilvl w:val="1"/>
          <w:numId w:val="22"/>
        </w:numPr>
        <w:tabs>
          <w:tab w:val="left" w:pos="567"/>
          <w:tab w:val="left" w:pos="1134"/>
        </w:tabs>
        <w:ind w:left="0" w:firstLine="720"/>
        <w:jc w:val="both"/>
        <w:rPr>
          <w:sz w:val="24"/>
          <w:szCs w:val="24"/>
        </w:rPr>
      </w:pPr>
      <w:r w:rsidRPr="009C64EB">
        <w:rPr>
          <w:sz w:val="24"/>
          <w:szCs w:val="24"/>
        </w:rPr>
        <w:t>Notarai Prezidiumo posėd</w:t>
      </w:r>
      <w:r w:rsidR="00A61274">
        <w:rPr>
          <w:sz w:val="24"/>
          <w:szCs w:val="24"/>
        </w:rPr>
        <w:t>yje</w:t>
      </w:r>
      <w:r w:rsidRPr="009C64EB">
        <w:rPr>
          <w:sz w:val="24"/>
          <w:szCs w:val="24"/>
        </w:rPr>
        <w:t xml:space="preserve"> patvirtino taisyklę, kaip turi būti apskaičiuojamas notarų atlyginimas tuo atveju, </w:t>
      </w:r>
      <w:bookmarkStart w:id="89" w:name="_Hlk58909548"/>
      <w:r w:rsidRPr="009C64EB">
        <w:rPr>
          <w:sz w:val="24"/>
          <w:szCs w:val="24"/>
        </w:rPr>
        <w:t>kai vienu hipotekos sandoriu įkeičiami keli nekilnojamieji daiktai</w:t>
      </w:r>
      <w:bookmarkEnd w:id="89"/>
      <w:r w:rsidRPr="009C64EB">
        <w:rPr>
          <w:sz w:val="24"/>
          <w:szCs w:val="24"/>
        </w:rPr>
        <w:t xml:space="preserve"> (Nutarimo 3.2.2</w:t>
      </w:r>
      <w:r w:rsidR="009759EC">
        <w:rPr>
          <w:sz w:val="24"/>
          <w:szCs w:val="24"/>
        </w:rPr>
        <w:t> </w:t>
      </w:r>
      <w:r w:rsidRPr="009C64EB">
        <w:rPr>
          <w:sz w:val="24"/>
          <w:szCs w:val="24"/>
        </w:rPr>
        <w:t>d</w:t>
      </w:r>
      <w:r>
        <w:rPr>
          <w:sz w:val="24"/>
          <w:szCs w:val="24"/>
        </w:rPr>
        <w:t>.</w:t>
      </w:r>
      <w:r w:rsidRPr="009C64EB">
        <w:rPr>
          <w:sz w:val="24"/>
          <w:szCs w:val="24"/>
        </w:rPr>
        <w:t xml:space="preserve">). Notarai nusprendė, kad Laikinuosiuose dydžiuose nustatytas „notaro atlyginimo dydis skaičiuojamas nuo kiekvieno </w:t>
      </w:r>
      <w:r w:rsidRPr="003C66FF">
        <w:rPr>
          <w:sz w:val="24"/>
          <w:szCs w:val="24"/>
        </w:rPr>
        <w:t>įkeičiamo nekilnojamojo daikto vertės ir tada sumuojamas“.</w:t>
      </w:r>
    </w:p>
    <w:bookmarkEnd w:id="82"/>
    <w:p w14:paraId="593FCAD7" w14:textId="4B409513" w:rsidR="00FF5531" w:rsidRPr="00634359" w:rsidRDefault="00FF553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3C66FF">
        <w:rPr>
          <w:rFonts w:ascii="Times New Roman" w:eastAsia="Times New Roman" w:hAnsi="Times New Roman" w:cs="Times New Roman"/>
          <w:sz w:val="24"/>
          <w:szCs w:val="24"/>
          <w:lang w:val="lt-LT"/>
        </w:rPr>
        <w:t xml:space="preserve">Konkurencijos taryba Nutarime konstatavo, kad nurodytais Išaiškinimais Notarų rūmai ir Notarai nustatė notarų atlyginimo dydžių apskaičiavimo mechanizmą, kuris visais atvejais nustatė didžiausias galimas kainas pagal Laikinuosius dydžius, taikomas tvirtinant hipotekos, mainų ir servituto sandorius, kuriais įkeičiami, perleidžiami ar apsunkinami keli daiktai, o tai reiškia, kad buvo netiesiogiai nustatyti notarų taikomi atlyginimo dydžiai, nors iki Išaiškinimų priėmimo notarai turėjo </w:t>
      </w:r>
      <w:proofErr w:type="spellStart"/>
      <w:r w:rsidRPr="003C66FF">
        <w:rPr>
          <w:rFonts w:ascii="Times New Roman" w:eastAsia="Times New Roman" w:hAnsi="Times New Roman" w:cs="Times New Roman"/>
          <w:sz w:val="24"/>
          <w:szCs w:val="24"/>
          <w:lang w:val="lt-LT"/>
        </w:rPr>
        <w:t>diskreciją</w:t>
      </w:r>
      <w:proofErr w:type="spellEnd"/>
      <w:r w:rsidRPr="003C66FF">
        <w:rPr>
          <w:rFonts w:ascii="Times New Roman" w:eastAsia="Times New Roman" w:hAnsi="Times New Roman" w:cs="Times New Roman"/>
          <w:sz w:val="24"/>
          <w:szCs w:val="24"/>
          <w:lang w:val="lt-LT"/>
        </w:rPr>
        <w:t>, kaip skaičiuoti, kuri konkrečiais atvejais galėjo leisti notarams nustatyti ir mažesnius atlyginimo dydžius. Taip pat Konkurencijos taryba pažymėjo, kad Notarų rūmai ir Notarai tiesiogiai nustatė notarų taikytiną atlyginimo dydį – maksimalų intervalo atlyginimo dydį – imamą už hipotekos (įkeitimo) tvirtinimą tuo atveju, kai šalys nenurodo įkeičiamo objekto vertės. Tokias taisykles dėl konkrečių notarų atlyginimo dydžių taikymo Konkurencijos taryba vertino kaip Notarų rūmų ir Notarų susitarimą dėl kainų nustatymo (Nutarimo 163 p.), kuris pažeidžia Konkurencijos įstatymo</w:t>
      </w:r>
      <w:r w:rsidRPr="00634359">
        <w:rPr>
          <w:rFonts w:ascii="Times New Roman" w:eastAsia="Times New Roman" w:hAnsi="Times New Roman" w:cs="Times New Roman"/>
          <w:sz w:val="24"/>
          <w:szCs w:val="24"/>
          <w:lang w:val="lt-LT"/>
        </w:rPr>
        <w:t xml:space="preserve"> 5 straipsnio 1 dalies 1 punktą ir SESV 101</w:t>
      </w:r>
      <w:r>
        <w:rPr>
          <w:rFonts w:ascii="Times New Roman" w:eastAsia="Times New Roman" w:hAnsi="Times New Roman" w:cs="Times New Roman"/>
          <w:sz w:val="24"/>
          <w:szCs w:val="24"/>
          <w:lang w:val="lt-LT"/>
        </w:rPr>
        <w:t> </w:t>
      </w:r>
      <w:r w:rsidRPr="00634359">
        <w:rPr>
          <w:rFonts w:ascii="Times New Roman" w:eastAsia="Times New Roman" w:hAnsi="Times New Roman" w:cs="Times New Roman"/>
          <w:sz w:val="24"/>
          <w:szCs w:val="24"/>
          <w:lang w:val="lt-LT"/>
        </w:rPr>
        <w:t>straipsnio 1 dalies a punktą (Nutarimo rezoliucinės dalies 1 p</w:t>
      </w:r>
      <w:r>
        <w:rPr>
          <w:rFonts w:ascii="Times New Roman" w:eastAsia="Times New Roman" w:hAnsi="Times New Roman" w:cs="Times New Roman"/>
          <w:sz w:val="24"/>
          <w:szCs w:val="24"/>
          <w:lang w:val="lt-LT"/>
        </w:rPr>
        <w:t>.</w:t>
      </w:r>
      <w:r w:rsidRPr="00634359">
        <w:rPr>
          <w:rFonts w:ascii="Times New Roman" w:eastAsia="Times New Roman" w:hAnsi="Times New Roman" w:cs="Times New Roman"/>
          <w:sz w:val="24"/>
          <w:szCs w:val="24"/>
          <w:lang w:val="lt-LT"/>
        </w:rPr>
        <w:t>).</w:t>
      </w:r>
      <w:bookmarkEnd w:id="83"/>
    </w:p>
    <w:p w14:paraId="7F5590B7" w14:textId="77777777" w:rsidR="00FF5531" w:rsidRPr="00634359" w:rsidRDefault="00FF553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634359">
        <w:rPr>
          <w:rFonts w:ascii="Times New Roman" w:eastAsia="Times New Roman" w:hAnsi="Times New Roman" w:cs="Times New Roman"/>
          <w:sz w:val="24"/>
          <w:szCs w:val="24"/>
          <w:lang w:val="lt-LT"/>
        </w:rPr>
        <w:t xml:space="preserve">Konkurencijos įstatymo (2017 m. sausio 12 d. įstatymo Nr. XIII-193 redakcija, pažymėtina, kad draudžiamus susitarimus reglamentuojančių Konkurencijos </w:t>
      </w:r>
      <w:bookmarkStart w:id="90" w:name="_Hlk171408953"/>
      <w:r w:rsidRPr="00634359">
        <w:rPr>
          <w:rFonts w:ascii="Times New Roman" w:eastAsia="Times New Roman" w:hAnsi="Times New Roman" w:cs="Times New Roman"/>
          <w:sz w:val="24"/>
          <w:szCs w:val="24"/>
          <w:lang w:val="lt-LT"/>
        </w:rPr>
        <w:t>įstatymo nuostatų turinys ginčui aktualiu laikotarpiu iš esmės nesikeitė</w:t>
      </w:r>
      <w:bookmarkEnd w:id="90"/>
      <w:r w:rsidRPr="00634359">
        <w:rPr>
          <w:rFonts w:ascii="Times New Roman" w:eastAsia="Times New Roman" w:hAnsi="Times New Roman" w:cs="Times New Roman"/>
          <w:sz w:val="24"/>
          <w:szCs w:val="24"/>
          <w:lang w:val="lt-LT"/>
        </w:rPr>
        <w:t xml:space="preserve">) 5 straipsnio 1 dalies 1 punkte įtvirtinta, kad visi susitarimai, kuriais siekiama riboti konkurenciją arba kurie riboja ar gali riboti konkurenciją, yra draudžiami ir negalioja nuo jų sudarymo momento, įskaitant susitarimą tiesiogiai ar netiesiogiai nustatyti (fiksuoti) tam tikros prekės kainas arba kitas pirkimo ar pardavimo sąlygas. </w:t>
      </w:r>
    </w:p>
    <w:p w14:paraId="109DAAEE" w14:textId="77777777" w:rsidR="00FF5531" w:rsidRPr="00D51318" w:rsidRDefault="00FF553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SESV 101 straipsnio 1 dalies a punkte nurodyta, kad kaip nesuderinami su vidaus rinka yra draudžiami: visi įmonių susitarimai, įmonių asociacijų sprendimai ir suderinti veiksmai, kurie gali paveikti </w:t>
      </w:r>
      <w:r w:rsidRPr="00D51318">
        <w:rPr>
          <w:rFonts w:ascii="Times New Roman" w:eastAsia="Times New Roman" w:hAnsi="Times New Roman" w:cs="Times New Roman"/>
          <w:sz w:val="24"/>
          <w:szCs w:val="24"/>
          <w:lang w:val="lt-LT"/>
        </w:rPr>
        <w:t>valstybių narių tarpusavio prekybą ir kurių tikslas ar poveikis yra konkurencijos trukdymas, ribojimas arba iškraipymas vidaus rinkoje, būtent tie, kuriais tiesiogiai ar netiesiogiai nustatomos pirkimo ar pardavimo kainos arba kokios nors kitos prekybos sąlygos.</w:t>
      </w:r>
    </w:p>
    <w:p w14:paraId="0BB3160D" w14:textId="77777777" w:rsidR="00FF5531" w:rsidRPr="009C64EB" w:rsidRDefault="00FF553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D51318">
        <w:rPr>
          <w:rFonts w:ascii="Times New Roman" w:eastAsia="Times New Roman" w:hAnsi="Times New Roman" w:cs="Times New Roman"/>
          <w:sz w:val="24"/>
          <w:szCs w:val="24"/>
          <w:lang w:val="lt-LT"/>
        </w:rPr>
        <w:t>Konkurencijos įstatymo 1 straipsnio 3 dalis nurodo, kad šiuo įstatymu siekiama Lietuvos Respublikos ir Europos Sąjungos konkurencijos santykius reglamentuojančios teisės suderinimo, Konkurencijos įstatymo 5 straipsnis savo esme ir tikslais atitinka SESV 101 straipsnio nuostatas, todėl aiškinant bei taikant Konkurencijos</w:t>
      </w:r>
      <w:r w:rsidRPr="009C64EB">
        <w:rPr>
          <w:rFonts w:ascii="Times New Roman" w:eastAsia="Times New Roman" w:hAnsi="Times New Roman" w:cs="Times New Roman"/>
          <w:sz w:val="24"/>
          <w:szCs w:val="24"/>
          <w:lang w:val="lt-LT"/>
        </w:rPr>
        <w:t xml:space="preserve"> įstatymo 5 straipsnį atitinkamai vadovaujamasi SESV 101 straipsnio taikymo praktika (žr., pvz., Lietuvos vyriausiojo administracinio teismo 2019 m. balandžio 8 d. nutarties administracinėje byloje Nr. eA-240-822/2019 29 p., 2018 m. birželio 4 d. nutarties administracinėje byloje Nr. eA-143-624/2018 110 p., 2017 m. balandžio 18 d. nutartį administracinėje byloje Nr. eA-169-822/2017).</w:t>
      </w:r>
    </w:p>
    <w:p w14:paraId="70619CED" w14:textId="77777777" w:rsidR="00FF5531" w:rsidRPr="009C64EB" w:rsidRDefault="00FF5531" w:rsidP="00FF5531">
      <w:pPr>
        <w:tabs>
          <w:tab w:val="left" w:pos="567"/>
          <w:tab w:val="left" w:pos="1134"/>
        </w:tabs>
        <w:spacing w:after="0" w:line="240" w:lineRule="auto"/>
        <w:ind w:left="709"/>
        <w:contextualSpacing/>
        <w:jc w:val="both"/>
        <w:rPr>
          <w:rFonts w:ascii="Times New Roman" w:eastAsia="Times New Roman" w:hAnsi="Times New Roman" w:cs="Times New Roman"/>
          <w:sz w:val="24"/>
          <w:szCs w:val="24"/>
          <w:lang w:val="lt-LT"/>
        </w:rPr>
      </w:pPr>
    </w:p>
    <w:p w14:paraId="6BCE36BE" w14:textId="77777777" w:rsidR="00FF5531" w:rsidRPr="009C64EB" w:rsidRDefault="00FF5531" w:rsidP="00FF5531">
      <w:pPr>
        <w:tabs>
          <w:tab w:val="left" w:pos="567"/>
          <w:tab w:val="left" w:pos="1134"/>
        </w:tabs>
        <w:spacing w:after="0" w:line="240" w:lineRule="auto"/>
        <w:ind w:left="709"/>
        <w:contextualSpacing/>
        <w:rPr>
          <w:rFonts w:ascii="Times New Roman" w:eastAsia="Times New Roman" w:hAnsi="Times New Roman" w:cs="Times New Roman"/>
          <w:i/>
          <w:iCs/>
          <w:sz w:val="24"/>
          <w:szCs w:val="24"/>
          <w:lang w:val="lt-LT"/>
        </w:rPr>
      </w:pPr>
      <w:r w:rsidRPr="009C64EB">
        <w:rPr>
          <w:rFonts w:ascii="Times New Roman" w:eastAsia="Times New Roman" w:hAnsi="Times New Roman" w:cs="Times New Roman"/>
          <w:i/>
          <w:iCs/>
          <w:sz w:val="24"/>
          <w:szCs w:val="24"/>
          <w:lang w:val="lt-LT"/>
        </w:rPr>
        <w:t>Dėl SESV 101 straipsnio taikymo nagrinėjamoje byloje</w:t>
      </w:r>
    </w:p>
    <w:p w14:paraId="61170099" w14:textId="77777777" w:rsidR="00FF5531" w:rsidRPr="009C64EB" w:rsidRDefault="00FF5531" w:rsidP="00FF5531">
      <w:pPr>
        <w:tabs>
          <w:tab w:val="left" w:pos="567"/>
          <w:tab w:val="left" w:pos="1134"/>
        </w:tabs>
        <w:spacing w:after="0" w:line="240" w:lineRule="auto"/>
        <w:ind w:left="709"/>
        <w:contextualSpacing/>
        <w:rPr>
          <w:rFonts w:ascii="Times New Roman" w:eastAsia="Times New Roman" w:hAnsi="Times New Roman" w:cs="Times New Roman"/>
          <w:i/>
          <w:iCs/>
          <w:sz w:val="24"/>
          <w:szCs w:val="24"/>
          <w:lang w:val="lt-LT"/>
        </w:rPr>
      </w:pPr>
    </w:p>
    <w:p w14:paraId="4A7EC4E0" w14:textId="77777777" w:rsidR="00FF5531" w:rsidRDefault="00FF553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Konkurencijos taryba Nutarime nusprendė, kad nustatytas konkurencijos ribojimas gali turėti poveikį prekybai tarp valstybių narių (Nutarimo 213 </w:t>
      </w:r>
      <w:r w:rsidRPr="009C64EB">
        <w:rPr>
          <w:rFonts w:ascii="Times New Roman" w:eastAsia="Times New Roman" w:hAnsi="Times New Roman" w:cs="Times New Roman"/>
          <w:sz w:val="24"/>
          <w:szCs w:val="24"/>
          <w:lang w:val="lt-LT"/>
        </w:rPr>
        <w:sym w:font="Symbol" w:char="F02D"/>
      </w:r>
      <w:r w:rsidRPr="009C64EB">
        <w:rPr>
          <w:rFonts w:ascii="Times New Roman" w:eastAsia="Times New Roman" w:hAnsi="Times New Roman" w:cs="Times New Roman"/>
          <w:sz w:val="24"/>
          <w:szCs w:val="24"/>
          <w:lang w:val="lt-LT"/>
        </w:rPr>
        <w:t xml:space="preserve"> 221 p</w:t>
      </w:r>
      <w:r>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 bei konstatavo, kad nustatytas susitarimas pažeidė ir Sutarties dėl Europos Sąjungos veikimo 101 straipsnio 1 dalies a punkto reikalavimus  (Nutarimo rezoliucinės dalies 1 p</w:t>
      </w:r>
      <w:r>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w:t>
      </w:r>
    </w:p>
    <w:p w14:paraId="7E883501" w14:textId="67590B1B" w:rsidR="002B076F" w:rsidRPr="009C64EB" w:rsidRDefault="00D05605"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D05605">
        <w:rPr>
          <w:rFonts w:ascii="Times New Roman" w:eastAsia="Times New Roman" w:hAnsi="Times New Roman" w:cs="Times New Roman"/>
          <w:sz w:val="24"/>
          <w:szCs w:val="24"/>
          <w:lang w:val="lt-LT"/>
        </w:rPr>
        <w:lastRenderedPageBreak/>
        <w:t>Įvertin</w:t>
      </w:r>
      <w:r w:rsidR="009D4FAA">
        <w:rPr>
          <w:rFonts w:ascii="Times New Roman" w:eastAsia="Times New Roman" w:hAnsi="Times New Roman" w:cs="Times New Roman"/>
          <w:sz w:val="24"/>
          <w:szCs w:val="24"/>
          <w:lang w:val="lt-LT"/>
        </w:rPr>
        <w:t>ęs</w:t>
      </w:r>
      <w:r w:rsidRPr="00D05605">
        <w:rPr>
          <w:rFonts w:ascii="Times New Roman" w:eastAsia="Times New Roman" w:hAnsi="Times New Roman" w:cs="Times New Roman"/>
          <w:sz w:val="24"/>
          <w:szCs w:val="24"/>
          <w:lang w:val="lt-LT"/>
        </w:rPr>
        <w:t xml:space="preserve"> Išaiškinimų turinį</w:t>
      </w:r>
      <w:r w:rsidR="009D4FAA">
        <w:rPr>
          <w:rFonts w:ascii="Times New Roman" w:eastAsia="Times New Roman" w:hAnsi="Times New Roman" w:cs="Times New Roman"/>
          <w:sz w:val="24"/>
          <w:szCs w:val="24"/>
          <w:lang w:val="lt-LT"/>
        </w:rPr>
        <w:t>,</w:t>
      </w:r>
      <w:r w:rsidRPr="00D05605">
        <w:rPr>
          <w:rFonts w:ascii="Times New Roman" w:eastAsia="Times New Roman" w:hAnsi="Times New Roman" w:cs="Times New Roman"/>
          <w:sz w:val="24"/>
          <w:szCs w:val="24"/>
          <w:lang w:val="lt-LT"/>
        </w:rPr>
        <w:t xml:space="preserve"> </w:t>
      </w:r>
      <w:r w:rsidR="009D4FAA">
        <w:rPr>
          <w:rFonts w:ascii="Times New Roman" w:eastAsia="Times New Roman" w:hAnsi="Times New Roman" w:cs="Times New Roman"/>
          <w:sz w:val="24"/>
          <w:szCs w:val="24"/>
          <w:lang w:val="lt-LT"/>
        </w:rPr>
        <w:t>p</w:t>
      </w:r>
      <w:r w:rsidR="002B076F">
        <w:rPr>
          <w:rFonts w:ascii="Times New Roman" w:eastAsia="Times New Roman" w:hAnsi="Times New Roman" w:cs="Times New Roman"/>
          <w:sz w:val="24"/>
          <w:szCs w:val="24"/>
          <w:lang w:val="lt-LT"/>
        </w:rPr>
        <w:t>irmosios instancijos teismas skundžiamame s</w:t>
      </w:r>
      <w:r w:rsidR="00DE70F8">
        <w:rPr>
          <w:rFonts w:ascii="Times New Roman" w:eastAsia="Times New Roman" w:hAnsi="Times New Roman" w:cs="Times New Roman"/>
          <w:sz w:val="24"/>
          <w:szCs w:val="24"/>
          <w:lang w:val="lt-LT"/>
        </w:rPr>
        <w:t>prendime konstatavo, kad</w:t>
      </w:r>
      <w:r w:rsidRPr="00D05605">
        <w:rPr>
          <w:rFonts w:ascii="Times New Roman" w:eastAsia="Times New Roman" w:hAnsi="Times New Roman" w:cs="Times New Roman"/>
          <w:sz w:val="24"/>
          <w:szCs w:val="24"/>
          <w:lang w:val="lt-LT"/>
        </w:rPr>
        <w:t xml:space="preserve">, nėra pagrindo išvadai, </w:t>
      </w:r>
      <w:r w:rsidR="009D4FAA">
        <w:rPr>
          <w:rFonts w:ascii="Times New Roman" w:eastAsia="Times New Roman" w:hAnsi="Times New Roman" w:cs="Times New Roman"/>
          <w:sz w:val="24"/>
          <w:szCs w:val="24"/>
          <w:lang w:val="lt-LT"/>
        </w:rPr>
        <w:t>jog</w:t>
      </w:r>
      <w:r w:rsidRPr="00D05605">
        <w:rPr>
          <w:rFonts w:ascii="Times New Roman" w:eastAsia="Times New Roman" w:hAnsi="Times New Roman" w:cs="Times New Roman"/>
          <w:sz w:val="24"/>
          <w:szCs w:val="24"/>
          <w:lang w:val="lt-LT"/>
        </w:rPr>
        <w:t xml:space="preserve"> jų priėmimas galėtų/galėjo sukelti neigiamas pasekmes konkurencijai</w:t>
      </w:r>
      <w:r w:rsidR="00EC2DE2">
        <w:rPr>
          <w:rFonts w:ascii="Times New Roman" w:eastAsia="Times New Roman" w:hAnsi="Times New Roman" w:cs="Times New Roman"/>
          <w:sz w:val="24"/>
          <w:szCs w:val="24"/>
          <w:lang w:val="lt-LT"/>
        </w:rPr>
        <w:t>.</w:t>
      </w:r>
    </w:p>
    <w:p w14:paraId="7C53904D" w14:textId="0A7309CC" w:rsidR="00FF5531" w:rsidRDefault="008D282F"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F34039">
        <w:rPr>
          <w:rFonts w:ascii="Times New Roman" w:eastAsia="Times New Roman" w:hAnsi="Times New Roman" w:cs="Times New Roman"/>
          <w:sz w:val="24"/>
          <w:szCs w:val="24"/>
          <w:lang w:val="lt-LT"/>
        </w:rPr>
        <w:t xml:space="preserve">Apeliaciniame skunde </w:t>
      </w:r>
      <w:r w:rsidR="008C5DE8" w:rsidRPr="00F34039">
        <w:rPr>
          <w:rFonts w:ascii="Times New Roman" w:eastAsia="Times New Roman" w:hAnsi="Times New Roman" w:cs="Times New Roman"/>
          <w:sz w:val="24"/>
          <w:szCs w:val="24"/>
          <w:lang w:val="lt-LT"/>
        </w:rPr>
        <w:t>n</w:t>
      </w:r>
      <w:r w:rsidR="009318AC" w:rsidRPr="00F34039">
        <w:rPr>
          <w:rFonts w:ascii="Times New Roman" w:eastAsia="Times New Roman" w:hAnsi="Times New Roman" w:cs="Times New Roman"/>
          <w:sz w:val="24"/>
          <w:szCs w:val="24"/>
          <w:lang w:val="lt-LT"/>
        </w:rPr>
        <w:t xml:space="preserve">esutikdama su </w:t>
      </w:r>
      <w:r w:rsidR="009318AC">
        <w:rPr>
          <w:rFonts w:ascii="Times New Roman" w:eastAsia="Times New Roman" w:hAnsi="Times New Roman" w:cs="Times New Roman"/>
          <w:sz w:val="24"/>
          <w:szCs w:val="24"/>
          <w:lang w:val="lt-LT"/>
        </w:rPr>
        <w:t xml:space="preserve">tokiu vertinimu, Taryba </w:t>
      </w:r>
      <w:r w:rsidR="0063418C">
        <w:rPr>
          <w:rFonts w:ascii="Times New Roman" w:eastAsia="Times New Roman" w:hAnsi="Times New Roman" w:cs="Times New Roman"/>
          <w:sz w:val="24"/>
          <w:szCs w:val="24"/>
          <w:lang w:val="lt-LT"/>
        </w:rPr>
        <w:t>Nutarime išdėstytą poziciją grindžia argumentais</w:t>
      </w:r>
      <w:r w:rsidR="009318AC">
        <w:rPr>
          <w:rFonts w:ascii="Times New Roman" w:eastAsia="Times New Roman" w:hAnsi="Times New Roman" w:cs="Times New Roman"/>
          <w:sz w:val="24"/>
          <w:szCs w:val="24"/>
          <w:lang w:val="lt-LT"/>
        </w:rPr>
        <w:t xml:space="preserve">, </w:t>
      </w:r>
      <w:r w:rsidR="00FF5531" w:rsidRPr="009C64EB">
        <w:rPr>
          <w:rFonts w:ascii="Times New Roman" w:eastAsia="Times New Roman" w:hAnsi="Times New Roman" w:cs="Times New Roman"/>
          <w:sz w:val="24"/>
          <w:szCs w:val="24"/>
          <w:lang w:val="lt-LT"/>
        </w:rPr>
        <w:t>kad Notarų rūmų ir Notarų veiksmai apima visą Lietuvos teritoriją, be to, notarų įkainiai yra taikomi ne tik Lietuvos, bet ir kitų valstybių narių subjektams, besinaudojantiems notarų paslaugomis Lietuvoje.</w:t>
      </w:r>
    </w:p>
    <w:p w14:paraId="263C2BD7" w14:textId="7AE8D798" w:rsidR="00ED5BE3" w:rsidRDefault="004E2842"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Pareiškėjai</w:t>
      </w:r>
      <w:r w:rsidR="00EF2F5D">
        <w:rPr>
          <w:rFonts w:ascii="Times New Roman" w:eastAsia="Times New Roman" w:hAnsi="Times New Roman" w:cs="Times New Roman"/>
          <w:sz w:val="24"/>
          <w:szCs w:val="24"/>
          <w:lang w:val="lt-LT"/>
        </w:rPr>
        <w:t xml:space="preserve"> su </w:t>
      </w:r>
      <w:r w:rsidR="00F62F58">
        <w:rPr>
          <w:rFonts w:ascii="Times New Roman" w:eastAsia="Times New Roman" w:hAnsi="Times New Roman" w:cs="Times New Roman"/>
          <w:sz w:val="24"/>
          <w:szCs w:val="24"/>
          <w:lang w:val="lt-LT"/>
        </w:rPr>
        <w:t>Tarybos</w:t>
      </w:r>
      <w:r w:rsidR="00EF2F5D">
        <w:rPr>
          <w:rFonts w:ascii="Times New Roman" w:eastAsia="Times New Roman" w:hAnsi="Times New Roman" w:cs="Times New Roman"/>
          <w:sz w:val="24"/>
          <w:szCs w:val="24"/>
          <w:lang w:val="lt-LT"/>
        </w:rPr>
        <w:t xml:space="preserve"> pozicija nesutinka</w:t>
      </w:r>
      <w:r>
        <w:rPr>
          <w:rFonts w:ascii="Times New Roman" w:eastAsia="Times New Roman" w:hAnsi="Times New Roman" w:cs="Times New Roman"/>
          <w:sz w:val="24"/>
          <w:szCs w:val="24"/>
          <w:lang w:val="lt-LT"/>
        </w:rPr>
        <w:t>, iš esmės nu</w:t>
      </w:r>
      <w:r w:rsidR="007F5C55">
        <w:rPr>
          <w:rFonts w:ascii="Times New Roman" w:eastAsia="Times New Roman" w:hAnsi="Times New Roman" w:cs="Times New Roman"/>
          <w:sz w:val="24"/>
          <w:szCs w:val="24"/>
          <w:lang w:val="lt-LT"/>
        </w:rPr>
        <w:t xml:space="preserve">rodydami, kad </w:t>
      </w:r>
      <w:r w:rsidR="007F5C55" w:rsidRPr="009C64EB">
        <w:rPr>
          <w:rFonts w:ascii="Times New Roman" w:eastAsia="Times New Roman" w:hAnsi="Times New Roman" w:cs="Times New Roman"/>
          <w:sz w:val="24"/>
          <w:szCs w:val="24"/>
          <w:lang w:val="lt-LT"/>
        </w:rPr>
        <w:t>SESV 101 straipsn</w:t>
      </w:r>
      <w:r w:rsidR="007F5C55">
        <w:rPr>
          <w:rFonts w:ascii="Times New Roman" w:eastAsia="Times New Roman" w:hAnsi="Times New Roman" w:cs="Times New Roman"/>
          <w:sz w:val="24"/>
          <w:szCs w:val="24"/>
          <w:lang w:val="lt-LT"/>
        </w:rPr>
        <w:t xml:space="preserve">is </w:t>
      </w:r>
      <w:r w:rsidR="007F5C55" w:rsidRPr="009C64EB">
        <w:rPr>
          <w:rFonts w:ascii="Times New Roman" w:eastAsia="Times New Roman" w:hAnsi="Times New Roman" w:cs="Times New Roman"/>
          <w:sz w:val="24"/>
          <w:szCs w:val="24"/>
          <w:lang w:val="lt-LT"/>
        </w:rPr>
        <w:t>net teoriškai negali būti taikom</w:t>
      </w:r>
      <w:r w:rsidR="00DF5596">
        <w:rPr>
          <w:rFonts w:ascii="Times New Roman" w:eastAsia="Times New Roman" w:hAnsi="Times New Roman" w:cs="Times New Roman"/>
          <w:sz w:val="24"/>
          <w:szCs w:val="24"/>
          <w:lang w:val="lt-LT"/>
        </w:rPr>
        <w:t>a</w:t>
      </w:r>
      <w:r w:rsidR="007F5C55" w:rsidRPr="009C64EB">
        <w:rPr>
          <w:rFonts w:ascii="Times New Roman" w:eastAsia="Times New Roman" w:hAnsi="Times New Roman" w:cs="Times New Roman"/>
          <w:sz w:val="24"/>
          <w:szCs w:val="24"/>
          <w:lang w:val="lt-LT"/>
        </w:rPr>
        <w:t>s Lietuvos notarų rūmų ir Prezidiumo veiksm</w:t>
      </w:r>
      <w:r w:rsidR="00FD47C7">
        <w:rPr>
          <w:rFonts w:ascii="Times New Roman" w:eastAsia="Times New Roman" w:hAnsi="Times New Roman" w:cs="Times New Roman"/>
          <w:sz w:val="24"/>
          <w:szCs w:val="24"/>
          <w:lang w:val="lt-LT"/>
        </w:rPr>
        <w:t>ams</w:t>
      </w:r>
      <w:r w:rsidR="00572F25">
        <w:rPr>
          <w:rFonts w:ascii="Times New Roman" w:eastAsia="Times New Roman" w:hAnsi="Times New Roman" w:cs="Times New Roman"/>
          <w:sz w:val="24"/>
          <w:szCs w:val="24"/>
          <w:lang w:val="lt-LT"/>
        </w:rPr>
        <w:t>, nes</w:t>
      </w:r>
      <w:r w:rsidR="007F5C55" w:rsidRPr="009C64EB">
        <w:rPr>
          <w:rFonts w:ascii="Times New Roman" w:eastAsia="Times New Roman" w:hAnsi="Times New Roman" w:cs="Times New Roman"/>
          <w:sz w:val="24"/>
          <w:szCs w:val="24"/>
          <w:lang w:val="lt-LT"/>
        </w:rPr>
        <w:t xml:space="preserve"> ES valstybių narių notarinių paslaugų rinkos dėl notarinių veiksmų pobūdžio ir nacionalinio reguliavimo kiekvienoje valstybėje nesudaro bendros notarinių paslaugų rinkos. </w:t>
      </w:r>
    </w:p>
    <w:p w14:paraId="7C037299" w14:textId="76089082" w:rsidR="00333DCB" w:rsidRPr="00F907D9" w:rsidRDefault="00FC7CBC"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F907D9">
        <w:rPr>
          <w:rFonts w:ascii="Times New Roman" w:eastAsia="Times New Roman" w:hAnsi="Times New Roman" w:cs="Times New Roman"/>
          <w:sz w:val="24"/>
          <w:szCs w:val="24"/>
          <w:lang w:val="lt-LT"/>
        </w:rPr>
        <w:t xml:space="preserve">Išplėstinė teisėjų kolegija nagrinėjamu aspektu pirmiausia atkreipia dėmesį, kad šioje byloje aktualus notarų veiklos atitikties konkurencijos teisės normoms vertinimas </w:t>
      </w:r>
      <w:r w:rsidR="000B2F21" w:rsidRPr="00F907D9">
        <w:rPr>
          <w:rFonts w:ascii="Times New Roman" w:eastAsia="Times New Roman" w:hAnsi="Times New Roman" w:cs="Times New Roman"/>
          <w:sz w:val="24"/>
          <w:szCs w:val="24"/>
          <w:lang w:val="lt-LT"/>
        </w:rPr>
        <w:t>šiai dienai</w:t>
      </w:r>
      <w:r w:rsidRPr="00F907D9">
        <w:rPr>
          <w:rFonts w:ascii="Times New Roman" w:eastAsia="Times New Roman" w:hAnsi="Times New Roman" w:cs="Times New Roman"/>
          <w:sz w:val="24"/>
          <w:szCs w:val="24"/>
          <w:lang w:val="lt-LT"/>
        </w:rPr>
        <w:t xml:space="preserve"> yra unikalus Lietuvos teisės sistem</w:t>
      </w:r>
      <w:r w:rsidR="00C33172" w:rsidRPr="00F907D9">
        <w:rPr>
          <w:rFonts w:ascii="Times New Roman" w:eastAsia="Times New Roman" w:hAnsi="Times New Roman" w:cs="Times New Roman"/>
          <w:sz w:val="24"/>
          <w:szCs w:val="24"/>
          <w:lang w:val="lt-LT"/>
        </w:rPr>
        <w:t>ai</w:t>
      </w:r>
      <w:r w:rsidRPr="00F907D9">
        <w:rPr>
          <w:rFonts w:ascii="Times New Roman" w:eastAsia="Times New Roman" w:hAnsi="Times New Roman" w:cs="Times New Roman"/>
          <w:sz w:val="24"/>
          <w:szCs w:val="24"/>
          <w:lang w:val="lt-LT"/>
        </w:rPr>
        <w:t xml:space="preserve"> požiūris į konkurencijos ir notariato teisės sąveiką. </w:t>
      </w:r>
      <w:r w:rsidR="009B7483" w:rsidRPr="00F907D9">
        <w:rPr>
          <w:rFonts w:ascii="Times New Roman" w:eastAsia="Times New Roman" w:hAnsi="Times New Roman" w:cs="Times New Roman"/>
          <w:sz w:val="24"/>
          <w:szCs w:val="24"/>
          <w:lang w:val="lt-LT"/>
        </w:rPr>
        <w:t xml:space="preserve">Vis dėlto, nors </w:t>
      </w:r>
      <w:r w:rsidR="00BF7FC1" w:rsidRPr="00F907D9">
        <w:rPr>
          <w:rFonts w:ascii="Times New Roman" w:eastAsia="Times New Roman" w:hAnsi="Times New Roman" w:cs="Times New Roman"/>
          <w:sz w:val="24"/>
          <w:szCs w:val="24"/>
          <w:lang w:val="lt-LT"/>
        </w:rPr>
        <w:t xml:space="preserve">Lietuvoje </w:t>
      </w:r>
      <w:r w:rsidR="006071C0" w:rsidRPr="00F907D9">
        <w:rPr>
          <w:rFonts w:ascii="Times New Roman" w:eastAsia="Times New Roman" w:hAnsi="Times New Roman" w:cs="Times New Roman"/>
          <w:sz w:val="24"/>
          <w:szCs w:val="24"/>
          <w:lang w:val="lt-LT"/>
        </w:rPr>
        <w:t>toks p</w:t>
      </w:r>
      <w:r w:rsidR="00206A75" w:rsidRPr="00F907D9">
        <w:rPr>
          <w:rFonts w:ascii="Times New Roman" w:eastAsia="Times New Roman" w:hAnsi="Times New Roman" w:cs="Times New Roman"/>
          <w:sz w:val="24"/>
          <w:szCs w:val="24"/>
          <w:lang w:val="lt-LT"/>
        </w:rPr>
        <w:t xml:space="preserve">ožiūris dar tik </w:t>
      </w:r>
      <w:r w:rsidR="003B27B1" w:rsidRPr="00F907D9">
        <w:rPr>
          <w:rFonts w:ascii="Times New Roman" w:eastAsia="Times New Roman" w:hAnsi="Times New Roman" w:cs="Times New Roman"/>
          <w:sz w:val="24"/>
          <w:szCs w:val="24"/>
          <w:lang w:val="lt-LT"/>
        </w:rPr>
        <w:t xml:space="preserve">pradeda </w:t>
      </w:r>
      <w:r w:rsidR="00206A75" w:rsidRPr="00F907D9">
        <w:rPr>
          <w:rFonts w:ascii="Times New Roman" w:eastAsia="Times New Roman" w:hAnsi="Times New Roman" w:cs="Times New Roman"/>
          <w:sz w:val="24"/>
          <w:szCs w:val="24"/>
          <w:lang w:val="lt-LT"/>
        </w:rPr>
        <w:t>formuo</w:t>
      </w:r>
      <w:r w:rsidR="003B27B1" w:rsidRPr="00F907D9">
        <w:rPr>
          <w:rFonts w:ascii="Times New Roman" w:eastAsia="Times New Roman" w:hAnsi="Times New Roman" w:cs="Times New Roman"/>
          <w:sz w:val="24"/>
          <w:szCs w:val="24"/>
          <w:lang w:val="lt-LT"/>
        </w:rPr>
        <w:t>tis</w:t>
      </w:r>
      <w:r w:rsidR="00206A75" w:rsidRPr="00F907D9">
        <w:rPr>
          <w:rFonts w:ascii="Times New Roman" w:eastAsia="Times New Roman" w:hAnsi="Times New Roman" w:cs="Times New Roman"/>
          <w:sz w:val="24"/>
          <w:szCs w:val="24"/>
          <w:lang w:val="lt-LT"/>
        </w:rPr>
        <w:t xml:space="preserve">, Europos Komisija </w:t>
      </w:r>
      <w:r w:rsidR="00687D44" w:rsidRPr="00F907D9">
        <w:rPr>
          <w:rFonts w:ascii="Times New Roman" w:eastAsia="Times New Roman" w:hAnsi="Times New Roman" w:cs="Times New Roman"/>
          <w:sz w:val="24"/>
          <w:szCs w:val="24"/>
          <w:lang w:val="lt-LT"/>
        </w:rPr>
        <w:t xml:space="preserve">(toliau – ir Komisija) </w:t>
      </w:r>
      <w:r w:rsidR="00206A75" w:rsidRPr="00F907D9">
        <w:rPr>
          <w:rFonts w:ascii="Times New Roman" w:eastAsia="Times New Roman" w:hAnsi="Times New Roman" w:cs="Times New Roman"/>
          <w:sz w:val="24"/>
          <w:szCs w:val="24"/>
          <w:lang w:val="lt-LT"/>
        </w:rPr>
        <w:t xml:space="preserve">jau </w:t>
      </w:r>
      <w:r w:rsidR="00C102BB" w:rsidRPr="00F907D9">
        <w:rPr>
          <w:rFonts w:ascii="Times New Roman" w:eastAsia="Times New Roman" w:hAnsi="Times New Roman" w:cs="Times New Roman"/>
          <w:sz w:val="24"/>
          <w:szCs w:val="24"/>
          <w:lang w:val="lt-LT"/>
        </w:rPr>
        <w:t xml:space="preserve">2005 metais laikėsi pozicijos, kad </w:t>
      </w:r>
      <w:r w:rsidR="0020422F" w:rsidRPr="00F907D9">
        <w:rPr>
          <w:rFonts w:ascii="Times New Roman" w:eastAsia="Times New Roman" w:hAnsi="Times New Roman" w:cs="Times New Roman"/>
          <w:sz w:val="24"/>
          <w:szCs w:val="24"/>
          <w:lang w:val="lt-LT"/>
        </w:rPr>
        <w:t xml:space="preserve">notarai nėra </w:t>
      </w:r>
      <w:r w:rsidR="004357EC" w:rsidRPr="00F907D9">
        <w:rPr>
          <w:rFonts w:ascii="Times New Roman" w:eastAsia="Times New Roman" w:hAnsi="Times New Roman" w:cs="Times New Roman"/>
          <w:sz w:val="24"/>
          <w:szCs w:val="24"/>
          <w:lang w:val="lt-LT"/>
        </w:rPr>
        <w:t xml:space="preserve">atleisti nuo </w:t>
      </w:r>
      <w:r w:rsidR="007871EB" w:rsidRPr="00F907D9">
        <w:rPr>
          <w:rFonts w:ascii="Times New Roman" w:eastAsia="Times New Roman" w:hAnsi="Times New Roman" w:cs="Times New Roman"/>
          <w:sz w:val="24"/>
          <w:szCs w:val="24"/>
          <w:lang w:val="lt-LT"/>
        </w:rPr>
        <w:t xml:space="preserve">ES konkurencijos taisyklių </w:t>
      </w:r>
      <w:r w:rsidR="0085613F" w:rsidRPr="00F907D9">
        <w:rPr>
          <w:rFonts w:ascii="Times New Roman" w:eastAsia="Times New Roman" w:hAnsi="Times New Roman" w:cs="Times New Roman"/>
          <w:sz w:val="24"/>
          <w:szCs w:val="24"/>
          <w:lang w:val="lt-LT"/>
        </w:rPr>
        <w:t xml:space="preserve">laikymosi tiek, kiek jų veikla apima </w:t>
      </w:r>
      <w:r w:rsidR="002964F2" w:rsidRPr="00F907D9">
        <w:rPr>
          <w:rFonts w:ascii="Times New Roman" w:eastAsia="Times New Roman" w:hAnsi="Times New Roman" w:cs="Times New Roman"/>
          <w:sz w:val="24"/>
          <w:szCs w:val="24"/>
          <w:lang w:val="lt-LT"/>
        </w:rPr>
        <w:t>ekonominės veiklos vykdymą</w:t>
      </w:r>
      <w:r w:rsidR="007359E6" w:rsidRPr="00F907D9">
        <w:rPr>
          <w:rFonts w:ascii="Times New Roman" w:eastAsia="Times New Roman" w:hAnsi="Times New Roman" w:cs="Times New Roman"/>
          <w:sz w:val="24"/>
          <w:szCs w:val="24"/>
          <w:lang w:val="lt-LT"/>
        </w:rPr>
        <w:t xml:space="preserve">. </w:t>
      </w:r>
      <w:r w:rsidR="00E838D7" w:rsidRPr="00F907D9">
        <w:rPr>
          <w:rFonts w:ascii="Times New Roman" w:eastAsia="Times New Roman" w:hAnsi="Times New Roman" w:cs="Times New Roman"/>
          <w:sz w:val="24"/>
          <w:szCs w:val="24"/>
          <w:lang w:val="lt-LT"/>
        </w:rPr>
        <w:t>K</w:t>
      </w:r>
      <w:r w:rsidR="007130D0" w:rsidRPr="00F907D9">
        <w:rPr>
          <w:rFonts w:ascii="Times New Roman" w:eastAsia="Times New Roman" w:hAnsi="Times New Roman" w:cs="Times New Roman"/>
          <w:sz w:val="24"/>
          <w:szCs w:val="24"/>
          <w:lang w:val="lt-LT"/>
        </w:rPr>
        <w:t>onkrečiai</w:t>
      </w:r>
      <w:r w:rsidR="00E838D7" w:rsidRPr="00F907D9">
        <w:rPr>
          <w:rFonts w:ascii="Times New Roman" w:eastAsia="Times New Roman" w:hAnsi="Times New Roman" w:cs="Times New Roman"/>
          <w:sz w:val="24"/>
          <w:szCs w:val="24"/>
          <w:lang w:val="lt-LT"/>
        </w:rPr>
        <w:t xml:space="preserve">, atsižvelgdama į </w:t>
      </w:r>
      <w:r w:rsidR="00471F78" w:rsidRPr="00F907D9">
        <w:rPr>
          <w:rFonts w:ascii="Times New Roman" w:eastAsia="Times New Roman" w:hAnsi="Times New Roman" w:cs="Times New Roman"/>
          <w:sz w:val="24"/>
          <w:szCs w:val="24"/>
          <w:lang w:val="lt-LT"/>
        </w:rPr>
        <w:t>l</w:t>
      </w:r>
      <w:r w:rsidR="00E838D7" w:rsidRPr="00F907D9">
        <w:rPr>
          <w:rFonts w:ascii="Times New Roman" w:eastAsia="Times New Roman" w:hAnsi="Times New Roman" w:cs="Times New Roman"/>
          <w:sz w:val="24"/>
          <w:szCs w:val="24"/>
          <w:lang w:val="lt-LT"/>
        </w:rPr>
        <w:t xml:space="preserve">otyniškojo notariato specifiką, Komisija pripažino, kad šioje griežtai reguliuojamoje rinkoje kainų reguliavimas gali būti </w:t>
      </w:r>
      <w:r w:rsidR="00A0656B" w:rsidRPr="00F907D9">
        <w:rPr>
          <w:rFonts w:ascii="Times New Roman" w:eastAsia="Times New Roman" w:hAnsi="Times New Roman" w:cs="Times New Roman"/>
          <w:sz w:val="24"/>
          <w:szCs w:val="24"/>
          <w:lang w:val="lt-LT"/>
        </w:rPr>
        <w:t>reikalingas</w:t>
      </w:r>
      <w:r w:rsidR="00E838D7" w:rsidRPr="00F907D9">
        <w:rPr>
          <w:rFonts w:ascii="Times New Roman" w:eastAsia="Times New Roman" w:hAnsi="Times New Roman" w:cs="Times New Roman"/>
          <w:sz w:val="24"/>
          <w:szCs w:val="24"/>
          <w:lang w:val="lt-LT"/>
        </w:rPr>
        <w:t xml:space="preserve"> siekiant apsaugoti vartotoj</w:t>
      </w:r>
      <w:r w:rsidR="00B17AAB" w:rsidRPr="00F907D9">
        <w:rPr>
          <w:rFonts w:ascii="Times New Roman" w:eastAsia="Times New Roman" w:hAnsi="Times New Roman" w:cs="Times New Roman"/>
          <w:sz w:val="24"/>
          <w:szCs w:val="24"/>
          <w:lang w:val="lt-LT"/>
        </w:rPr>
        <w:t>ų interesus</w:t>
      </w:r>
      <w:r w:rsidR="00471F78" w:rsidRPr="00F907D9">
        <w:rPr>
          <w:rFonts w:ascii="Times New Roman" w:eastAsia="Times New Roman" w:hAnsi="Times New Roman" w:cs="Times New Roman"/>
          <w:sz w:val="24"/>
          <w:szCs w:val="24"/>
          <w:lang w:val="lt-LT"/>
        </w:rPr>
        <w:t>. Vis dėlto, Komisijos požiūriu,</w:t>
      </w:r>
      <w:r w:rsidR="00E838D7" w:rsidRPr="00F907D9">
        <w:rPr>
          <w:rFonts w:ascii="Times New Roman" w:eastAsia="Times New Roman" w:hAnsi="Times New Roman" w:cs="Times New Roman"/>
          <w:sz w:val="24"/>
          <w:szCs w:val="24"/>
          <w:lang w:val="lt-LT"/>
        </w:rPr>
        <w:t xml:space="preserve"> tai nereiškia, kad </w:t>
      </w:r>
      <w:r w:rsidR="00B17AAB" w:rsidRPr="00F907D9">
        <w:rPr>
          <w:rFonts w:ascii="Times New Roman" w:eastAsia="Times New Roman" w:hAnsi="Times New Roman" w:cs="Times New Roman"/>
          <w:sz w:val="24"/>
          <w:szCs w:val="24"/>
          <w:lang w:val="lt-LT"/>
        </w:rPr>
        <w:t xml:space="preserve">kainų reguliavimo panaikinimas </w:t>
      </w:r>
      <w:r w:rsidR="00E838D7" w:rsidRPr="00F907D9">
        <w:rPr>
          <w:rFonts w:ascii="Times New Roman" w:eastAsia="Times New Roman" w:hAnsi="Times New Roman" w:cs="Times New Roman"/>
          <w:sz w:val="24"/>
          <w:szCs w:val="24"/>
          <w:lang w:val="lt-LT"/>
        </w:rPr>
        <w:t>neįmanomas</w:t>
      </w:r>
      <w:r w:rsidR="00BC1870" w:rsidRPr="00F907D9">
        <w:rPr>
          <w:rFonts w:ascii="Times New Roman" w:eastAsia="Times New Roman" w:hAnsi="Times New Roman" w:cs="Times New Roman"/>
          <w:sz w:val="24"/>
          <w:szCs w:val="24"/>
          <w:lang w:val="lt-LT"/>
        </w:rPr>
        <w:t xml:space="preserve"> – pr</w:t>
      </w:r>
      <w:r w:rsidR="006B571C" w:rsidRPr="00F907D9">
        <w:rPr>
          <w:rFonts w:ascii="Times New Roman" w:eastAsia="Times New Roman" w:hAnsi="Times New Roman" w:cs="Times New Roman"/>
          <w:sz w:val="24"/>
          <w:szCs w:val="24"/>
          <w:lang w:val="lt-LT"/>
        </w:rPr>
        <w:t xml:space="preserve">iešingai, </w:t>
      </w:r>
      <w:r w:rsidR="006A5922" w:rsidRPr="00F907D9">
        <w:rPr>
          <w:rFonts w:ascii="Times New Roman" w:eastAsia="Times New Roman" w:hAnsi="Times New Roman" w:cs="Times New Roman"/>
          <w:sz w:val="24"/>
          <w:szCs w:val="24"/>
          <w:lang w:val="lt-LT"/>
        </w:rPr>
        <w:t xml:space="preserve">reglamentavimo </w:t>
      </w:r>
      <w:r w:rsidR="00C05AD6" w:rsidRPr="00F907D9">
        <w:rPr>
          <w:rFonts w:ascii="Times New Roman" w:eastAsia="Times New Roman" w:hAnsi="Times New Roman" w:cs="Times New Roman"/>
          <w:sz w:val="24"/>
          <w:szCs w:val="24"/>
          <w:lang w:val="lt-LT"/>
        </w:rPr>
        <w:t xml:space="preserve">korekcijos </w:t>
      </w:r>
      <w:r w:rsidR="00453023" w:rsidRPr="00F907D9">
        <w:rPr>
          <w:rFonts w:ascii="Times New Roman" w:eastAsia="Times New Roman" w:hAnsi="Times New Roman" w:cs="Times New Roman"/>
          <w:sz w:val="24"/>
          <w:szCs w:val="24"/>
          <w:lang w:val="lt-LT"/>
        </w:rPr>
        <w:t>šio</w:t>
      </w:r>
      <w:r w:rsidR="00C05AD6" w:rsidRPr="00F907D9">
        <w:rPr>
          <w:rFonts w:ascii="Times New Roman" w:eastAsia="Times New Roman" w:hAnsi="Times New Roman" w:cs="Times New Roman"/>
          <w:sz w:val="24"/>
          <w:szCs w:val="24"/>
          <w:lang w:val="lt-LT"/>
        </w:rPr>
        <w:t>je</w:t>
      </w:r>
      <w:r w:rsidR="00B0366E" w:rsidRPr="00F907D9">
        <w:rPr>
          <w:rFonts w:ascii="Times New Roman" w:eastAsia="Times New Roman" w:hAnsi="Times New Roman" w:cs="Times New Roman"/>
          <w:sz w:val="24"/>
          <w:szCs w:val="24"/>
          <w:lang w:val="lt-LT"/>
        </w:rPr>
        <w:t xml:space="preserve"> srit</w:t>
      </w:r>
      <w:r w:rsidR="00C05AD6" w:rsidRPr="00F907D9">
        <w:rPr>
          <w:rFonts w:ascii="Times New Roman" w:eastAsia="Times New Roman" w:hAnsi="Times New Roman" w:cs="Times New Roman"/>
          <w:sz w:val="24"/>
          <w:szCs w:val="24"/>
          <w:lang w:val="lt-LT"/>
        </w:rPr>
        <w:t>yje</w:t>
      </w:r>
      <w:r w:rsidR="00B0366E" w:rsidRPr="00F907D9">
        <w:rPr>
          <w:rFonts w:ascii="Times New Roman" w:eastAsia="Times New Roman" w:hAnsi="Times New Roman" w:cs="Times New Roman"/>
          <w:sz w:val="24"/>
          <w:szCs w:val="24"/>
          <w:lang w:val="lt-LT"/>
        </w:rPr>
        <w:t xml:space="preserve"> </w:t>
      </w:r>
      <w:r w:rsidR="0012557F" w:rsidRPr="00F907D9">
        <w:rPr>
          <w:rFonts w:ascii="Times New Roman" w:eastAsia="Times New Roman" w:hAnsi="Times New Roman" w:cs="Times New Roman"/>
          <w:sz w:val="24"/>
          <w:szCs w:val="24"/>
          <w:lang w:val="lt-LT"/>
        </w:rPr>
        <w:t>gali suponuoti</w:t>
      </w:r>
      <w:r w:rsidR="00E71F91">
        <w:rPr>
          <w:rFonts w:ascii="Times New Roman" w:eastAsia="Times New Roman" w:hAnsi="Times New Roman" w:cs="Times New Roman"/>
          <w:sz w:val="24"/>
          <w:szCs w:val="24"/>
          <w:lang w:val="lt-LT"/>
        </w:rPr>
        <w:t xml:space="preserve"> ir</w:t>
      </w:r>
      <w:r w:rsidR="006B571C" w:rsidRPr="00F907D9">
        <w:rPr>
          <w:rFonts w:ascii="Times New Roman" w:eastAsia="Times New Roman" w:hAnsi="Times New Roman" w:cs="Times New Roman"/>
          <w:sz w:val="24"/>
          <w:szCs w:val="24"/>
          <w:lang w:val="lt-LT"/>
        </w:rPr>
        <w:t xml:space="preserve"> kit</w:t>
      </w:r>
      <w:r w:rsidR="0012557F" w:rsidRPr="00F907D9">
        <w:rPr>
          <w:rFonts w:ascii="Times New Roman" w:eastAsia="Times New Roman" w:hAnsi="Times New Roman" w:cs="Times New Roman"/>
          <w:sz w:val="24"/>
          <w:szCs w:val="24"/>
          <w:lang w:val="lt-LT"/>
        </w:rPr>
        <w:t>ų</w:t>
      </w:r>
      <w:r w:rsidR="006B571C" w:rsidRPr="00F907D9">
        <w:rPr>
          <w:rFonts w:ascii="Times New Roman" w:eastAsia="Times New Roman" w:hAnsi="Times New Roman" w:cs="Times New Roman"/>
          <w:sz w:val="24"/>
          <w:szCs w:val="24"/>
          <w:lang w:val="lt-LT"/>
        </w:rPr>
        <w:t xml:space="preserve"> platesn</w:t>
      </w:r>
      <w:r w:rsidR="0012557F" w:rsidRPr="00F907D9">
        <w:rPr>
          <w:rFonts w:ascii="Times New Roman" w:eastAsia="Times New Roman" w:hAnsi="Times New Roman" w:cs="Times New Roman"/>
          <w:sz w:val="24"/>
          <w:szCs w:val="24"/>
          <w:lang w:val="lt-LT"/>
        </w:rPr>
        <w:t>ių</w:t>
      </w:r>
      <w:r w:rsidR="006B571C" w:rsidRPr="00F907D9">
        <w:rPr>
          <w:rFonts w:ascii="Times New Roman" w:eastAsia="Times New Roman" w:hAnsi="Times New Roman" w:cs="Times New Roman"/>
          <w:sz w:val="24"/>
          <w:szCs w:val="24"/>
          <w:lang w:val="lt-LT"/>
        </w:rPr>
        <w:t xml:space="preserve"> reform</w:t>
      </w:r>
      <w:r w:rsidR="00E74BA0" w:rsidRPr="00F907D9">
        <w:rPr>
          <w:rFonts w:ascii="Times New Roman" w:eastAsia="Times New Roman" w:hAnsi="Times New Roman" w:cs="Times New Roman"/>
          <w:sz w:val="24"/>
          <w:szCs w:val="24"/>
          <w:lang w:val="lt-LT"/>
        </w:rPr>
        <w:t>ų</w:t>
      </w:r>
      <w:r w:rsidR="004E13A8" w:rsidRPr="00F907D9">
        <w:rPr>
          <w:rFonts w:ascii="Times New Roman" w:eastAsia="Times New Roman" w:hAnsi="Times New Roman" w:cs="Times New Roman"/>
          <w:sz w:val="24"/>
          <w:szCs w:val="24"/>
          <w:lang w:val="lt-LT"/>
        </w:rPr>
        <w:t xml:space="preserve"> poreikį</w:t>
      </w:r>
      <w:r w:rsidR="006B571C" w:rsidRPr="00F907D9">
        <w:rPr>
          <w:rFonts w:ascii="Times New Roman" w:eastAsia="Times New Roman" w:hAnsi="Times New Roman" w:cs="Times New Roman"/>
          <w:sz w:val="24"/>
          <w:szCs w:val="24"/>
          <w:lang w:val="lt-LT"/>
        </w:rPr>
        <w:t xml:space="preserve"> (pvz., įėjimo į rinką apribojimų sušvelninim</w:t>
      </w:r>
      <w:r w:rsidR="004E13A8" w:rsidRPr="00F907D9">
        <w:rPr>
          <w:rFonts w:ascii="Times New Roman" w:eastAsia="Times New Roman" w:hAnsi="Times New Roman" w:cs="Times New Roman"/>
          <w:sz w:val="24"/>
          <w:szCs w:val="24"/>
          <w:lang w:val="lt-LT"/>
        </w:rPr>
        <w:t>ą</w:t>
      </w:r>
      <w:r w:rsidR="006B571C" w:rsidRPr="00F907D9">
        <w:rPr>
          <w:rFonts w:ascii="Times New Roman" w:eastAsia="Times New Roman" w:hAnsi="Times New Roman" w:cs="Times New Roman"/>
          <w:sz w:val="24"/>
          <w:szCs w:val="24"/>
          <w:lang w:val="lt-LT"/>
        </w:rPr>
        <w:t xml:space="preserve"> arba tam tikrų monopolinių teisių panaikinim</w:t>
      </w:r>
      <w:r w:rsidR="004E13A8" w:rsidRPr="00F907D9">
        <w:rPr>
          <w:rFonts w:ascii="Times New Roman" w:eastAsia="Times New Roman" w:hAnsi="Times New Roman" w:cs="Times New Roman"/>
          <w:sz w:val="24"/>
          <w:szCs w:val="24"/>
          <w:lang w:val="lt-LT"/>
        </w:rPr>
        <w:t>ą</w:t>
      </w:r>
      <w:r w:rsidR="00775E01" w:rsidRPr="00F907D9">
        <w:rPr>
          <w:rFonts w:ascii="Times New Roman" w:eastAsia="Times New Roman" w:hAnsi="Times New Roman" w:cs="Times New Roman"/>
          <w:sz w:val="24"/>
          <w:szCs w:val="24"/>
          <w:lang w:val="lt-LT"/>
        </w:rPr>
        <w:t>)</w:t>
      </w:r>
      <w:r w:rsidR="004E13A8" w:rsidRPr="00F907D9">
        <w:rPr>
          <w:rFonts w:ascii="Times New Roman" w:eastAsia="Times New Roman" w:hAnsi="Times New Roman" w:cs="Times New Roman"/>
          <w:sz w:val="24"/>
          <w:szCs w:val="24"/>
          <w:lang w:val="lt-LT"/>
        </w:rPr>
        <w:t>.</w:t>
      </w:r>
      <w:r w:rsidR="002964F2" w:rsidRPr="00F907D9">
        <w:rPr>
          <w:rFonts w:ascii="Times New Roman" w:eastAsia="Times New Roman" w:hAnsi="Times New Roman" w:cs="Times New Roman"/>
          <w:sz w:val="24"/>
          <w:szCs w:val="24"/>
          <w:lang w:val="lt-LT"/>
        </w:rPr>
        <w:t xml:space="preserve"> </w:t>
      </w:r>
      <w:r w:rsidR="001B1D64" w:rsidRPr="00F907D9">
        <w:rPr>
          <w:rFonts w:ascii="Times New Roman" w:eastAsia="Times New Roman" w:hAnsi="Times New Roman" w:cs="Times New Roman"/>
          <w:sz w:val="24"/>
          <w:szCs w:val="24"/>
          <w:lang w:val="lt-LT"/>
        </w:rPr>
        <w:t xml:space="preserve">Šiame kontekste </w:t>
      </w:r>
      <w:r w:rsidR="00775E01" w:rsidRPr="00F907D9">
        <w:rPr>
          <w:rFonts w:ascii="Times New Roman" w:eastAsia="Times New Roman" w:hAnsi="Times New Roman" w:cs="Times New Roman"/>
          <w:sz w:val="24"/>
          <w:szCs w:val="24"/>
          <w:lang w:val="lt-LT"/>
        </w:rPr>
        <w:t>Komisija laikėsi pozicijos, kad k</w:t>
      </w:r>
      <w:r w:rsidR="00A0656B" w:rsidRPr="00F907D9">
        <w:rPr>
          <w:rFonts w:ascii="Times New Roman" w:eastAsia="Times New Roman" w:hAnsi="Times New Roman" w:cs="Times New Roman"/>
          <w:sz w:val="24"/>
          <w:szCs w:val="24"/>
          <w:lang w:val="lt-LT"/>
        </w:rPr>
        <w:t xml:space="preserve">ainų nustatymas neužtikrina </w:t>
      </w:r>
      <w:r w:rsidR="00775E01" w:rsidRPr="00F907D9">
        <w:rPr>
          <w:rFonts w:ascii="Times New Roman" w:eastAsia="Times New Roman" w:hAnsi="Times New Roman" w:cs="Times New Roman"/>
          <w:sz w:val="24"/>
          <w:szCs w:val="24"/>
          <w:lang w:val="lt-LT"/>
        </w:rPr>
        <w:t xml:space="preserve">suteikiamų paslaugų </w:t>
      </w:r>
      <w:r w:rsidR="00A0656B" w:rsidRPr="00F907D9">
        <w:rPr>
          <w:rFonts w:ascii="Times New Roman" w:eastAsia="Times New Roman" w:hAnsi="Times New Roman" w:cs="Times New Roman"/>
          <w:sz w:val="24"/>
          <w:szCs w:val="24"/>
          <w:lang w:val="lt-LT"/>
        </w:rPr>
        <w:t xml:space="preserve">kokybės ir gali slopinti sveiką konkurenciją tarp </w:t>
      </w:r>
      <w:r w:rsidR="00F9010D" w:rsidRPr="00F907D9">
        <w:rPr>
          <w:rFonts w:ascii="Times New Roman" w:eastAsia="Times New Roman" w:hAnsi="Times New Roman" w:cs="Times New Roman"/>
          <w:sz w:val="24"/>
          <w:szCs w:val="24"/>
          <w:lang w:val="lt-LT"/>
        </w:rPr>
        <w:t xml:space="preserve">paslaugų </w:t>
      </w:r>
      <w:r w:rsidR="00A0656B" w:rsidRPr="00F907D9">
        <w:rPr>
          <w:rFonts w:ascii="Times New Roman" w:eastAsia="Times New Roman" w:hAnsi="Times New Roman" w:cs="Times New Roman"/>
          <w:sz w:val="24"/>
          <w:szCs w:val="24"/>
          <w:lang w:val="lt-LT"/>
        </w:rPr>
        <w:t xml:space="preserve">tiekėjų, atgrasyti nuo </w:t>
      </w:r>
      <w:r w:rsidR="00F9010D" w:rsidRPr="00F907D9">
        <w:rPr>
          <w:rFonts w:ascii="Times New Roman" w:eastAsia="Times New Roman" w:hAnsi="Times New Roman" w:cs="Times New Roman"/>
          <w:sz w:val="24"/>
          <w:szCs w:val="24"/>
          <w:lang w:val="lt-LT"/>
        </w:rPr>
        <w:t>veiksmingumo</w:t>
      </w:r>
      <w:r w:rsidR="00A0656B" w:rsidRPr="00F907D9">
        <w:rPr>
          <w:rFonts w:ascii="Times New Roman" w:eastAsia="Times New Roman" w:hAnsi="Times New Roman" w:cs="Times New Roman"/>
          <w:sz w:val="24"/>
          <w:szCs w:val="24"/>
          <w:lang w:val="lt-LT"/>
        </w:rPr>
        <w:t>, taip pat trukdyti naujų paslaugų bei naujų veikimo būdų plėtrai ir įdiegimui</w:t>
      </w:r>
      <w:r w:rsidR="005F521E" w:rsidRPr="00F907D9">
        <w:rPr>
          <w:rFonts w:ascii="Times New Roman" w:eastAsia="Times New Roman" w:hAnsi="Times New Roman" w:cs="Times New Roman"/>
          <w:sz w:val="24"/>
          <w:szCs w:val="24"/>
          <w:lang w:val="lt-LT"/>
        </w:rPr>
        <w:t>; t</w:t>
      </w:r>
      <w:r w:rsidR="00A0656B" w:rsidRPr="00F907D9">
        <w:rPr>
          <w:rFonts w:ascii="Times New Roman" w:eastAsia="Times New Roman" w:hAnsi="Times New Roman" w:cs="Times New Roman"/>
          <w:sz w:val="24"/>
          <w:szCs w:val="24"/>
          <w:lang w:val="lt-LT"/>
        </w:rPr>
        <w:t xml:space="preserve">ai gali būti nenaudinga profesijoms, kurios nesugeba prisitaikyti prie naujų verslo praktikų ar technologijų, ir gali lemti, kad vartotojai mokės padidintas kainas už vidutiniško lygio paslaugas. </w:t>
      </w:r>
      <w:r w:rsidR="00F21F1F" w:rsidRPr="00F907D9">
        <w:rPr>
          <w:rFonts w:ascii="Times New Roman" w:eastAsia="Times New Roman" w:hAnsi="Times New Roman" w:cs="Times New Roman"/>
          <w:sz w:val="24"/>
          <w:szCs w:val="24"/>
          <w:lang w:val="lt-LT"/>
        </w:rPr>
        <w:t>Atitinkamai, Komisija r</w:t>
      </w:r>
      <w:r w:rsidR="00965F4F" w:rsidRPr="00F907D9">
        <w:rPr>
          <w:rFonts w:ascii="Times New Roman" w:eastAsia="Times New Roman" w:hAnsi="Times New Roman" w:cs="Times New Roman"/>
          <w:sz w:val="24"/>
          <w:szCs w:val="24"/>
          <w:lang w:val="lt-LT"/>
        </w:rPr>
        <w:t>agin</w:t>
      </w:r>
      <w:r w:rsidR="00F21F1F" w:rsidRPr="00F907D9">
        <w:rPr>
          <w:rFonts w:ascii="Times New Roman" w:eastAsia="Times New Roman" w:hAnsi="Times New Roman" w:cs="Times New Roman"/>
          <w:sz w:val="24"/>
          <w:szCs w:val="24"/>
          <w:lang w:val="lt-LT"/>
        </w:rPr>
        <w:t>o</w:t>
      </w:r>
      <w:r w:rsidR="00965F4F" w:rsidRPr="00F907D9">
        <w:rPr>
          <w:rFonts w:ascii="Times New Roman" w:eastAsia="Times New Roman" w:hAnsi="Times New Roman" w:cs="Times New Roman"/>
          <w:sz w:val="24"/>
          <w:szCs w:val="24"/>
          <w:lang w:val="lt-LT"/>
        </w:rPr>
        <w:t xml:space="preserve"> visas valstybes nares imtis veiksmų ir ypač kritiškai peržiūrėti visas fiksuotas ir minimalias kainas, siekiant jas panaikinti, kur tik įmanoma </w:t>
      </w:r>
      <w:r w:rsidR="002964F2" w:rsidRPr="00F907D9">
        <w:rPr>
          <w:rFonts w:ascii="Times New Roman" w:eastAsia="Times New Roman" w:hAnsi="Times New Roman" w:cs="Times New Roman"/>
          <w:sz w:val="24"/>
          <w:szCs w:val="24"/>
          <w:lang w:val="lt-LT"/>
        </w:rPr>
        <w:t xml:space="preserve">(2005 m. rugsėjo </w:t>
      </w:r>
      <w:r w:rsidR="00247CB8" w:rsidRPr="00F907D9">
        <w:rPr>
          <w:rFonts w:ascii="Times New Roman" w:eastAsia="Times New Roman" w:hAnsi="Times New Roman" w:cs="Times New Roman"/>
          <w:sz w:val="24"/>
          <w:szCs w:val="24"/>
          <w:lang w:val="lt-LT"/>
        </w:rPr>
        <w:t xml:space="preserve">5 d. </w:t>
      </w:r>
      <w:r w:rsidR="00FE40E5" w:rsidRPr="00F907D9">
        <w:rPr>
          <w:rFonts w:ascii="Times New Roman" w:eastAsia="Times New Roman" w:hAnsi="Times New Roman" w:cs="Times New Roman"/>
          <w:sz w:val="24"/>
          <w:szCs w:val="24"/>
          <w:lang w:val="lt-LT"/>
        </w:rPr>
        <w:t xml:space="preserve">Komisijos tarnybų darbinis dokumentas </w:t>
      </w:r>
      <w:r w:rsidR="00316A4E" w:rsidRPr="00F907D9">
        <w:rPr>
          <w:rFonts w:ascii="Times New Roman" w:eastAsia="Times New Roman" w:hAnsi="Times New Roman" w:cs="Times New Roman"/>
          <w:sz w:val="24"/>
          <w:szCs w:val="24"/>
          <w:lang w:val="lt-LT"/>
        </w:rPr>
        <w:t xml:space="preserve">„Valstybių narių pažanga vertinant ir panaikinant konkurencijos apribojimus </w:t>
      </w:r>
      <w:r w:rsidR="007257B3" w:rsidRPr="00F907D9">
        <w:rPr>
          <w:rFonts w:ascii="Times New Roman" w:eastAsia="Times New Roman" w:hAnsi="Times New Roman" w:cs="Times New Roman"/>
          <w:sz w:val="24"/>
          <w:szCs w:val="24"/>
          <w:lang w:val="lt-LT"/>
        </w:rPr>
        <w:t>laisvųjų profesijų</w:t>
      </w:r>
      <w:r w:rsidR="00316A4E" w:rsidRPr="00F907D9">
        <w:rPr>
          <w:rFonts w:ascii="Times New Roman" w:eastAsia="Times New Roman" w:hAnsi="Times New Roman" w:cs="Times New Roman"/>
          <w:sz w:val="24"/>
          <w:szCs w:val="24"/>
          <w:lang w:val="lt-LT"/>
        </w:rPr>
        <w:t xml:space="preserve"> srityje</w:t>
      </w:r>
      <w:r w:rsidR="00921686" w:rsidRPr="00F907D9">
        <w:rPr>
          <w:rFonts w:ascii="Times New Roman" w:eastAsia="Times New Roman" w:hAnsi="Times New Roman" w:cs="Times New Roman"/>
          <w:sz w:val="24"/>
          <w:szCs w:val="24"/>
          <w:lang w:val="lt-LT"/>
        </w:rPr>
        <w:t>“</w:t>
      </w:r>
      <w:r w:rsidR="00990F94" w:rsidRPr="00F907D9">
        <w:rPr>
          <w:rFonts w:ascii="Times New Roman" w:eastAsia="Times New Roman" w:hAnsi="Times New Roman" w:cs="Times New Roman"/>
          <w:sz w:val="24"/>
          <w:szCs w:val="24"/>
          <w:lang w:val="lt-LT"/>
        </w:rPr>
        <w:t>, SEC</w:t>
      </w:r>
      <w:r w:rsidR="00726816" w:rsidRPr="00F907D9">
        <w:rPr>
          <w:rFonts w:ascii="Times New Roman" w:eastAsia="Times New Roman" w:hAnsi="Times New Roman" w:cs="Times New Roman"/>
          <w:sz w:val="24"/>
          <w:szCs w:val="24"/>
          <w:lang w:val="lt-LT"/>
        </w:rPr>
        <w:t>(2005) 1064, 7</w:t>
      </w:r>
      <w:r w:rsidR="008150D3" w:rsidRPr="00F907D9">
        <w:rPr>
          <w:rFonts w:ascii="Times New Roman" w:eastAsia="Times New Roman" w:hAnsi="Times New Roman" w:cs="Times New Roman"/>
          <w:sz w:val="24"/>
          <w:szCs w:val="24"/>
          <w:lang w:val="lt-LT"/>
        </w:rPr>
        <w:t>1</w:t>
      </w:r>
      <w:r w:rsidR="00096BF7" w:rsidRPr="00F907D9">
        <w:rPr>
          <w:rFonts w:ascii="Times New Roman" w:eastAsia="Times New Roman" w:hAnsi="Times New Roman" w:cs="Times New Roman"/>
          <w:sz w:val="24"/>
          <w:szCs w:val="24"/>
          <w:lang w:val="lt-LT"/>
        </w:rPr>
        <w:t>–</w:t>
      </w:r>
      <w:r w:rsidR="008150D3" w:rsidRPr="00F907D9">
        <w:rPr>
          <w:rFonts w:ascii="Times New Roman" w:eastAsia="Times New Roman" w:hAnsi="Times New Roman" w:cs="Times New Roman"/>
          <w:sz w:val="24"/>
          <w:szCs w:val="24"/>
          <w:lang w:val="lt-LT"/>
        </w:rPr>
        <w:t>73</w:t>
      </w:r>
      <w:r w:rsidR="00726816" w:rsidRPr="00F907D9">
        <w:rPr>
          <w:rFonts w:ascii="Times New Roman" w:eastAsia="Times New Roman" w:hAnsi="Times New Roman" w:cs="Times New Roman"/>
          <w:sz w:val="24"/>
          <w:szCs w:val="24"/>
          <w:lang w:val="lt-LT"/>
        </w:rPr>
        <w:t xml:space="preserve"> punkta</w:t>
      </w:r>
      <w:r w:rsidR="00096BF7" w:rsidRPr="00F907D9">
        <w:rPr>
          <w:rFonts w:ascii="Times New Roman" w:eastAsia="Times New Roman" w:hAnsi="Times New Roman" w:cs="Times New Roman"/>
          <w:sz w:val="24"/>
          <w:szCs w:val="24"/>
          <w:lang w:val="lt-LT"/>
        </w:rPr>
        <w:t>i</w:t>
      </w:r>
      <w:r w:rsidR="002964F2" w:rsidRPr="00F907D9">
        <w:rPr>
          <w:rFonts w:ascii="Times New Roman" w:eastAsia="Times New Roman" w:hAnsi="Times New Roman" w:cs="Times New Roman"/>
          <w:sz w:val="24"/>
          <w:szCs w:val="24"/>
          <w:lang w:val="lt-LT"/>
        </w:rPr>
        <w:t xml:space="preserve">). </w:t>
      </w:r>
    </w:p>
    <w:p w14:paraId="31E7CDB8" w14:textId="59F9A9E3" w:rsidR="008529C2" w:rsidRPr="00F907D9" w:rsidRDefault="004A2E26"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F907D9">
        <w:rPr>
          <w:rFonts w:ascii="Times New Roman" w:eastAsia="Times New Roman" w:hAnsi="Times New Roman" w:cs="Times New Roman"/>
          <w:sz w:val="24"/>
          <w:szCs w:val="24"/>
          <w:lang w:val="lt-LT"/>
        </w:rPr>
        <w:t>Europos bendradarbiavimo ir plėtros organizacija (</w:t>
      </w:r>
      <w:r w:rsidR="002D197F" w:rsidRPr="00F907D9">
        <w:rPr>
          <w:rFonts w:ascii="Times New Roman" w:eastAsia="Times New Roman" w:hAnsi="Times New Roman" w:cs="Times New Roman"/>
          <w:sz w:val="24"/>
          <w:szCs w:val="24"/>
          <w:lang w:val="lt-LT"/>
        </w:rPr>
        <w:t xml:space="preserve">toliau – ir </w:t>
      </w:r>
      <w:r w:rsidRPr="00F907D9">
        <w:rPr>
          <w:rFonts w:ascii="Times New Roman" w:eastAsia="Times New Roman" w:hAnsi="Times New Roman" w:cs="Times New Roman"/>
          <w:sz w:val="24"/>
          <w:szCs w:val="24"/>
          <w:lang w:val="lt-LT"/>
        </w:rPr>
        <w:t>EBPO)</w:t>
      </w:r>
      <w:r w:rsidR="002D197F" w:rsidRPr="00F907D9">
        <w:rPr>
          <w:rFonts w:ascii="Times New Roman" w:eastAsia="Times New Roman" w:hAnsi="Times New Roman" w:cs="Times New Roman"/>
          <w:sz w:val="24"/>
          <w:szCs w:val="24"/>
          <w:lang w:val="lt-LT"/>
        </w:rPr>
        <w:t>,</w:t>
      </w:r>
      <w:r w:rsidRPr="00F907D9">
        <w:rPr>
          <w:rFonts w:ascii="Times New Roman" w:eastAsia="Times New Roman" w:hAnsi="Times New Roman" w:cs="Times New Roman"/>
          <w:sz w:val="24"/>
          <w:szCs w:val="24"/>
          <w:lang w:val="lt-LT"/>
        </w:rPr>
        <w:t xml:space="preserve"> </w:t>
      </w:r>
      <w:r w:rsidR="0080166B" w:rsidRPr="00F907D9">
        <w:rPr>
          <w:rFonts w:ascii="Times New Roman" w:eastAsia="Times New Roman" w:hAnsi="Times New Roman" w:cs="Times New Roman"/>
          <w:sz w:val="24"/>
          <w:szCs w:val="24"/>
          <w:lang w:val="lt-LT"/>
        </w:rPr>
        <w:t>nuo 1998 metų nagrinėja</w:t>
      </w:r>
      <w:r w:rsidR="00BE52AD" w:rsidRPr="00F907D9">
        <w:rPr>
          <w:rFonts w:ascii="Times New Roman" w:eastAsia="Times New Roman" w:hAnsi="Times New Roman" w:cs="Times New Roman"/>
          <w:sz w:val="24"/>
          <w:szCs w:val="24"/>
          <w:lang w:val="lt-LT"/>
        </w:rPr>
        <w:t>nti</w:t>
      </w:r>
      <w:r w:rsidR="0080166B" w:rsidRPr="00F907D9">
        <w:rPr>
          <w:rFonts w:ascii="Times New Roman" w:eastAsia="Times New Roman" w:hAnsi="Times New Roman" w:cs="Times New Roman"/>
          <w:sz w:val="24"/>
          <w:szCs w:val="24"/>
          <w:lang w:val="lt-LT"/>
        </w:rPr>
        <w:t xml:space="preserve"> šalių produktyvumui ir augimui svarbių profesinių paslaugų (įskaitant teisines paslaugas) reguliavimo lygį,  nuo 2018 metų atlikdama tokį vertinimą teisinių paslaugų sektoriuje atskirai išsk</w:t>
      </w:r>
      <w:r w:rsidR="008C4274" w:rsidRPr="00F907D9">
        <w:rPr>
          <w:rFonts w:ascii="Times New Roman" w:eastAsia="Times New Roman" w:hAnsi="Times New Roman" w:cs="Times New Roman"/>
          <w:sz w:val="24"/>
          <w:szCs w:val="24"/>
          <w:lang w:val="lt-LT"/>
        </w:rPr>
        <w:t>yrė</w:t>
      </w:r>
      <w:r w:rsidR="0080166B" w:rsidRPr="00F907D9">
        <w:rPr>
          <w:rFonts w:ascii="Times New Roman" w:eastAsia="Times New Roman" w:hAnsi="Times New Roman" w:cs="Times New Roman"/>
          <w:sz w:val="24"/>
          <w:szCs w:val="24"/>
          <w:lang w:val="lt-LT"/>
        </w:rPr>
        <w:t xml:space="preserve"> notarų profesines paslaugas. </w:t>
      </w:r>
      <w:r w:rsidR="00894AD1" w:rsidRPr="00F907D9">
        <w:rPr>
          <w:rFonts w:ascii="Times New Roman" w:eastAsia="Times New Roman" w:hAnsi="Times New Roman" w:cs="Times New Roman"/>
          <w:sz w:val="24"/>
          <w:szCs w:val="24"/>
          <w:lang w:val="lt-LT"/>
        </w:rPr>
        <w:t>S</w:t>
      </w:r>
      <w:r w:rsidRPr="00F907D9">
        <w:rPr>
          <w:rFonts w:ascii="Times New Roman" w:eastAsia="Times New Roman" w:hAnsi="Times New Roman" w:cs="Times New Roman"/>
          <w:sz w:val="24"/>
          <w:szCs w:val="24"/>
          <w:lang w:val="lt-LT"/>
        </w:rPr>
        <w:t>katin</w:t>
      </w:r>
      <w:r w:rsidR="00946F3B" w:rsidRPr="00F907D9">
        <w:rPr>
          <w:rFonts w:ascii="Times New Roman" w:eastAsia="Times New Roman" w:hAnsi="Times New Roman" w:cs="Times New Roman"/>
          <w:sz w:val="24"/>
          <w:szCs w:val="24"/>
          <w:lang w:val="lt-LT"/>
        </w:rPr>
        <w:t>dama</w:t>
      </w:r>
      <w:r w:rsidRPr="00F907D9">
        <w:rPr>
          <w:rFonts w:ascii="Times New Roman" w:eastAsia="Times New Roman" w:hAnsi="Times New Roman" w:cs="Times New Roman"/>
          <w:sz w:val="24"/>
          <w:szCs w:val="24"/>
          <w:lang w:val="lt-LT"/>
        </w:rPr>
        <w:t xml:space="preserve"> rinkos liberalizavimą</w:t>
      </w:r>
      <w:r w:rsidR="00894AD1" w:rsidRPr="00F907D9">
        <w:rPr>
          <w:rFonts w:ascii="Times New Roman" w:eastAsia="Times New Roman" w:hAnsi="Times New Roman" w:cs="Times New Roman"/>
          <w:sz w:val="24"/>
          <w:szCs w:val="24"/>
          <w:lang w:val="lt-LT"/>
        </w:rPr>
        <w:t>, EBPO</w:t>
      </w:r>
      <w:r w:rsidRPr="00F907D9">
        <w:rPr>
          <w:rFonts w:ascii="Times New Roman" w:eastAsia="Times New Roman" w:hAnsi="Times New Roman" w:cs="Times New Roman"/>
          <w:sz w:val="24"/>
          <w:szCs w:val="24"/>
          <w:lang w:val="lt-LT"/>
        </w:rPr>
        <w:t xml:space="preserve"> </w:t>
      </w:r>
      <w:r w:rsidR="00946F3B" w:rsidRPr="00F907D9">
        <w:rPr>
          <w:rFonts w:ascii="Times New Roman" w:eastAsia="Times New Roman" w:hAnsi="Times New Roman" w:cs="Times New Roman"/>
          <w:sz w:val="24"/>
          <w:szCs w:val="24"/>
          <w:lang w:val="lt-LT"/>
        </w:rPr>
        <w:t xml:space="preserve">taip pat </w:t>
      </w:r>
      <w:r w:rsidRPr="00F907D9">
        <w:rPr>
          <w:rFonts w:ascii="Times New Roman" w:eastAsia="Times New Roman" w:hAnsi="Times New Roman" w:cs="Times New Roman"/>
          <w:sz w:val="24"/>
          <w:szCs w:val="24"/>
          <w:lang w:val="lt-LT"/>
        </w:rPr>
        <w:t>laik</w:t>
      </w:r>
      <w:r w:rsidR="008C4274" w:rsidRPr="00F907D9">
        <w:rPr>
          <w:rFonts w:ascii="Times New Roman" w:eastAsia="Times New Roman" w:hAnsi="Times New Roman" w:cs="Times New Roman"/>
          <w:sz w:val="24"/>
          <w:szCs w:val="24"/>
          <w:lang w:val="lt-LT"/>
        </w:rPr>
        <w:t>ėsi</w:t>
      </w:r>
      <w:r w:rsidRPr="00F907D9">
        <w:rPr>
          <w:rFonts w:ascii="Times New Roman" w:eastAsia="Times New Roman" w:hAnsi="Times New Roman" w:cs="Times New Roman"/>
          <w:sz w:val="24"/>
          <w:szCs w:val="24"/>
          <w:lang w:val="lt-LT"/>
        </w:rPr>
        <w:t xml:space="preserve"> nuomonės, kad notarų rinka turėtų būti liberalizuota. </w:t>
      </w:r>
      <w:r w:rsidR="00B61FFD" w:rsidRPr="00F907D9">
        <w:rPr>
          <w:rFonts w:ascii="Times New Roman" w:eastAsia="Times New Roman" w:hAnsi="Times New Roman" w:cs="Times New Roman"/>
          <w:sz w:val="24"/>
          <w:szCs w:val="24"/>
          <w:lang w:val="lt-LT"/>
        </w:rPr>
        <w:t>P</w:t>
      </w:r>
      <w:r w:rsidR="003059D1" w:rsidRPr="00F907D9">
        <w:rPr>
          <w:rFonts w:ascii="Times New Roman" w:eastAsia="Times New Roman" w:hAnsi="Times New Roman" w:cs="Times New Roman"/>
          <w:sz w:val="24"/>
          <w:szCs w:val="24"/>
          <w:lang w:val="lt-LT"/>
        </w:rPr>
        <w:t>avyzdžiui</w:t>
      </w:r>
      <w:r w:rsidR="00B61FFD" w:rsidRPr="00F907D9">
        <w:rPr>
          <w:rFonts w:ascii="Times New Roman" w:eastAsia="Times New Roman" w:hAnsi="Times New Roman" w:cs="Times New Roman"/>
          <w:sz w:val="24"/>
          <w:szCs w:val="24"/>
          <w:lang w:val="lt-LT"/>
        </w:rPr>
        <w:t xml:space="preserve">, </w:t>
      </w:r>
      <w:r w:rsidR="00D83824" w:rsidRPr="00F907D9">
        <w:rPr>
          <w:rFonts w:ascii="Times New Roman" w:eastAsia="Times New Roman" w:hAnsi="Times New Roman" w:cs="Times New Roman"/>
          <w:sz w:val="24"/>
          <w:szCs w:val="24"/>
          <w:lang w:val="lt-LT"/>
        </w:rPr>
        <w:t>Portugalijai ši orga</w:t>
      </w:r>
      <w:r w:rsidR="00990393" w:rsidRPr="00F907D9">
        <w:rPr>
          <w:rFonts w:ascii="Times New Roman" w:eastAsia="Times New Roman" w:hAnsi="Times New Roman" w:cs="Times New Roman"/>
          <w:sz w:val="24"/>
          <w:szCs w:val="24"/>
          <w:lang w:val="lt-LT"/>
        </w:rPr>
        <w:t xml:space="preserve">nizacija </w:t>
      </w:r>
      <w:r w:rsidR="00D83824" w:rsidRPr="00F907D9">
        <w:rPr>
          <w:rFonts w:ascii="Times New Roman" w:eastAsia="Times New Roman" w:hAnsi="Times New Roman" w:cs="Times New Roman"/>
          <w:sz w:val="24"/>
          <w:szCs w:val="24"/>
          <w:lang w:val="lt-LT"/>
        </w:rPr>
        <w:t>rekomenda</w:t>
      </w:r>
      <w:r w:rsidR="00990393" w:rsidRPr="00F907D9">
        <w:rPr>
          <w:rFonts w:ascii="Times New Roman" w:eastAsia="Times New Roman" w:hAnsi="Times New Roman" w:cs="Times New Roman"/>
          <w:sz w:val="24"/>
          <w:szCs w:val="24"/>
          <w:lang w:val="lt-LT"/>
        </w:rPr>
        <w:t>vo</w:t>
      </w:r>
      <w:r w:rsidR="00D83824" w:rsidRPr="00F907D9">
        <w:rPr>
          <w:rFonts w:ascii="Times New Roman" w:eastAsia="Times New Roman" w:hAnsi="Times New Roman" w:cs="Times New Roman"/>
          <w:sz w:val="24"/>
          <w:szCs w:val="24"/>
          <w:lang w:val="lt-LT"/>
        </w:rPr>
        <w:t xml:space="preserve"> palaipsniui atsisakyti maksimalių </w:t>
      </w:r>
      <w:r w:rsidR="00840029" w:rsidRPr="00F907D9">
        <w:rPr>
          <w:rFonts w:ascii="Times New Roman" w:eastAsia="Times New Roman" w:hAnsi="Times New Roman" w:cs="Times New Roman"/>
          <w:sz w:val="24"/>
          <w:szCs w:val="24"/>
          <w:lang w:val="lt-LT"/>
        </w:rPr>
        <w:t xml:space="preserve">notarinių paslaugų </w:t>
      </w:r>
      <w:r w:rsidR="00D83824" w:rsidRPr="00F907D9">
        <w:rPr>
          <w:rFonts w:ascii="Times New Roman" w:eastAsia="Times New Roman" w:hAnsi="Times New Roman" w:cs="Times New Roman"/>
          <w:sz w:val="24"/>
          <w:szCs w:val="24"/>
          <w:lang w:val="lt-LT"/>
        </w:rPr>
        <w:t>įkainių nustatymo</w:t>
      </w:r>
      <w:r w:rsidR="00C573D3" w:rsidRPr="00F907D9">
        <w:rPr>
          <w:rFonts w:ascii="Times New Roman" w:eastAsia="Times New Roman" w:hAnsi="Times New Roman" w:cs="Times New Roman"/>
          <w:sz w:val="24"/>
          <w:szCs w:val="24"/>
          <w:lang w:val="lt-LT"/>
        </w:rPr>
        <w:t xml:space="preserve"> (minimalūs įkainiai Portugalijoje nėra nustatyti)</w:t>
      </w:r>
      <w:r w:rsidR="00840029" w:rsidRPr="00F907D9">
        <w:rPr>
          <w:rFonts w:ascii="Times New Roman" w:eastAsia="Times New Roman" w:hAnsi="Times New Roman" w:cs="Times New Roman"/>
          <w:sz w:val="24"/>
          <w:szCs w:val="24"/>
          <w:lang w:val="lt-LT"/>
        </w:rPr>
        <w:t>, nes</w:t>
      </w:r>
      <w:r w:rsidRPr="00F907D9">
        <w:rPr>
          <w:rFonts w:ascii="Times New Roman" w:eastAsia="Times New Roman" w:hAnsi="Times New Roman" w:cs="Times New Roman"/>
          <w:sz w:val="24"/>
          <w:szCs w:val="24"/>
          <w:lang w:val="lt-LT"/>
        </w:rPr>
        <w:t xml:space="preserve"> maksimalių ir fiksuotų įkainių režimas</w:t>
      </w:r>
      <w:r w:rsidR="00A21F5B" w:rsidRPr="00F907D9">
        <w:rPr>
          <w:rFonts w:ascii="Times New Roman" w:eastAsia="Times New Roman" w:hAnsi="Times New Roman" w:cs="Times New Roman"/>
          <w:sz w:val="24"/>
          <w:szCs w:val="24"/>
          <w:lang w:val="lt-LT"/>
        </w:rPr>
        <w:t>,</w:t>
      </w:r>
      <w:r w:rsidR="00715FD8" w:rsidRPr="00F907D9">
        <w:rPr>
          <w:rFonts w:ascii="Times New Roman" w:eastAsia="Times New Roman" w:hAnsi="Times New Roman" w:cs="Times New Roman"/>
          <w:sz w:val="24"/>
          <w:szCs w:val="24"/>
          <w:lang w:val="lt-LT"/>
        </w:rPr>
        <w:t xml:space="preserve"> EBPO</w:t>
      </w:r>
      <w:r w:rsidR="00B308AC" w:rsidRPr="00F907D9">
        <w:rPr>
          <w:rFonts w:ascii="Times New Roman" w:eastAsia="Times New Roman" w:hAnsi="Times New Roman" w:cs="Times New Roman"/>
          <w:sz w:val="24"/>
          <w:szCs w:val="24"/>
          <w:lang w:val="lt-LT"/>
        </w:rPr>
        <w:t xml:space="preserve"> teigimu,</w:t>
      </w:r>
      <w:r w:rsidR="00A21F5B" w:rsidRPr="00F907D9">
        <w:rPr>
          <w:rFonts w:ascii="Times New Roman" w:eastAsia="Times New Roman" w:hAnsi="Times New Roman" w:cs="Times New Roman"/>
          <w:sz w:val="24"/>
          <w:szCs w:val="24"/>
          <w:lang w:val="lt-LT"/>
        </w:rPr>
        <w:t xml:space="preserve"> </w:t>
      </w:r>
      <w:r w:rsidR="009133E5" w:rsidRPr="00F907D9">
        <w:rPr>
          <w:rFonts w:ascii="Times New Roman" w:eastAsia="Times New Roman" w:hAnsi="Times New Roman" w:cs="Times New Roman"/>
          <w:sz w:val="24"/>
          <w:szCs w:val="24"/>
          <w:lang w:val="lt-LT"/>
        </w:rPr>
        <w:t>riboja stimul</w:t>
      </w:r>
      <w:r w:rsidR="003D67DE" w:rsidRPr="00F907D9">
        <w:rPr>
          <w:rFonts w:ascii="Times New Roman" w:eastAsia="Times New Roman" w:hAnsi="Times New Roman" w:cs="Times New Roman"/>
          <w:sz w:val="24"/>
          <w:szCs w:val="24"/>
          <w:lang w:val="lt-LT"/>
        </w:rPr>
        <w:t>ą</w:t>
      </w:r>
      <w:r w:rsidR="009133E5" w:rsidRPr="00F907D9">
        <w:rPr>
          <w:rFonts w:ascii="Times New Roman" w:eastAsia="Times New Roman" w:hAnsi="Times New Roman" w:cs="Times New Roman"/>
          <w:sz w:val="24"/>
          <w:szCs w:val="24"/>
          <w:lang w:val="lt-LT"/>
        </w:rPr>
        <w:t xml:space="preserve"> konkuruoti ir diegti inovacijas, taigi </w:t>
      </w:r>
      <w:r w:rsidRPr="00F907D9">
        <w:rPr>
          <w:rFonts w:ascii="Times New Roman" w:eastAsia="Times New Roman" w:hAnsi="Times New Roman" w:cs="Times New Roman"/>
          <w:sz w:val="24"/>
          <w:szCs w:val="24"/>
          <w:lang w:val="lt-LT"/>
        </w:rPr>
        <w:t>kenkia konkurencijai</w:t>
      </w:r>
      <w:r w:rsidR="009133E5" w:rsidRPr="00F907D9">
        <w:rPr>
          <w:rFonts w:ascii="Times New Roman" w:eastAsia="Times New Roman" w:hAnsi="Times New Roman" w:cs="Times New Roman"/>
          <w:sz w:val="24"/>
          <w:szCs w:val="24"/>
          <w:lang w:val="lt-LT"/>
        </w:rPr>
        <w:t xml:space="preserve"> apskritai</w:t>
      </w:r>
      <w:r w:rsidR="00FA42CE" w:rsidRPr="00F907D9">
        <w:rPr>
          <w:rFonts w:ascii="Times New Roman" w:eastAsia="Times New Roman" w:hAnsi="Times New Roman" w:cs="Times New Roman"/>
          <w:sz w:val="24"/>
          <w:szCs w:val="24"/>
          <w:lang w:val="lt-LT"/>
        </w:rPr>
        <w:t xml:space="preserve"> (</w:t>
      </w:r>
      <w:r w:rsidR="002A32DF" w:rsidRPr="00F907D9">
        <w:rPr>
          <w:rFonts w:ascii="Times New Roman" w:eastAsia="Times New Roman" w:hAnsi="Times New Roman" w:cs="Times New Roman"/>
          <w:sz w:val="24"/>
          <w:szCs w:val="24"/>
          <w:lang w:val="lt-LT"/>
        </w:rPr>
        <w:t>2018</w:t>
      </w:r>
      <w:r w:rsidR="00AE6E0B" w:rsidRPr="00F907D9">
        <w:rPr>
          <w:rFonts w:ascii="Times New Roman" w:eastAsia="Times New Roman" w:hAnsi="Times New Roman" w:cs="Times New Roman"/>
          <w:sz w:val="24"/>
          <w:szCs w:val="24"/>
          <w:lang w:val="lt-LT"/>
        </w:rPr>
        <w:t xml:space="preserve"> m. gruodžio 21 d. </w:t>
      </w:r>
      <w:r w:rsidRPr="00F907D9">
        <w:rPr>
          <w:rFonts w:ascii="Times New Roman" w:eastAsia="Times New Roman" w:hAnsi="Times New Roman" w:cs="Times New Roman"/>
          <w:sz w:val="24"/>
          <w:szCs w:val="24"/>
          <w:lang w:val="lt-LT"/>
        </w:rPr>
        <w:t xml:space="preserve">OECD </w:t>
      </w:r>
      <w:proofErr w:type="spellStart"/>
      <w:r w:rsidRPr="00F907D9">
        <w:rPr>
          <w:rFonts w:ascii="Times New Roman" w:eastAsia="Times New Roman" w:hAnsi="Times New Roman" w:cs="Times New Roman"/>
          <w:sz w:val="24"/>
          <w:szCs w:val="24"/>
          <w:lang w:val="lt-LT"/>
        </w:rPr>
        <w:t>Competition</w:t>
      </w:r>
      <w:proofErr w:type="spellEnd"/>
      <w:r w:rsidRPr="00F907D9">
        <w:rPr>
          <w:rFonts w:ascii="Times New Roman" w:eastAsia="Times New Roman" w:hAnsi="Times New Roman" w:cs="Times New Roman"/>
          <w:sz w:val="24"/>
          <w:szCs w:val="24"/>
          <w:lang w:val="lt-LT"/>
        </w:rPr>
        <w:t xml:space="preserve"> </w:t>
      </w:r>
      <w:proofErr w:type="spellStart"/>
      <w:r w:rsidRPr="00F907D9">
        <w:rPr>
          <w:rFonts w:ascii="Times New Roman" w:eastAsia="Times New Roman" w:hAnsi="Times New Roman" w:cs="Times New Roman"/>
          <w:sz w:val="24"/>
          <w:szCs w:val="24"/>
          <w:lang w:val="lt-LT"/>
        </w:rPr>
        <w:t>Assessment</w:t>
      </w:r>
      <w:proofErr w:type="spellEnd"/>
      <w:r w:rsidRPr="00F907D9">
        <w:rPr>
          <w:rFonts w:ascii="Times New Roman" w:eastAsia="Times New Roman" w:hAnsi="Times New Roman" w:cs="Times New Roman"/>
          <w:sz w:val="24"/>
          <w:szCs w:val="24"/>
          <w:lang w:val="lt-LT"/>
        </w:rPr>
        <w:t xml:space="preserve"> </w:t>
      </w:r>
      <w:proofErr w:type="spellStart"/>
      <w:r w:rsidRPr="00F907D9">
        <w:rPr>
          <w:rFonts w:ascii="Times New Roman" w:eastAsia="Times New Roman" w:hAnsi="Times New Roman" w:cs="Times New Roman"/>
          <w:sz w:val="24"/>
          <w:szCs w:val="24"/>
          <w:lang w:val="lt-LT"/>
        </w:rPr>
        <w:t>Reviews</w:t>
      </w:r>
      <w:proofErr w:type="spellEnd"/>
      <w:r w:rsidRPr="00F907D9">
        <w:rPr>
          <w:rFonts w:ascii="Times New Roman" w:eastAsia="Times New Roman" w:hAnsi="Times New Roman" w:cs="Times New Roman"/>
          <w:sz w:val="24"/>
          <w:szCs w:val="24"/>
          <w:lang w:val="lt-LT"/>
        </w:rPr>
        <w:t xml:space="preserve">: </w:t>
      </w:r>
      <w:proofErr w:type="spellStart"/>
      <w:r w:rsidRPr="00F907D9">
        <w:rPr>
          <w:rFonts w:ascii="Times New Roman" w:eastAsia="Times New Roman" w:hAnsi="Times New Roman" w:cs="Times New Roman"/>
          <w:sz w:val="24"/>
          <w:szCs w:val="24"/>
          <w:lang w:val="lt-LT"/>
        </w:rPr>
        <w:t>Portugal</w:t>
      </w:r>
      <w:proofErr w:type="spellEnd"/>
      <w:r w:rsidRPr="00F907D9">
        <w:rPr>
          <w:rFonts w:ascii="Times New Roman" w:eastAsia="Times New Roman" w:hAnsi="Times New Roman" w:cs="Times New Roman"/>
          <w:sz w:val="24"/>
          <w:szCs w:val="24"/>
          <w:lang w:val="lt-LT"/>
        </w:rPr>
        <w:t xml:space="preserve">: </w:t>
      </w:r>
      <w:proofErr w:type="spellStart"/>
      <w:r w:rsidRPr="00F907D9">
        <w:rPr>
          <w:rFonts w:ascii="Times New Roman" w:eastAsia="Times New Roman" w:hAnsi="Times New Roman" w:cs="Times New Roman"/>
          <w:sz w:val="24"/>
          <w:szCs w:val="24"/>
          <w:lang w:val="lt-LT"/>
        </w:rPr>
        <w:t>Volume</w:t>
      </w:r>
      <w:proofErr w:type="spellEnd"/>
      <w:r w:rsidRPr="00F907D9">
        <w:rPr>
          <w:rFonts w:ascii="Times New Roman" w:eastAsia="Times New Roman" w:hAnsi="Times New Roman" w:cs="Times New Roman"/>
          <w:sz w:val="24"/>
          <w:szCs w:val="24"/>
          <w:lang w:val="lt-LT"/>
        </w:rPr>
        <w:t xml:space="preserve"> II </w:t>
      </w:r>
      <w:r w:rsidR="00C53DCB">
        <w:rPr>
          <w:rFonts w:ascii="Times New Roman" w:eastAsia="Times New Roman" w:hAnsi="Times New Roman" w:cs="Times New Roman"/>
          <w:sz w:val="24"/>
          <w:szCs w:val="24"/>
          <w:lang w:val="lt-LT"/>
        </w:rPr>
        <w:t>–</w:t>
      </w:r>
      <w:r w:rsidRPr="00F907D9">
        <w:rPr>
          <w:rFonts w:ascii="Times New Roman" w:eastAsia="Times New Roman" w:hAnsi="Times New Roman" w:cs="Times New Roman"/>
          <w:sz w:val="24"/>
          <w:szCs w:val="24"/>
          <w:lang w:val="lt-LT"/>
        </w:rPr>
        <w:t xml:space="preserve"> </w:t>
      </w:r>
      <w:proofErr w:type="spellStart"/>
      <w:r w:rsidRPr="00F907D9">
        <w:rPr>
          <w:rFonts w:ascii="Times New Roman" w:eastAsia="Times New Roman" w:hAnsi="Times New Roman" w:cs="Times New Roman"/>
          <w:sz w:val="24"/>
          <w:szCs w:val="24"/>
          <w:lang w:val="lt-LT"/>
        </w:rPr>
        <w:t>Self-Regulated</w:t>
      </w:r>
      <w:proofErr w:type="spellEnd"/>
      <w:r w:rsidRPr="00F907D9">
        <w:rPr>
          <w:rFonts w:ascii="Times New Roman" w:eastAsia="Times New Roman" w:hAnsi="Times New Roman" w:cs="Times New Roman"/>
          <w:sz w:val="24"/>
          <w:szCs w:val="24"/>
          <w:lang w:val="lt-LT"/>
        </w:rPr>
        <w:t xml:space="preserve"> </w:t>
      </w:r>
      <w:proofErr w:type="spellStart"/>
      <w:r w:rsidRPr="00F907D9">
        <w:rPr>
          <w:rFonts w:ascii="Times New Roman" w:eastAsia="Times New Roman" w:hAnsi="Times New Roman" w:cs="Times New Roman"/>
          <w:sz w:val="24"/>
          <w:szCs w:val="24"/>
          <w:lang w:val="lt-LT"/>
        </w:rPr>
        <w:t>Professions</w:t>
      </w:r>
      <w:proofErr w:type="spellEnd"/>
      <w:r w:rsidRPr="00F907D9">
        <w:rPr>
          <w:rFonts w:ascii="Times New Roman" w:eastAsia="Times New Roman" w:hAnsi="Times New Roman" w:cs="Times New Roman"/>
          <w:sz w:val="24"/>
          <w:szCs w:val="24"/>
          <w:lang w:val="lt-LT"/>
        </w:rPr>
        <w:t xml:space="preserve">. </w:t>
      </w:r>
      <w:proofErr w:type="spellStart"/>
      <w:r w:rsidRPr="00F907D9">
        <w:rPr>
          <w:rFonts w:ascii="Times New Roman" w:eastAsia="Times New Roman" w:hAnsi="Times New Roman" w:cs="Times New Roman"/>
          <w:sz w:val="24"/>
          <w:szCs w:val="24"/>
          <w:lang w:val="lt-LT"/>
        </w:rPr>
        <w:t>Legal</w:t>
      </w:r>
      <w:proofErr w:type="spellEnd"/>
      <w:r w:rsidRPr="00F907D9">
        <w:rPr>
          <w:rFonts w:ascii="Times New Roman" w:eastAsia="Times New Roman" w:hAnsi="Times New Roman" w:cs="Times New Roman"/>
          <w:sz w:val="24"/>
          <w:szCs w:val="24"/>
          <w:lang w:val="lt-LT"/>
        </w:rPr>
        <w:t xml:space="preserve"> </w:t>
      </w:r>
      <w:proofErr w:type="spellStart"/>
      <w:r w:rsidRPr="00F907D9">
        <w:rPr>
          <w:rFonts w:ascii="Times New Roman" w:eastAsia="Times New Roman" w:hAnsi="Times New Roman" w:cs="Times New Roman"/>
          <w:sz w:val="24"/>
          <w:szCs w:val="24"/>
          <w:lang w:val="lt-LT"/>
        </w:rPr>
        <w:t>Professions</w:t>
      </w:r>
      <w:proofErr w:type="spellEnd"/>
      <w:r w:rsidRPr="00F907D9">
        <w:rPr>
          <w:rFonts w:ascii="Times New Roman" w:eastAsia="Times New Roman" w:hAnsi="Times New Roman" w:cs="Times New Roman"/>
          <w:sz w:val="24"/>
          <w:szCs w:val="24"/>
          <w:lang w:val="lt-LT"/>
        </w:rPr>
        <w:t xml:space="preserve"> </w:t>
      </w:r>
      <w:proofErr w:type="spellStart"/>
      <w:r w:rsidRPr="00F907D9">
        <w:rPr>
          <w:rFonts w:ascii="Times New Roman" w:eastAsia="Times New Roman" w:hAnsi="Times New Roman" w:cs="Times New Roman"/>
          <w:sz w:val="24"/>
          <w:szCs w:val="24"/>
          <w:lang w:val="lt-LT"/>
        </w:rPr>
        <w:t>in</w:t>
      </w:r>
      <w:proofErr w:type="spellEnd"/>
      <w:r w:rsidRPr="00F907D9">
        <w:rPr>
          <w:rFonts w:ascii="Times New Roman" w:eastAsia="Times New Roman" w:hAnsi="Times New Roman" w:cs="Times New Roman"/>
          <w:sz w:val="24"/>
          <w:szCs w:val="24"/>
          <w:lang w:val="lt-LT"/>
        </w:rPr>
        <w:t xml:space="preserve"> </w:t>
      </w:r>
      <w:proofErr w:type="spellStart"/>
      <w:r w:rsidRPr="00F907D9">
        <w:rPr>
          <w:rFonts w:ascii="Times New Roman" w:eastAsia="Times New Roman" w:hAnsi="Times New Roman" w:cs="Times New Roman"/>
          <w:sz w:val="24"/>
          <w:szCs w:val="24"/>
          <w:lang w:val="lt-LT"/>
        </w:rPr>
        <w:t>Portugal</w:t>
      </w:r>
      <w:proofErr w:type="spellEnd"/>
      <w:r w:rsidRPr="00F907D9">
        <w:rPr>
          <w:rFonts w:ascii="Times New Roman" w:eastAsia="Times New Roman" w:hAnsi="Times New Roman" w:cs="Times New Roman"/>
          <w:sz w:val="24"/>
          <w:szCs w:val="24"/>
          <w:lang w:val="lt-LT"/>
        </w:rPr>
        <w:t>,</w:t>
      </w:r>
      <w:r w:rsidR="00AE6E0B" w:rsidRPr="00F907D9">
        <w:rPr>
          <w:rFonts w:ascii="Times New Roman" w:eastAsia="Times New Roman" w:hAnsi="Times New Roman" w:cs="Times New Roman"/>
          <w:sz w:val="24"/>
          <w:szCs w:val="24"/>
          <w:lang w:val="lt-LT"/>
        </w:rPr>
        <w:t xml:space="preserve"> </w:t>
      </w:r>
      <w:hyperlink r:id="rId8" w:tgtFrame="_blank" w:history="1">
        <w:r w:rsidRPr="00C53DCB">
          <w:rPr>
            <w:rStyle w:val="Hipersaitas"/>
            <w:rFonts w:ascii="Times New Roman" w:eastAsia="Times New Roman" w:hAnsi="Times New Roman"/>
            <w:color w:val="auto"/>
            <w:sz w:val="24"/>
            <w:szCs w:val="24"/>
            <w:u w:val="none"/>
            <w:lang w:val="lt-LT"/>
          </w:rPr>
          <w:t>https://doi.org/10.1787/9789264300606-en</w:t>
        </w:r>
      </w:hyperlink>
      <w:r w:rsidRPr="00C53DCB">
        <w:rPr>
          <w:rFonts w:ascii="Times New Roman" w:eastAsia="Times New Roman" w:hAnsi="Times New Roman" w:cs="Times New Roman"/>
          <w:sz w:val="24"/>
          <w:szCs w:val="24"/>
          <w:lang w:val="lt-LT"/>
        </w:rPr>
        <w:t> ,</w:t>
      </w:r>
      <w:r w:rsidRPr="00F907D9">
        <w:rPr>
          <w:rFonts w:ascii="Times New Roman" w:eastAsia="Times New Roman" w:hAnsi="Times New Roman" w:cs="Times New Roman"/>
          <w:sz w:val="24"/>
          <w:szCs w:val="24"/>
          <w:lang w:val="lt-LT"/>
        </w:rPr>
        <w:t xml:space="preserve"> p. 139</w:t>
      </w:r>
      <w:r w:rsidR="00FA42CE" w:rsidRPr="00F907D9">
        <w:rPr>
          <w:rFonts w:ascii="Times New Roman" w:eastAsia="Times New Roman" w:hAnsi="Times New Roman" w:cs="Times New Roman"/>
          <w:sz w:val="24"/>
          <w:szCs w:val="24"/>
          <w:lang w:val="lt-LT"/>
        </w:rPr>
        <w:t>)</w:t>
      </w:r>
      <w:r w:rsidRPr="00F907D9">
        <w:rPr>
          <w:rFonts w:ascii="Times New Roman" w:eastAsia="Times New Roman" w:hAnsi="Times New Roman" w:cs="Times New Roman"/>
          <w:sz w:val="24"/>
          <w:szCs w:val="24"/>
          <w:lang w:val="lt-LT"/>
        </w:rPr>
        <w:t>.</w:t>
      </w:r>
      <w:r w:rsidR="00FA42CE" w:rsidRPr="00F907D9">
        <w:rPr>
          <w:rFonts w:ascii="Times New Roman" w:eastAsia="Times New Roman" w:hAnsi="Times New Roman" w:cs="Times New Roman"/>
          <w:sz w:val="24"/>
          <w:szCs w:val="24"/>
          <w:lang w:val="lt-LT"/>
        </w:rPr>
        <w:t xml:space="preserve"> </w:t>
      </w:r>
    </w:p>
    <w:p w14:paraId="3CA4667C" w14:textId="40F4F9CF" w:rsidR="00555CDB" w:rsidRDefault="008B370D"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F907D9">
        <w:rPr>
          <w:rFonts w:ascii="Times New Roman" w:eastAsia="Times New Roman" w:hAnsi="Times New Roman" w:cs="Times New Roman"/>
          <w:sz w:val="24"/>
          <w:szCs w:val="24"/>
          <w:lang w:val="lt-LT"/>
        </w:rPr>
        <w:t xml:space="preserve">Kitaip tariant, </w:t>
      </w:r>
      <w:r w:rsidR="00A226A9" w:rsidRPr="00F907D9">
        <w:rPr>
          <w:rFonts w:ascii="Times New Roman" w:eastAsia="Times New Roman" w:hAnsi="Times New Roman" w:cs="Times New Roman"/>
          <w:sz w:val="24"/>
          <w:szCs w:val="24"/>
          <w:lang w:val="lt-LT"/>
        </w:rPr>
        <w:t xml:space="preserve">iniciatyvos didinti rinkos veiksmingumą ir skatinti sąžiningą konkurenciją net ir tokioje tradiciškai griežtai reguliuojamoje srityje </w:t>
      </w:r>
      <w:r w:rsidR="0025522F" w:rsidRPr="00F907D9">
        <w:rPr>
          <w:rFonts w:ascii="Times New Roman" w:eastAsia="Times New Roman" w:hAnsi="Times New Roman" w:cs="Times New Roman"/>
          <w:sz w:val="24"/>
          <w:szCs w:val="24"/>
          <w:lang w:val="lt-LT"/>
        </w:rPr>
        <w:t>kaip notar</w:t>
      </w:r>
      <w:r w:rsidR="003A1B64" w:rsidRPr="00F907D9">
        <w:rPr>
          <w:rFonts w:ascii="Times New Roman" w:eastAsia="Times New Roman" w:hAnsi="Times New Roman" w:cs="Times New Roman"/>
          <w:sz w:val="24"/>
          <w:szCs w:val="24"/>
          <w:lang w:val="lt-LT"/>
        </w:rPr>
        <w:t xml:space="preserve">ų profesinė veikla </w:t>
      </w:r>
      <w:r w:rsidR="00370B0A" w:rsidRPr="00F907D9">
        <w:rPr>
          <w:rFonts w:ascii="Times New Roman" w:eastAsia="Times New Roman" w:hAnsi="Times New Roman" w:cs="Times New Roman"/>
          <w:sz w:val="24"/>
          <w:szCs w:val="24"/>
          <w:lang w:val="lt-LT"/>
        </w:rPr>
        <w:t>įvairiuose</w:t>
      </w:r>
      <w:r w:rsidRPr="00F907D9">
        <w:rPr>
          <w:rFonts w:ascii="Times New Roman" w:eastAsia="Times New Roman" w:hAnsi="Times New Roman" w:cs="Times New Roman"/>
          <w:sz w:val="24"/>
          <w:szCs w:val="24"/>
          <w:lang w:val="lt-LT"/>
        </w:rPr>
        <w:t xml:space="preserve"> tarptautiniuose formatuose</w:t>
      </w:r>
      <w:r w:rsidR="00A00F08" w:rsidRPr="00F907D9">
        <w:rPr>
          <w:rFonts w:ascii="Times New Roman" w:eastAsia="Times New Roman" w:hAnsi="Times New Roman" w:cs="Times New Roman"/>
          <w:sz w:val="24"/>
          <w:szCs w:val="24"/>
          <w:lang w:val="lt-LT"/>
        </w:rPr>
        <w:t xml:space="preserve"> </w:t>
      </w:r>
      <w:r w:rsidR="00C32F16" w:rsidRPr="00F907D9">
        <w:rPr>
          <w:rFonts w:ascii="Times New Roman" w:eastAsia="Times New Roman" w:hAnsi="Times New Roman" w:cs="Times New Roman"/>
          <w:sz w:val="24"/>
          <w:szCs w:val="24"/>
          <w:lang w:val="lt-LT"/>
        </w:rPr>
        <w:t>yra plėtojamos</w:t>
      </w:r>
      <w:r w:rsidR="00E819D6" w:rsidRPr="00F907D9">
        <w:rPr>
          <w:rFonts w:ascii="Times New Roman" w:eastAsia="Times New Roman" w:hAnsi="Times New Roman" w:cs="Times New Roman"/>
          <w:sz w:val="24"/>
          <w:szCs w:val="24"/>
          <w:lang w:val="lt-LT"/>
        </w:rPr>
        <w:t xml:space="preserve"> jau pakankamai seniai</w:t>
      </w:r>
      <w:r w:rsidR="00A226A9" w:rsidRPr="00F907D9">
        <w:rPr>
          <w:rFonts w:ascii="Times New Roman" w:eastAsia="Times New Roman" w:hAnsi="Times New Roman" w:cs="Times New Roman"/>
          <w:sz w:val="24"/>
          <w:szCs w:val="24"/>
          <w:lang w:val="lt-LT"/>
        </w:rPr>
        <w:t>.</w:t>
      </w:r>
    </w:p>
    <w:p w14:paraId="102EBDD1" w14:textId="77777777" w:rsidR="005905BA" w:rsidRDefault="002B298C" w:rsidP="00CD4233">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CE2BBF">
        <w:rPr>
          <w:rFonts w:ascii="Times New Roman" w:eastAsia="Times New Roman" w:hAnsi="Times New Roman" w:cs="Times New Roman"/>
          <w:sz w:val="24"/>
          <w:szCs w:val="24"/>
          <w:lang w:val="lt-LT"/>
        </w:rPr>
        <w:t>Siekdama įvertinti p</w:t>
      </w:r>
      <w:r w:rsidR="00932005" w:rsidRPr="00CE2BBF">
        <w:rPr>
          <w:rFonts w:ascii="Times New Roman" w:eastAsia="Times New Roman" w:hAnsi="Times New Roman" w:cs="Times New Roman"/>
          <w:sz w:val="24"/>
          <w:szCs w:val="24"/>
          <w:lang w:val="lt-LT"/>
        </w:rPr>
        <w:t>areiškėjų argument</w:t>
      </w:r>
      <w:r w:rsidRPr="00CE2BBF">
        <w:rPr>
          <w:rFonts w:ascii="Times New Roman" w:eastAsia="Times New Roman" w:hAnsi="Times New Roman" w:cs="Times New Roman"/>
          <w:sz w:val="24"/>
          <w:szCs w:val="24"/>
          <w:lang w:val="lt-LT"/>
        </w:rPr>
        <w:t>us</w:t>
      </w:r>
      <w:r w:rsidR="00932005" w:rsidRPr="00CE2BBF">
        <w:rPr>
          <w:rFonts w:ascii="Times New Roman" w:eastAsia="Times New Roman" w:hAnsi="Times New Roman" w:cs="Times New Roman"/>
          <w:sz w:val="24"/>
          <w:szCs w:val="24"/>
          <w:lang w:val="lt-LT"/>
        </w:rPr>
        <w:t xml:space="preserve"> dėl SESV 101 straipsnio</w:t>
      </w:r>
      <w:r w:rsidR="006435B8" w:rsidRPr="00CE2BBF">
        <w:rPr>
          <w:rFonts w:ascii="Times New Roman" w:eastAsia="Times New Roman" w:hAnsi="Times New Roman" w:cs="Times New Roman"/>
          <w:sz w:val="24"/>
          <w:szCs w:val="24"/>
          <w:lang w:val="lt-LT"/>
        </w:rPr>
        <w:t xml:space="preserve"> netaikymo nagrinėjamos notarų veiklos (</w:t>
      </w:r>
      <w:r w:rsidR="002D6FA6" w:rsidRPr="00CE2BBF">
        <w:rPr>
          <w:rFonts w:ascii="Times New Roman" w:eastAsia="Times New Roman" w:hAnsi="Times New Roman" w:cs="Times New Roman"/>
          <w:sz w:val="24"/>
          <w:szCs w:val="24"/>
          <w:lang w:val="lt-LT"/>
        </w:rPr>
        <w:t xml:space="preserve">priimtų </w:t>
      </w:r>
      <w:r w:rsidR="006435B8" w:rsidRPr="00CE2BBF">
        <w:rPr>
          <w:rFonts w:ascii="Times New Roman" w:eastAsia="Times New Roman" w:hAnsi="Times New Roman" w:cs="Times New Roman"/>
          <w:sz w:val="24"/>
          <w:szCs w:val="24"/>
          <w:lang w:val="lt-LT"/>
        </w:rPr>
        <w:t>Išaiškinimų) kontekste</w:t>
      </w:r>
      <w:r w:rsidRPr="00CE2BBF">
        <w:rPr>
          <w:rFonts w:ascii="Times New Roman" w:eastAsia="Times New Roman" w:hAnsi="Times New Roman" w:cs="Times New Roman"/>
          <w:sz w:val="24"/>
          <w:szCs w:val="24"/>
          <w:lang w:val="lt-LT"/>
        </w:rPr>
        <w:t>, išplėstinė teisėjų kolegija</w:t>
      </w:r>
      <w:r w:rsidR="006435B8" w:rsidRPr="00CE2BBF">
        <w:rPr>
          <w:rFonts w:ascii="Times New Roman" w:eastAsia="Times New Roman" w:hAnsi="Times New Roman" w:cs="Times New Roman"/>
          <w:sz w:val="24"/>
          <w:szCs w:val="24"/>
          <w:lang w:val="lt-LT"/>
        </w:rPr>
        <w:t xml:space="preserve"> </w:t>
      </w:r>
      <w:r w:rsidR="00495EBE" w:rsidRPr="00CE2BBF">
        <w:rPr>
          <w:rFonts w:ascii="Times New Roman" w:eastAsia="Times New Roman" w:hAnsi="Times New Roman" w:cs="Times New Roman"/>
          <w:sz w:val="24"/>
          <w:szCs w:val="24"/>
          <w:lang w:val="lt-LT"/>
        </w:rPr>
        <w:t xml:space="preserve">atkreipia dėmesį į šiam klausimui reikšmingą </w:t>
      </w:r>
      <w:r w:rsidR="002D6FA6" w:rsidRPr="00CE2BBF">
        <w:rPr>
          <w:rFonts w:ascii="Times New Roman" w:eastAsia="Times New Roman" w:hAnsi="Times New Roman" w:cs="Times New Roman"/>
          <w:sz w:val="24"/>
          <w:szCs w:val="24"/>
          <w:lang w:val="lt-LT"/>
        </w:rPr>
        <w:t>k</w:t>
      </w:r>
      <w:r w:rsidR="00EB032C" w:rsidRPr="00CE2BBF">
        <w:rPr>
          <w:rFonts w:ascii="Times New Roman" w:eastAsia="Times New Roman" w:hAnsi="Times New Roman" w:cs="Times New Roman"/>
          <w:sz w:val="24"/>
          <w:szCs w:val="24"/>
          <w:lang w:val="lt-LT"/>
        </w:rPr>
        <w:t>onstitucin</w:t>
      </w:r>
      <w:r w:rsidR="002D6FA6" w:rsidRPr="00CE2BBF">
        <w:rPr>
          <w:rFonts w:ascii="Times New Roman" w:eastAsia="Times New Roman" w:hAnsi="Times New Roman" w:cs="Times New Roman"/>
          <w:sz w:val="24"/>
          <w:szCs w:val="24"/>
          <w:lang w:val="lt-LT"/>
        </w:rPr>
        <w:t>ę</w:t>
      </w:r>
      <w:r w:rsidR="00EB032C" w:rsidRPr="00CE2BBF">
        <w:rPr>
          <w:rFonts w:ascii="Times New Roman" w:eastAsia="Times New Roman" w:hAnsi="Times New Roman" w:cs="Times New Roman"/>
          <w:sz w:val="24"/>
          <w:szCs w:val="24"/>
          <w:lang w:val="lt-LT"/>
        </w:rPr>
        <w:t xml:space="preserve"> jurisprudencij</w:t>
      </w:r>
      <w:r w:rsidR="002D6FA6" w:rsidRPr="00CE2BBF">
        <w:rPr>
          <w:rFonts w:ascii="Times New Roman" w:eastAsia="Times New Roman" w:hAnsi="Times New Roman" w:cs="Times New Roman"/>
          <w:sz w:val="24"/>
          <w:szCs w:val="24"/>
          <w:lang w:val="lt-LT"/>
        </w:rPr>
        <w:t>ą</w:t>
      </w:r>
      <w:r w:rsidR="007E3988" w:rsidRPr="00CE2BBF">
        <w:rPr>
          <w:rFonts w:ascii="Times New Roman" w:eastAsia="Times New Roman" w:hAnsi="Times New Roman" w:cs="Times New Roman"/>
          <w:sz w:val="24"/>
          <w:szCs w:val="24"/>
          <w:lang w:val="lt-LT"/>
        </w:rPr>
        <w:t>, pagal kurią</w:t>
      </w:r>
      <w:r w:rsidR="00EB032C" w:rsidRPr="00CE2BBF">
        <w:rPr>
          <w:rFonts w:ascii="Times New Roman" w:eastAsia="Times New Roman" w:hAnsi="Times New Roman" w:cs="Times New Roman"/>
          <w:sz w:val="24"/>
          <w:szCs w:val="24"/>
          <w:lang w:val="lt-LT"/>
        </w:rPr>
        <w:t xml:space="preserve"> n</w:t>
      </w:r>
      <w:r w:rsidR="00080619" w:rsidRPr="00CE2BBF">
        <w:rPr>
          <w:rFonts w:ascii="Times New Roman" w:eastAsia="Times New Roman" w:hAnsi="Times New Roman" w:cs="Times New Roman"/>
          <w:sz w:val="24"/>
          <w:szCs w:val="24"/>
          <w:lang w:val="lt-LT"/>
        </w:rPr>
        <w:t>otaro profesija yra valstybės kontroliuojama profesija, t. </w:t>
      </w:r>
      <w:r w:rsidR="00080619" w:rsidRPr="00255581">
        <w:rPr>
          <w:rFonts w:ascii="Times New Roman" w:eastAsia="Times New Roman" w:hAnsi="Times New Roman" w:cs="Times New Roman"/>
          <w:sz w:val="24"/>
          <w:szCs w:val="24"/>
          <w:lang w:val="lt-LT"/>
        </w:rPr>
        <w:t xml:space="preserve">y. toks viešąjį interesą užtikrinančių funkcijų – fizinių ir juridinių asmenų </w:t>
      </w:r>
      <w:r w:rsidR="00080619" w:rsidRPr="00255581">
        <w:rPr>
          <w:rFonts w:ascii="Times New Roman" w:eastAsia="Times New Roman" w:hAnsi="Times New Roman" w:cs="Times New Roman"/>
          <w:sz w:val="24"/>
          <w:szCs w:val="24"/>
          <w:lang w:val="lt-LT"/>
        </w:rPr>
        <w:lastRenderedPageBreak/>
        <w:t>subjektinių teisių ir juridinių faktų juridinio įtvirtinimo, šių asmenų ir valstybės teisėtų interesų apsaugos užtikrinimo – vykdymas, kai tai daro savarankiška profesine veikla besiverčiantys asmenys, o jiems šias funkcijas vykdyti perdavusi valstybė kontroliuoja, kaip jos vykdomos. Notarą skiria ir atleidžia teisingumo ministras, kuris</w:t>
      </w:r>
      <w:r w:rsidR="00080619" w:rsidRPr="00255581">
        <w:rPr>
          <w:rFonts w:ascii="Times New Roman" w:eastAsia="Times New Roman" w:hAnsi="Times New Roman" w:cs="Times New Roman"/>
          <w:i/>
          <w:iCs/>
          <w:sz w:val="24"/>
          <w:szCs w:val="24"/>
          <w:lang w:val="lt-LT"/>
        </w:rPr>
        <w:t> </w:t>
      </w:r>
      <w:proofErr w:type="spellStart"/>
      <w:r w:rsidR="00080619" w:rsidRPr="00255581">
        <w:rPr>
          <w:rFonts w:ascii="Times New Roman" w:eastAsia="Times New Roman" w:hAnsi="Times New Roman" w:cs="Times New Roman"/>
          <w:i/>
          <w:iCs/>
          <w:sz w:val="24"/>
          <w:szCs w:val="24"/>
          <w:lang w:val="lt-LT"/>
        </w:rPr>
        <w:t>inter</w:t>
      </w:r>
      <w:proofErr w:type="spellEnd"/>
      <w:r w:rsidR="00080619" w:rsidRPr="00255581">
        <w:rPr>
          <w:rFonts w:ascii="Times New Roman" w:eastAsia="Times New Roman" w:hAnsi="Times New Roman" w:cs="Times New Roman"/>
          <w:i/>
          <w:iCs/>
          <w:sz w:val="24"/>
          <w:szCs w:val="24"/>
          <w:lang w:val="lt-LT"/>
        </w:rPr>
        <w:t xml:space="preserve"> alia </w:t>
      </w:r>
      <w:r w:rsidR="00080619" w:rsidRPr="00255581">
        <w:rPr>
          <w:rFonts w:ascii="Times New Roman" w:eastAsia="Times New Roman" w:hAnsi="Times New Roman" w:cs="Times New Roman"/>
          <w:sz w:val="24"/>
          <w:szCs w:val="24"/>
          <w:lang w:val="lt-LT"/>
        </w:rPr>
        <w:t>prižiūri notariato veiklą. Notaras yra valstybės įgaliotas asmuo, kuris turi užtikrinti, kad civiliniuose teisiniuose santykiuose nebūtų neteisėtų sandorių ir dokumentų. Taigi notaras vykdo tokias funkcijas, kurių vykdymą valstybė privalo užtikrinti. Užtikrinti</w:t>
      </w:r>
      <w:r w:rsidR="00080619" w:rsidRPr="00CE2BBF">
        <w:rPr>
          <w:rFonts w:ascii="Times New Roman" w:eastAsia="Times New Roman" w:hAnsi="Times New Roman" w:cs="Times New Roman"/>
          <w:sz w:val="24"/>
          <w:szCs w:val="24"/>
          <w:lang w:val="lt-LT"/>
        </w:rPr>
        <w:t xml:space="preserve"> šių funkcijų vykdymą – viešasis interesas ir valstybės priedermė. Notaro veikla grindžiama </w:t>
      </w:r>
      <w:proofErr w:type="spellStart"/>
      <w:r w:rsidR="00080619" w:rsidRPr="00CE2BBF">
        <w:rPr>
          <w:rFonts w:ascii="Times New Roman" w:eastAsia="Times New Roman" w:hAnsi="Times New Roman" w:cs="Times New Roman"/>
          <w:i/>
          <w:iCs/>
          <w:sz w:val="24"/>
          <w:szCs w:val="24"/>
          <w:lang w:val="lt-LT"/>
        </w:rPr>
        <w:t>inter</w:t>
      </w:r>
      <w:proofErr w:type="spellEnd"/>
      <w:r w:rsidR="00080619" w:rsidRPr="00CE2BBF">
        <w:rPr>
          <w:rFonts w:ascii="Times New Roman" w:eastAsia="Times New Roman" w:hAnsi="Times New Roman" w:cs="Times New Roman"/>
          <w:i/>
          <w:iCs/>
          <w:sz w:val="24"/>
          <w:szCs w:val="24"/>
          <w:lang w:val="lt-LT"/>
        </w:rPr>
        <w:t xml:space="preserve"> alia</w:t>
      </w:r>
      <w:r w:rsidR="00080619" w:rsidRPr="00CE2BBF">
        <w:rPr>
          <w:rFonts w:ascii="Times New Roman" w:eastAsia="Times New Roman" w:hAnsi="Times New Roman" w:cs="Times New Roman"/>
          <w:sz w:val="24"/>
          <w:szCs w:val="24"/>
          <w:lang w:val="lt-LT"/>
        </w:rPr>
        <w:t> nepriklausomumo principu</w:t>
      </w:r>
      <w:r w:rsidR="00B97F73" w:rsidRPr="00CE2BBF">
        <w:rPr>
          <w:rFonts w:ascii="Times New Roman" w:eastAsia="Times New Roman" w:hAnsi="Times New Roman" w:cs="Times New Roman"/>
          <w:sz w:val="24"/>
          <w:szCs w:val="24"/>
          <w:lang w:val="lt-LT"/>
        </w:rPr>
        <w:t xml:space="preserve"> (2010 m. </w:t>
      </w:r>
      <w:r w:rsidR="00D628A5" w:rsidRPr="00CE2BBF">
        <w:rPr>
          <w:rFonts w:ascii="Times New Roman" w:eastAsia="Times New Roman" w:hAnsi="Times New Roman" w:cs="Times New Roman"/>
          <w:sz w:val="24"/>
          <w:szCs w:val="24"/>
          <w:lang w:val="lt-LT"/>
        </w:rPr>
        <w:t xml:space="preserve">kovo 22 d. </w:t>
      </w:r>
      <w:r w:rsidR="00BF2C11" w:rsidRPr="00CE2BBF">
        <w:rPr>
          <w:rFonts w:ascii="Times New Roman" w:eastAsia="Times New Roman" w:hAnsi="Times New Roman" w:cs="Times New Roman"/>
          <w:sz w:val="24"/>
          <w:szCs w:val="24"/>
          <w:lang w:val="lt-LT"/>
        </w:rPr>
        <w:t xml:space="preserve">Lietuvos Respublikos Konstitucinio Teismo </w:t>
      </w:r>
      <w:r w:rsidR="00D628A5" w:rsidRPr="00CE2BBF">
        <w:rPr>
          <w:rFonts w:ascii="Times New Roman" w:eastAsia="Times New Roman" w:hAnsi="Times New Roman" w:cs="Times New Roman"/>
          <w:sz w:val="24"/>
          <w:szCs w:val="24"/>
          <w:lang w:val="lt-LT"/>
        </w:rPr>
        <w:t>nutarimas</w:t>
      </w:r>
      <w:r w:rsidR="00B97F73" w:rsidRPr="00CE2BBF">
        <w:rPr>
          <w:rFonts w:ascii="Times New Roman" w:eastAsia="Times New Roman" w:hAnsi="Times New Roman" w:cs="Times New Roman"/>
          <w:sz w:val="24"/>
          <w:szCs w:val="24"/>
          <w:lang w:val="lt-LT"/>
        </w:rPr>
        <w:t>)</w:t>
      </w:r>
      <w:r w:rsidR="00206A75" w:rsidRPr="00CE2BBF">
        <w:rPr>
          <w:rFonts w:ascii="Times New Roman" w:eastAsia="Times New Roman" w:hAnsi="Times New Roman" w:cs="Times New Roman"/>
          <w:sz w:val="24"/>
          <w:szCs w:val="24"/>
          <w:lang w:val="lt-LT"/>
        </w:rPr>
        <w:t>.</w:t>
      </w:r>
      <w:r w:rsidR="00CE2BBF" w:rsidRPr="00CE2BBF">
        <w:rPr>
          <w:rFonts w:ascii="Times New Roman" w:eastAsia="Times New Roman" w:hAnsi="Times New Roman" w:cs="Times New Roman"/>
          <w:sz w:val="24"/>
          <w:szCs w:val="24"/>
          <w:lang w:val="lt-LT"/>
        </w:rPr>
        <w:t xml:space="preserve"> </w:t>
      </w:r>
      <w:r w:rsidR="00531924" w:rsidRPr="00CE2BBF">
        <w:rPr>
          <w:rFonts w:ascii="Times New Roman" w:eastAsia="Times New Roman" w:hAnsi="Times New Roman" w:cs="Times New Roman"/>
          <w:sz w:val="24"/>
          <w:szCs w:val="24"/>
          <w:lang w:val="lt-LT"/>
        </w:rPr>
        <w:t>Taigi</w:t>
      </w:r>
      <w:r w:rsidR="00002023" w:rsidRPr="00CE2BBF">
        <w:rPr>
          <w:rFonts w:ascii="Times New Roman" w:eastAsia="Times New Roman" w:hAnsi="Times New Roman" w:cs="Times New Roman"/>
          <w:sz w:val="24"/>
          <w:szCs w:val="24"/>
          <w:lang w:val="lt-LT"/>
        </w:rPr>
        <w:t xml:space="preserve">, viena vertus, </w:t>
      </w:r>
      <w:r w:rsidR="0069794D" w:rsidRPr="00CE2BBF">
        <w:rPr>
          <w:rFonts w:ascii="Times New Roman" w:eastAsia="Times New Roman" w:hAnsi="Times New Roman" w:cs="Times New Roman"/>
          <w:sz w:val="24"/>
          <w:szCs w:val="24"/>
          <w:lang w:val="lt-LT"/>
        </w:rPr>
        <w:t>vertinant bendrai, notarų veikla</w:t>
      </w:r>
      <w:r w:rsidR="00531924" w:rsidRPr="00CE2BBF">
        <w:rPr>
          <w:rFonts w:ascii="Times New Roman" w:eastAsia="Times New Roman" w:hAnsi="Times New Roman" w:cs="Times New Roman"/>
          <w:sz w:val="24"/>
          <w:szCs w:val="24"/>
          <w:lang w:val="lt-LT"/>
        </w:rPr>
        <w:t xml:space="preserve"> </w:t>
      </w:r>
      <w:r w:rsidR="002C6FFE" w:rsidRPr="00CE2BBF">
        <w:rPr>
          <w:rFonts w:ascii="Times New Roman" w:eastAsia="Times New Roman" w:hAnsi="Times New Roman" w:cs="Times New Roman"/>
          <w:sz w:val="24"/>
          <w:szCs w:val="24"/>
          <w:lang w:val="lt-LT"/>
        </w:rPr>
        <w:t>apim</w:t>
      </w:r>
      <w:r w:rsidR="007E7F1A" w:rsidRPr="00CE2BBF">
        <w:rPr>
          <w:rFonts w:ascii="Times New Roman" w:eastAsia="Times New Roman" w:hAnsi="Times New Roman" w:cs="Times New Roman"/>
          <w:sz w:val="24"/>
          <w:szCs w:val="24"/>
          <w:lang w:val="lt-LT"/>
        </w:rPr>
        <w:t>a</w:t>
      </w:r>
      <w:r w:rsidR="002C6FFE" w:rsidRPr="00CE2BBF">
        <w:rPr>
          <w:rFonts w:ascii="Times New Roman" w:eastAsia="Times New Roman" w:hAnsi="Times New Roman" w:cs="Times New Roman"/>
          <w:sz w:val="24"/>
          <w:szCs w:val="24"/>
          <w:lang w:val="lt-LT"/>
        </w:rPr>
        <w:t xml:space="preserve"> viešąjį interesą užtikrinančių funkcijų vykdymą</w:t>
      </w:r>
      <w:r w:rsidR="00D84415" w:rsidRPr="00CE2BBF">
        <w:rPr>
          <w:rFonts w:ascii="Times New Roman" w:eastAsia="Times New Roman" w:hAnsi="Times New Roman" w:cs="Times New Roman"/>
          <w:sz w:val="24"/>
          <w:szCs w:val="24"/>
          <w:lang w:val="lt-LT"/>
        </w:rPr>
        <w:t>, kurį kontroliuoja valstybė.</w:t>
      </w:r>
      <w:r w:rsidR="003B76D9" w:rsidRPr="00CE2BBF">
        <w:rPr>
          <w:rFonts w:ascii="Times New Roman" w:eastAsia="Times New Roman" w:hAnsi="Times New Roman" w:cs="Times New Roman"/>
          <w:sz w:val="24"/>
          <w:szCs w:val="24"/>
          <w:lang w:val="lt-LT"/>
        </w:rPr>
        <w:t xml:space="preserve"> </w:t>
      </w:r>
    </w:p>
    <w:p w14:paraId="0E64A5B4" w14:textId="46B329CE" w:rsidR="005B54F3" w:rsidRPr="005B54F3" w:rsidRDefault="00460612" w:rsidP="005B54F3">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Vis dėlto</w:t>
      </w:r>
      <w:r w:rsidR="006A1F23">
        <w:rPr>
          <w:rFonts w:ascii="Times New Roman" w:eastAsia="Times New Roman" w:hAnsi="Times New Roman" w:cs="Times New Roman"/>
          <w:sz w:val="24"/>
          <w:szCs w:val="24"/>
          <w:lang w:val="lt-LT"/>
        </w:rPr>
        <w:t xml:space="preserve"> </w:t>
      </w:r>
      <w:r w:rsidR="003812B6">
        <w:rPr>
          <w:rFonts w:ascii="Times New Roman" w:eastAsia="Times New Roman" w:hAnsi="Times New Roman" w:cs="Times New Roman"/>
          <w:sz w:val="24"/>
          <w:szCs w:val="24"/>
          <w:lang w:val="lt-LT"/>
        </w:rPr>
        <w:t>notarų statusas</w:t>
      </w:r>
      <w:r w:rsidR="00B67CB2">
        <w:rPr>
          <w:rFonts w:ascii="Times New Roman" w:eastAsia="Times New Roman" w:hAnsi="Times New Roman" w:cs="Times New Roman"/>
          <w:sz w:val="24"/>
          <w:szCs w:val="24"/>
          <w:lang w:val="lt-LT"/>
        </w:rPr>
        <w:t xml:space="preserve"> pagal Lietuvos</w:t>
      </w:r>
      <w:r w:rsidR="00BA78A5">
        <w:rPr>
          <w:rFonts w:ascii="Times New Roman" w:eastAsia="Times New Roman" w:hAnsi="Times New Roman" w:cs="Times New Roman"/>
          <w:sz w:val="24"/>
          <w:szCs w:val="24"/>
          <w:lang w:val="lt-LT"/>
        </w:rPr>
        <w:t xml:space="preserve"> teisinę sistemą</w:t>
      </w:r>
      <w:r w:rsidR="003812B6">
        <w:rPr>
          <w:rFonts w:ascii="Times New Roman" w:eastAsia="Times New Roman" w:hAnsi="Times New Roman" w:cs="Times New Roman"/>
          <w:sz w:val="24"/>
          <w:szCs w:val="24"/>
          <w:lang w:val="lt-LT"/>
        </w:rPr>
        <w:t xml:space="preserve"> </w:t>
      </w:r>
      <w:r w:rsidR="003812B6" w:rsidRPr="00064026">
        <w:rPr>
          <w:rFonts w:ascii="Times New Roman" w:eastAsia="Times New Roman" w:hAnsi="Times New Roman" w:cs="Times New Roman"/>
          <w:i/>
          <w:iCs/>
          <w:sz w:val="24"/>
          <w:szCs w:val="24"/>
          <w:lang w:val="lt-LT"/>
        </w:rPr>
        <w:t xml:space="preserve">per </w:t>
      </w:r>
      <w:proofErr w:type="spellStart"/>
      <w:r w:rsidR="003812B6" w:rsidRPr="00064026">
        <w:rPr>
          <w:rFonts w:ascii="Times New Roman" w:eastAsia="Times New Roman" w:hAnsi="Times New Roman" w:cs="Times New Roman"/>
          <w:i/>
          <w:iCs/>
          <w:sz w:val="24"/>
          <w:szCs w:val="24"/>
          <w:lang w:val="lt-LT"/>
        </w:rPr>
        <w:t>se</w:t>
      </w:r>
      <w:proofErr w:type="spellEnd"/>
      <w:r w:rsidR="003812B6">
        <w:rPr>
          <w:rFonts w:ascii="Times New Roman" w:eastAsia="Times New Roman" w:hAnsi="Times New Roman" w:cs="Times New Roman"/>
          <w:sz w:val="24"/>
          <w:szCs w:val="24"/>
          <w:lang w:val="lt-LT"/>
        </w:rPr>
        <w:t xml:space="preserve"> nelemia </w:t>
      </w:r>
      <w:r w:rsidR="00064026">
        <w:rPr>
          <w:rFonts w:ascii="Times New Roman" w:eastAsia="Times New Roman" w:hAnsi="Times New Roman" w:cs="Times New Roman"/>
          <w:sz w:val="24"/>
          <w:szCs w:val="24"/>
          <w:lang w:val="lt-LT"/>
        </w:rPr>
        <w:t xml:space="preserve">išvados, kad </w:t>
      </w:r>
      <w:r w:rsidR="002A2FD4">
        <w:rPr>
          <w:rFonts w:ascii="Times New Roman" w:eastAsia="Times New Roman" w:hAnsi="Times New Roman" w:cs="Times New Roman"/>
          <w:sz w:val="24"/>
          <w:szCs w:val="24"/>
          <w:lang w:val="lt-LT"/>
        </w:rPr>
        <w:t>visa notarų vykdoma veikla apima viešosios valdžios</w:t>
      </w:r>
      <w:r w:rsidR="00F34039">
        <w:rPr>
          <w:rFonts w:ascii="Times New Roman" w:eastAsia="Times New Roman" w:hAnsi="Times New Roman" w:cs="Times New Roman"/>
          <w:sz w:val="24"/>
          <w:szCs w:val="24"/>
          <w:lang w:val="lt-LT"/>
        </w:rPr>
        <w:t xml:space="preserve"> funkcijų vykdymą.</w:t>
      </w:r>
      <w:r w:rsidR="00997050" w:rsidRPr="008D282F">
        <w:rPr>
          <w:rFonts w:ascii="Times New Roman" w:eastAsia="Times New Roman" w:hAnsi="Times New Roman" w:cs="Times New Roman"/>
          <w:color w:val="7030A0"/>
          <w:sz w:val="24"/>
          <w:szCs w:val="24"/>
          <w:lang w:val="lt-LT"/>
        </w:rPr>
        <w:t xml:space="preserve"> </w:t>
      </w:r>
      <w:r w:rsidR="007A5C2D">
        <w:rPr>
          <w:rFonts w:ascii="Times New Roman" w:eastAsia="Times New Roman" w:hAnsi="Times New Roman" w:cs="Times New Roman"/>
          <w:sz w:val="24"/>
          <w:szCs w:val="24"/>
          <w:lang w:val="lt-LT"/>
        </w:rPr>
        <w:t>Šiuo aspektu reikia pabrėžti, kad n</w:t>
      </w:r>
      <w:r w:rsidR="00997050">
        <w:rPr>
          <w:rFonts w:ascii="Times New Roman" w:eastAsia="Times New Roman" w:hAnsi="Times New Roman" w:cs="Times New Roman"/>
          <w:sz w:val="24"/>
          <w:szCs w:val="24"/>
          <w:lang w:val="lt-LT"/>
        </w:rPr>
        <w:t>agrinėjamo</w:t>
      </w:r>
      <w:r w:rsidR="009678AB">
        <w:rPr>
          <w:rFonts w:ascii="Times New Roman" w:eastAsia="Times New Roman" w:hAnsi="Times New Roman" w:cs="Times New Roman"/>
          <w:sz w:val="24"/>
          <w:szCs w:val="24"/>
          <w:lang w:val="lt-LT"/>
        </w:rPr>
        <w:t xml:space="preserve"> ginčo </w:t>
      </w:r>
      <w:r w:rsidR="007A5C2D">
        <w:rPr>
          <w:rFonts w:ascii="Times New Roman" w:eastAsia="Times New Roman" w:hAnsi="Times New Roman" w:cs="Times New Roman"/>
          <w:sz w:val="24"/>
          <w:szCs w:val="24"/>
          <w:lang w:val="lt-LT"/>
        </w:rPr>
        <w:t>kontekste</w:t>
      </w:r>
      <w:r w:rsidR="0087219E">
        <w:rPr>
          <w:rFonts w:ascii="Times New Roman" w:eastAsia="Times New Roman" w:hAnsi="Times New Roman" w:cs="Times New Roman"/>
          <w:sz w:val="24"/>
          <w:szCs w:val="24"/>
          <w:lang w:val="lt-LT"/>
        </w:rPr>
        <w:t xml:space="preserve"> </w:t>
      </w:r>
      <w:r w:rsidR="004D47F1">
        <w:rPr>
          <w:rFonts w:ascii="Times New Roman" w:eastAsia="Times New Roman" w:hAnsi="Times New Roman" w:cs="Times New Roman"/>
          <w:sz w:val="24"/>
          <w:szCs w:val="24"/>
          <w:lang w:val="lt-LT"/>
        </w:rPr>
        <w:t xml:space="preserve">nėra </w:t>
      </w:r>
      <w:r w:rsidR="00D432D1">
        <w:rPr>
          <w:rFonts w:ascii="Times New Roman" w:eastAsia="Times New Roman" w:hAnsi="Times New Roman" w:cs="Times New Roman"/>
          <w:sz w:val="24"/>
          <w:szCs w:val="24"/>
          <w:lang w:val="lt-LT"/>
        </w:rPr>
        <w:t xml:space="preserve">reikšminga ir aktuali </w:t>
      </w:r>
      <w:r w:rsidR="008401FA">
        <w:rPr>
          <w:rFonts w:ascii="Times New Roman" w:eastAsia="Times New Roman" w:hAnsi="Times New Roman" w:cs="Times New Roman"/>
          <w:sz w:val="24"/>
          <w:szCs w:val="24"/>
          <w:lang w:val="lt-LT"/>
        </w:rPr>
        <w:t xml:space="preserve">teisinio kvalifikavimo prasme </w:t>
      </w:r>
      <w:r w:rsidR="00D432D1">
        <w:rPr>
          <w:rFonts w:ascii="Times New Roman" w:eastAsia="Times New Roman" w:hAnsi="Times New Roman" w:cs="Times New Roman"/>
          <w:sz w:val="24"/>
          <w:szCs w:val="24"/>
          <w:lang w:val="lt-LT"/>
        </w:rPr>
        <w:t xml:space="preserve">notarų veikla </w:t>
      </w:r>
      <w:proofErr w:type="spellStart"/>
      <w:r w:rsidR="00D432D1" w:rsidRPr="002E734C">
        <w:rPr>
          <w:rFonts w:ascii="Times New Roman" w:eastAsia="Times New Roman" w:hAnsi="Times New Roman" w:cs="Times New Roman"/>
          <w:i/>
          <w:iCs/>
          <w:sz w:val="24"/>
          <w:szCs w:val="24"/>
          <w:lang w:val="lt-LT"/>
        </w:rPr>
        <w:t>in</w:t>
      </w:r>
      <w:proofErr w:type="spellEnd"/>
      <w:r w:rsidR="00D432D1" w:rsidRPr="002E734C">
        <w:rPr>
          <w:rFonts w:ascii="Times New Roman" w:eastAsia="Times New Roman" w:hAnsi="Times New Roman" w:cs="Times New Roman"/>
          <w:i/>
          <w:iCs/>
          <w:sz w:val="24"/>
          <w:szCs w:val="24"/>
          <w:lang w:val="lt-LT"/>
        </w:rPr>
        <w:t xml:space="preserve"> </w:t>
      </w:r>
      <w:proofErr w:type="spellStart"/>
      <w:r w:rsidR="00D432D1" w:rsidRPr="002E734C">
        <w:rPr>
          <w:rFonts w:ascii="Times New Roman" w:eastAsia="Times New Roman" w:hAnsi="Times New Roman" w:cs="Times New Roman"/>
          <w:i/>
          <w:iCs/>
          <w:sz w:val="24"/>
          <w:szCs w:val="24"/>
          <w:lang w:val="lt-LT"/>
        </w:rPr>
        <w:t>abstracto</w:t>
      </w:r>
      <w:proofErr w:type="spellEnd"/>
      <w:r w:rsidR="00A75DBF">
        <w:rPr>
          <w:rFonts w:ascii="Times New Roman" w:eastAsia="Times New Roman" w:hAnsi="Times New Roman" w:cs="Times New Roman"/>
          <w:sz w:val="24"/>
          <w:szCs w:val="24"/>
          <w:lang w:val="lt-LT"/>
        </w:rPr>
        <w:t xml:space="preserve">, o tik toji, </w:t>
      </w:r>
      <w:r w:rsidR="00986CE7">
        <w:rPr>
          <w:rFonts w:ascii="Times New Roman" w:eastAsia="Times New Roman" w:hAnsi="Times New Roman" w:cs="Times New Roman"/>
          <w:sz w:val="24"/>
          <w:szCs w:val="24"/>
          <w:lang w:val="lt-LT"/>
        </w:rPr>
        <w:t xml:space="preserve">kuri konkrečiai susijusi su byloje vertinamais Išaiškinimais. </w:t>
      </w:r>
      <w:r w:rsidR="0047408B">
        <w:rPr>
          <w:rFonts w:ascii="Times New Roman" w:eastAsia="Times New Roman" w:hAnsi="Times New Roman" w:cs="Times New Roman"/>
          <w:sz w:val="24"/>
          <w:szCs w:val="24"/>
          <w:lang w:val="lt-LT"/>
        </w:rPr>
        <w:t>Todėl išplėstinė teisėjų kolegija</w:t>
      </w:r>
      <w:r w:rsidR="000E1CEB">
        <w:rPr>
          <w:rFonts w:ascii="Times New Roman" w:eastAsia="Times New Roman" w:hAnsi="Times New Roman" w:cs="Times New Roman"/>
          <w:sz w:val="24"/>
          <w:szCs w:val="24"/>
          <w:lang w:val="lt-LT"/>
        </w:rPr>
        <w:t xml:space="preserve"> </w:t>
      </w:r>
      <w:r w:rsidR="00454D15">
        <w:rPr>
          <w:rFonts w:ascii="Times New Roman" w:eastAsia="Times New Roman" w:hAnsi="Times New Roman" w:cs="Times New Roman"/>
          <w:sz w:val="24"/>
          <w:szCs w:val="24"/>
          <w:lang w:val="lt-LT"/>
        </w:rPr>
        <w:t>sieks nustatyti</w:t>
      </w:r>
      <w:r w:rsidR="00F26625">
        <w:rPr>
          <w:rFonts w:ascii="Times New Roman" w:eastAsia="Times New Roman" w:hAnsi="Times New Roman" w:cs="Times New Roman"/>
          <w:sz w:val="24"/>
          <w:szCs w:val="24"/>
          <w:lang w:val="lt-LT"/>
        </w:rPr>
        <w:t>, ar</w:t>
      </w:r>
      <w:r w:rsidR="0047408B">
        <w:rPr>
          <w:rFonts w:ascii="Times New Roman" w:eastAsia="Times New Roman" w:hAnsi="Times New Roman" w:cs="Times New Roman"/>
          <w:sz w:val="24"/>
          <w:szCs w:val="24"/>
          <w:lang w:val="lt-LT"/>
        </w:rPr>
        <w:t xml:space="preserve"> </w:t>
      </w:r>
      <w:r w:rsidR="0038329D">
        <w:rPr>
          <w:rFonts w:ascii="Times New Roman" w:eastAsia="Times New Roman" w:hAnsi="Times New Roman" w:cs="Times New Roman"/>
          <w:sz w:val="24"/>
          <w:szCs w:val="24"/>
          <w:lang w:val="lt-LT"/>
        </w:rPr>
        <w:t>bū</w:t>
      </w:r>
      <w:r w:rsidR="00151A7E">
        <w:rPr>
          <w:rFonts w:ascii="Times New Roman" w:eastAsia="Times New Roman" w:hAnsi="Times New Roman" w:cs="Times New Roman"/>
          <w:sz w:val="24"/>
          <w:szCs w:val="24"/>
          <w:lang w:val="lt-LT"/>
        </w:rPr>
        <w:t>tent šių notarinių funkcijų</w:t>
      </w:r>
      <w:r w:rsidR="00F26625">
        <w:rPr>
          <w:rFonts w:ascii="Times New Roman" w:eastAsia="Times New Roman" w:hAnsi="Times New Roman" w:cs="Times New Roman"/>
          <w:sz w:val="24"/>
          <w:szCs w:val="24"/>
          <w:lang w:val="lt-LT"/>
        </w:rPr>
        <w:t xml:space="preserve"> atlikimas gali būti laikomas </w:t>
      </w:r>
      <w:r w:rsidR="00140E67">
        <w:rPr>
          <w:rFonts w:ascii="Times New Roman" w:eastAsia="Times New Roman" w:hAnsi="Times New Roman" w:cs="Times New Roman"/>
          <w:sz w:val="24"/>
          <w:szCs w:val="24"/>
          <w:lang w:val="lt-LT"/>
        </w:rPr>
        <w:t>viešųjų funkcijų vykdymu</w:t>
      </w:r>
      <w:r w:rsidR="00D53EA0">
        <w:rPr>
          <w:rFonts w:ascii="Times New Roman" w:eastAsia="Times New Roman" w:hAnsi="Times New Roman" w:cs="Times New Roman"/>
          <w:sz w:val="24"/>
          <w:szCs w:val="24"/>
          <w:lang w:val="lt-LT"/>
        </w:rPr>
        <w:t>.</w:t>
      </w:r>
      <w:r w:rsidR="00151A7E">
        <w:rPr>
          <w:rFonts w:ascii="Times New Roman" w:eastAsia="Times New Roman" w:hAnsi="Times New Roman" w:cs="Times New Roman"/>
          <w:sz w:val="24"/>
          <w:szCs w:val="24"/>
          <w:lang w:val="lt-LT"/>
        </w:rPr>
        <w:t xml:space="preserve"> </w:t>
      </w:r>
      <w:r w:rsidR="00C6282E">
        <w:rPr>
          <w:rFonts w:ascii="Times New Roman" w:eastAsia="Times New Roman" w:hAnsi="Times New Roman" w:cs="Times New Roman"/>
          <w:sz w:val="24"/>
          <w:szCs w:val="24"/>
          <w:lang w:val="lt-LT"/>
        </w:rPr>
        <w:t>Tokį</w:t>
      </w:r>
      <w:r w:rsidR="00454D15">
        <w:rPr>
          <w:rFonts w:ascii="Times New Roman" w:eastAsia="Times New Roman" w:hAnsi="Times New Roman" w:cs="Times New Roman"/>
          <w:sz w:val="24"/>
          <w:szCs w:val="24"/>
          <w:lang w:val="lt-LT"/>
        </w:rPr>
        <w:t xml:space="preserve"> vertinimą</w:t>
      </w:r>
      <w:r w:rsidR="00B33704">
        <w:rPr>
          <w:rFonts w:ascii="Times New Roman" w:eastAsia="Times New Roman" w:hAnsi="Times New Roman" w:cs="Times New Roman"/>
          <w:sz w:val="24"/>
          <w:szCs w:val="24"/>
          <w:lang w:val="lt-LT"/>
        </w:rPr>
        <w:t xml:space="preserve"> pagrindžia</w:t>
      </w:r>
      <w:r w:rsidR="003C749F">
        <w:rPr>
          <w:rFonts w:ascii="Times New Roman" w:eastAsia="Times New Roman" w:hAnsi="Times New Roman" w:cs="Times New Roman"/>
          <w:sz w:val="24"/>
          <w:szCs w:val="24"/>
          <w:lang w:val="lt-LT"/>
        </w:rPr>
        <w:t xml:space="preserve"> ir Teisingumo Teismo </w:t>
      </w:r>
      <w:r w:rsidR="00791B73">
        <w:rPr>
          <w:rFonts w:ascii="Times New Roman" w:eastAsia="Times New Roman" w:hAnsi="Times New Roman" w:cs="Times New Roman"/>
          <w:sz w:val="24"/>
          <w:szCs w:val="24"/>
          <w:lang w:val="lt-LT"/>
        </w:rPr>
        <w:t xml:space="preserve">išaiškinimas, kuriame </w:t>
      </w:r>
      <w:r w:rsidR="00970AC1">
        <w:rPr>
          <w:rFonts w:ascii="Times New Roman" w:eastAsia="Times New Roman" w:hAnsi="Times New Roman" w:cs="Times New Roman"/>
          <w:sz w:val="24"/>
          <w:szCs w:val="24"/>
          <w:lang w:val="lt-LT"/>
        </w:rPr>
        <w:t xml:space="preserve">pažymėjęs, jog </w:t>
      </w:r>
      <w:r w:rsidR="00791B73">
        <w:rPr>
          <w:rFonts w:ascii="Times New Roman" w:eastAsia="Times New Roman" w:hAnsi="Times New Roman" w:cs="Times New Roman"/>
          <w:sz w:val="24"/>
          <w:szCs w:val="24"/>
          <w:lang w:val="lt-LT"/>
        </w:rPr>
        <w:t xml:space="preserve"> Ispanijos notar</w:t>
      </w:r>
      <w:r w:rsidR="00997F91">
        <w:rPr>
          <w:rFonts w:ascii="Times New Roman" w:eastAsia="Times New Roman" w:hAnsi="Times New Roman" w:cs="Times New Roman"/>
          <w:sz w:val="24"/>
          <w:szCs w:val="24"/>
          <w:lang w:val="lt-LT"/>
        </w:rPr>
        <w:t>ai</w:t>
      </w:r>
      <w:r w:rsidR="009678AB">
        <w:rPr>
          <w:rFonts w:ascii="Times New Roman" w:eastAsia="Times New Roman" w:hAnsi="Times New Roman" w:cs="Times New Roman"/>
          <w:sz w:val="24"/>
          <w:szCs w:val="24"/>
          <w:lang w:val="lt-LT"/>
        </w:rPr>
        <w:t xml:space="preserve"> </w:t>
      </w:r>
      <w:r w:rsidR="00970AC1" w:rsidRPr="00970AC1">
        <w:rPr>
          <w:rFonts w:ascii="Times New Roman" w:hAnsi="Times New Roman" w:cs="Times New Roman"/>
          <w:color w:val="000000"/>
          <w:sz w:val="24"/>
          <w:szCs w:val="24"/>
          <w:lang w:val="lt-LT"/>
        </w:rPr>
        <w:t>yra valstybės pareigūnai, kurie praėję konkursą skiriami ministro įsakymu</w:t>
      </w:r>
      <w:r w:rsidR="00C513A5">
        <w:rPr>
          <w:rFonts w:ascii="Times New Roman" w:hAnsi="Times New Roman" w:cs="Times New Roman"/>
          <w:color w:val="000000"/>
          <w:sz w:val="24"/>
          <w:szCs w:val="24"/>
          <w:lang w:val="lt-LT"/>
        </w:rPr>
        <w:t xml:space="preserve">, </w:t>
      </w:r>
      <w:r w:rsidR="00156614">
        <w:rPr>
          <w:rFonts w:ascii="Times New Roman" w:hAnsi="Times New Roman" w:cs="Times New Roman"/>
          <w:color w:val="000000"/>
          <w:sz w:val="24"/>
          <w:szCs w:val="24"/>
          <w:lang w:val="lt-LT"/>
        </w:rPr>
        <w:t xml:space="preserve">ESTT nurodė, kad </w:t>
      </w:r>
      <w:r w:rsidR="007335BF" w:rsidRPr="005B54F3">
        <w:rPr>
          <w:rFonts w:ascii="Times New Roman" w:hAnsi="Times New Roman" w:cs="Times New Roman"/>
          <w:color w:val="000000"/>
          <w:sz w:val="24"/>
          <w:szCs w:val="24"/>
          <w:lang w:val="lt-LT"/>
        </w:rPr>
        <w:t>būtent atsižvelgiant į pačią veiklą, o ne į notarų statusą pagal Ispanijos teisės sistemą, reikia patikrinti, ar jie vykdo viešosios valdžios prerogatyvas</w:t>
      </w:r>
      <w:r w:rsidR="00CD7AF8">
        <w:rPr>
          <w:rFonts w:ascii="Times New Roman" w:hAnsi="Times New Roman" w:cs="Times New Roman"/>
          <w:color w:val="000000"/>
          <w:sz w:val="24"/>
          <w:szCs w:val="24"/>
          <w:lang w:val="lt-LT"/>
        </w:rPr>
        <w:t xml:space="preserve"> (</w:t>
      </w:r>
      <w:r w:rsidR="00E632E1" w:rsidRPr="00E632E1">
        <w:rPr>
          <w:rFonts w:ascii="Times New Roman" w:hAnsi="Times New Roman" w:cs="Times New Roman"/>
          <w:color w:val="000000"/>
          <w:sz w:val="24"/>
          <w:szCs w:val="24"/>
          <w:lang w:val="lt-LT"/>
        </w:rPr>
        <w:t>2023 m. lapkričio 16 d.</w:t>
      </w:r>
      <w:r w:rsidR="00E632E1">
        <w:rPr>
          <w:rFonts w:ascii="Times New Roman" w:hAnsi="Times New Roman" w:cs="Times New Roman"/>
          <w:color w:val="000000"/>
          <w:sz w:val="24"/>
          <w:szCs w:val="24"/>
          <w:lang w:val="lt-LT"/>
        </w:rPr>
        <w:t xml:space="preserve"> Teisingumo Teismo sprendimas </w:t>
      </w:r>
      <w:r w:rsidR="00EB2548" w:rsidRPr="00EB2548">
        <w:rPr>
          <w:rFonts w:ascii="Times New Roman" w:hAnsi="Times New Roman" w:cs="Times New Roman"/>
          <w:i/>
          <w:iCs/>
          <w:color w:val="000000"/>
          <w:sz w:val="24"/>
          <w:szCs w:val="24"/>
          <w:lang w:val="lt-LT"/>
        </w:rPr>
        <w:t>NC (</w:t>
      </w:r>
      <w:proofErr w:type="spellStart"/>
      <w:r w:rsidR="00EB2548" w:rsidRPr="00EB2548">
        <w:rPr>
          <w:rFonts w:ascii="Times New Roman" w:hAnsi="Times New Roman" w:cs="Times New Roman"/>
          <w:i/>
          <w:iCs/>
          <w:color w:val="000000"/>
          <w:sz w:val="24"/>
          <w:szCs w:val="24"/>
          <w:lang w:val="lt-LT"/>
        </w:rPr>
        <w:t>Transfert</w:t>
      </w:r>
      <w:proofErr w:type="spellEnd"/>
      <w:r w:rsidR="00EB2548" w:rsidRPr="00EB2548">
        <w:rPr>
          <w:rFonts w:ascii="Times New Roman" w:hAnsi="Times New Roman" w:cs="Times New Roman"/>
          <w:i/>
          <w:iCs/>
          <w:color w:val="000000"/>
          <w:sz w:val="24"/>
          <w:szCs w:val="24"/>
          <w:lang w:val="lt-LT"/>
        </w:rPr>
        <w:t xml:space="preserve"> </w:t>
      </w:r>
      <w:proofErr w:type="spellStart"/>
      <w:r w:rsidR="00EB2548" w:rsidRPr="00EB2548">
        <w:rPr>
          <w:rFonts w:ascii="Times New Roman" w:hAnsi="Times New Roman" w:cs="Times New Roman"/>
          <w:i/>
          <w:iCs/>
          <w:color w:val="000000"/>
          <w:sz w:val="24"/>
          <w:szCs w:val="24"/>
          <w:lang w:val="lt-LT"/>
        </w:rPr>
        <w:t>d’une</w:t>
      </w:r>
      <w:proofErr w:type="spellEnd"/>
      <w:r w:rsidR="00EB2548" w:rsidRPr="00EB2548">
        <w:rPr>
          <w:rFonts w:ascii="Times New Roman" w:hAnsi="Times New Roman" w:cs="Times New Roman"/>
          <w:i/>
          <w:iCs/>
          <w:color w:val="000000"/>
          <w:sz w:val="24"/>
          <w:szCs w:val="24"/>
          <w:lang w:val="lt-LT"/>
        </w:rPr>
        <w:t xml:space="preserve"> </w:t>
      </w:r>
      <w:proofErr w:type="spellStart"/>
      <w:r w:rsidR="00EB2548" w:rsidRPr="00EB2548">
        <w:rPr>
          <w:rFonts w:ascii="Times New Roman" w:hAnsi="Times New Roman" w:cs="Times New Roman"/>
          <w:i/>
          <w:iCs/>
          <w:color w:val="000000"/>
          <w:sz w:val="24"/>
          <w:szCs w:val="24"/>
          <w:lang w:val="lt-LT"/>
        </w:rPr>
        <w:t>étude</w:t>
      </w:r>
      <w:proofErr w:type="spellEnd"/>
      <w:r w:rsidR="00EB2548" w:rsidRPr="00EB2548">
        <w:rPr>
          <w:rFonts w:ascii="Times New Roman" w:hAnsi="Times New Roman" w:cs="Times New Roman"/>
          <w:i/>
          <w:iCs/>
          <w:color w:val="000000"/>
          <w:sz w:val="24"/>
          <w:szCs w:val="24"/>
          <w:lang w:val="lt-LT"/>
        </w:rPr>
        <w:t xml:space="preserve"> </w:t>
      </w:r>
      <w:proofErr w:type="spellStart"/>
      <w:r w:rsidR="00EB2548" w:rsidRPr="00EB2548">
        <w:rPr>
          <w:rFonts w:ascii="Times New Roman" w:hAnsi="Times New Roman" w:cs="Times New Roman"/>
          <w:i/>
          <w:iCs/>
          <w:color w:val="000000"/>
          <w:sz w:val="24"/>
          <w:szCs w:val="24"/>
          <w:lang w:val="lt-LT"/>
        </w:rPr>
        <w:t>notariale</w:t>
      </w:r>
      <w:proofErr w:type="spellEnd"/>
      <w:r w:rsidR="00EB2548" w:rsidRPr="00EB2548">
        <w:rPr>
          <w:rFonts w:ascii="Times New Roman" w:hAnsi="Times New Roman" w:cs="Times New Roman"/>
          <w:i/>
          <w:iCs/>
          <w:color w:val="000000"/>
          <w:sz w:val="24"/>
          <w:szCs w:val="24"/>
          <w:lang w:val="lt-LT"/>
        </w:rPr>
        <w:t xml:space="preserve"> </w:t>
      </w:r>
      <w:proofErr w:type="spellStart"/>
      <w:r w:rsidR="00EB2548" w:rsidRPr="00EB2548">
        <w:rPr>
          <w:rFonts w:ascii="Times New Roman" w:hAnsi="Times New Roman" w:cs="Times New Roman"/>
          <w:i/>
          <w:iCs/>
          <w:color w:val="000000"/>
          <w:sz w:val="24"/>
          <w:szCs w:val="24"/>
          <w:lang w:val="lt-LT"/>
        </w:rPr>
        <w:t>espagnole</w:t>
      </w:r>
      <w:proofErr w:type="spellEnd"/>
      <w:r w:rsidR="00EB2548" w:rsidRPr="00EB2548">
        <w:rPr>
          <w:rFonts w:ascii="Times New Roman" w:hAnsi="Times New Roman" w:cs="Times New Roman"/>
          <w:i/>
          <w:iCs/>
          <w:color w:val="000000"/>
          <w:sz w:val="24"/>
          <w:szCs w:val="24"/>
          <w:lang w:val="lt-LT"/>
        </w:rPr>
        <w:t>)</w:t>
      </w:r>
      <w:r w:rsidR="00EB2548">
        <w:rPr>
          <w:rFonts w:ascii="Times New Roman" w:hAnsi="Times New Roman" w:cs="Times New Roman"/>
          <w:color w:val="000000"/>
          <w:sz w:val="24"/>
          <w:szCs w:val="24"/>
          <w:lang w:val="lt-LT"/>
        </w:rPr>
        <w:t>, s</w:t>
      </w:r>
      <w:r w:rsidR="00142BEA" w:rsidRPr="00142BEA">
        <w:rPr>
          <w:rFonts w:ascii="Times New Roman" w:hAnsi="Times New Roman" w:cs="Times New Roman"/>
          <w:color w:val="000000"/>
          <w:sz w:val="24"/>
          <w:szCs w:val="24"/>
          <w:lang w:val="lt-LT"/>
        </w:rPr>
        <w:t>ujungtose bylose C‑583/21–C‑586/21</w:t>
      </w:r>
      <w:r w:rsidR="00142BEA">
        <w:rPr>
          <w:rFonts w:ascii="Times New Roman" w:hAnsi="Times New Roman" w:cs="Times New Roman"/>
          <w:color w:val="000000"/>
          <w:sz w:val="24"/>
          <w:szCs w:val="24"/>
          <w:lang w:val="lt-LT"/>
        </w:rPr>
        <w:t xml:space="preserve">, </w:t>
      </w:r>
      <w:r w:rsidR="00142BEA" w:rsidRPr="00142BEA">
        <w:rPr>
          <w:rFonts w:ascii="Times New Roman" w:hAnsi="Times New Roman" w:cs="Times New Roman"/>
          <w:color w:val="000000"/>
          <w:sz w:val="24"/>
          <w:szCs w:val="24"/>
          <w:lang w:val="lt-LT"/>
        </w:rPr>
        <w:t>EU:C:2023:872</w:t>
      </w:r>
      <w:r w:rsidR="00142BEA">
        <w:rPr>
          <w:rFonts w:ascii="Times New Roman" w:hAnsi="Times New Roman" w:cs="Times New Roman"/>
          <w:color w:val="000000"/>
          <w:sz w:val="24"/>
          <w:szCs w:val="24"/>
          <w:lang w:val="lt-LT"/>
        </w:rPr>
        <w:t xml:space="preserve">, </w:t>
      </w:r>
      <w:r w:rsidR="00CD7AF8">
        <w:rPr>
          <w:rFonts w:ascii="Times New Roman" w:hAnsi="Times New Roman" w:cs="Times New Roman"/>
          <w:color w:val="000000"/>
          <w:sz w:val="24"/>
          <w:szCs w:val="24"/>
          <w:lang w:val="lt-LT"/>
        </w:rPr>
        <w:t>41–42 p.)</w:t>
      </w:r>
      <w:r w:rsidR="005B54F3" w:rsidRPr="005B54F3">
        <w:rPr>
          <w:rFonts w:ascii="Times New Roman" w:hAnsi="Times New Roman" w:cs="Times New Roman"/>
          <w:color w:val="000000"/>
          <w:sz w:val="24"/>
          <w:szCs w:val="24"/>
          <w:lang w:val="lt-LT"/>
        </w:rPr>
        <w:t>.</w:t>
      </w:r>
    </w:p>
    <w:p w14:paraId="63F4559F" w14:textId="46359F37" w:rsidR="003B76D9" w:rsidRPr="005B54F3" w:rsidRDefault="005B54F3" w:rsidP="005B54F3">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5B54F3">
        <w:rPr>
          <w:rFonts w:ascii="Times New Roman" w:hAnsi="Times New Roman" w:cs="Times New Roman"/>
          <w:color w:val="000000"/>
          <w:sz w:val="24"/>
          <w:szCs w:val="24"/>
          <w:lang w:val="lt-LT"/>
        </w:rPr>
        <w:t>I</w:t>
      </w:r>
      <w:r w:rsidR="00FB4762" w:rsidRPr="005B54F3">
        <w:rPr>
          <w:rFonts w:ascii="Times New Roman" w:hAnsi="Times New Roman" w:cs="Times New Roman"/>
          <w:sz w:val="24"/>
          <w:szCs w:val="24"/>
          <w:lang w:val="lt-LT"/>
        </w:rPr>
        <w:t xml:space="preserve">š </w:t>
      </w:r>
      <w:r w:rsidR="003B76D9" w:rsidRPr="005B54F3">
        <w:rPr>
          <w:rFonts w:ascii="Times New Roman" w:hAnsi="Times New Roman" w:cs="Times New Roman"/>
          <w:sz w:val="24"/>
          <w:szCs w:val="24"/>
          <w:lang w:val="lt-LT"/>
        </w:rPr>
        <w:t>Teisingumo Teism</w:t>
      </w:r>
      <w:r w:rsidR="00FB4762" w:rsidRPr="005B54F3">
        <w:rPr>
          <w:rFonts w:ascii="Times New Roman" w:hAnsi="Times New Roman" w:cs="Times New Roman"/>
          <w:sz w:val="24"/>
          <w:szCs w:val="24"/>
          <w:lang w:val="lt-LT"/>
        </w:rPr>
        <w:t>o jurisprudencijos</w:t>
      </w:r>
      <w:r w:rsidR="003B76D9" w:rsidRPr="005B54F3">
        <w:rPr>
          <w:rFonts w:ascii="Times New Roman" w:hAnsi="Times New Roman" w:cs="Times New Roman"/>
          <w:sz w:val="24"/>
          <w:szCs w:val="24"/>
          <w:lang w:val="lt-LT"/>
        </w:rPr>
        <w:t xml:space="preserve"> yra </w:t>
      </w:r>
      <w:r w:rsidR="00FB4762" w:rsidRPr="005B54F3">
        <w:rPr>
          <w:rFonts w:ascii="Times New Roman" w:hAnsi="Times New Roman" w:cs="Times New Roman"/>
          <w:sz w:val="24"/>
          <w:szCs w:val="24"/>
          <w:lang w:val="lt-LT"/>
        </w:rPr>
        <w:t>aišku</w:t>
      </w:r>
      <w:r w:rsidR="003B76D9" w:rsidRPr="005B54F3">
        <w:rPr>
          <w:rFonts w:ascii="Times New Roman" w:hAnsi="Times New Roman" w:cs="Times New Roman"/>
          <w:sz w:val="24"/>
          <w:szCs w:val="24"/>
          <w:lang w:val="lt-LT"/>
        </w:rPr>
        <w:t xml:space="preserve">, jog </w:t>
      </w:r>
      <w:r w:rsidR="00A41D8E" w:rsidRPr="005B54F3">
        <w:rPr>
          <w:rFonts w:ascii="Times New Roman" w:hAnsi="Times New Roman" w:cs="Times New Roman"/>
          <w:sz w:val="24"/>
          <w:szCs w:val="24"/>
          <w:lang w:val="lt-LT"/>
        </w:rPr>
        <w:t xml:space="preserve">vien tai, kad </w:t>
      </w:r>
      <w:r w:rsidR="00A41D8E" w:rsidRPr="009E76C9">
        <w:rPr>
          <w:rFonts w:ascii="Times New Roman" w:hAnsi="Times New Roman" w:cs="Times New Roman"/>
          <w:sz w:val="24"/>
          <w:szCs w:val="24"/>
          <w:lang w:val="lt-LT"/>
        </w:rPr>
        <w:t xml:space="preserve">subjektas daliai savo veiklos vykdyti turi viešosios valdžios įgaliojimus, netrukdo jo kvalifikuoti kaip įmonės pagal konkurencijos teisę dėl likusios jo ekonominės veiklos dalies, jei ši veikla gali būti atskirta nuo jo, kaip viešosios valdžios subjekto, funkcijų (2012 m. liepos 12 d. </w:t>
      </w:r>
      <w:r w:rsidR="00F9438A" w:rsidRPr="009E76C9">
        <w:rPr>
          <w:rFonts w:ascii="Times New Roman" w:hAnsi="Times New Roman" w:cs="Times New Roman"/>
          <w:sz w:val="24"/>
          <w:szCs w:val="24"/>
          <w:lang w:val="lt-LT"/>
        </w:rPr>
        <w:t>Teisingumo Teismo s</w:t>
      </w:r>
      <w:r w:rsidR="00A41D8E" w:rsidRPr="009E76C9">
        <w:rPr>
          <w:rFonts w:ascii="Times New Roman" w:hAnsi="Times New Roman" w:cs="Times New Roman"/>
          <w:sz w:val="24"/>
          <w:szCs w:val="24"/>
          <w:lang w:val="lt-LT"/>
        </w:rPr>
        <w:t>prendimo </w:t>
      </w:r>
      <w:proofErr w:type="spellStart"/>
      <w:r w:rsidR="00A41D8E" w:rsidRPr="009E76C9">
        <w:rPr>
          <w:rFonts w:ascii="Times New Roman" w:hAnsi="Times New Roman" w:cs="Times New Roman"/>
          <w:i/>
          <w:iCs/>
          <w:sz w:val="24"/>
          <w:szCs w:val="24"/>
          <w:lang w:val="lt-LT"/>
        </w:rPr>
        <w:t>Compass-Datenbank</w:t>
      </w:r>
      <w:proofErr w:type="spellEnd"/>
      <w:r w:rsidR="00A41D8E" w:rsidRPr="009E76C9">
        <w:rPr>
          <w:rFonts w:ascii="Times New Roman" w:hAnsi="Times New Roman" w:cs="Times New Roman"/>
          <w:sz w:val="24"/>
          <w:szCs w:val="24"/>
          <w:lang w:val="lt-LT"/>
        </w:rPr>
        <w:t>, C</w:t>
      </w:r>
      <w:r w:rsidR="00A41D8E" w:rsidRPr="009E76C9">
        <w:rPr>
          <w:rFonts w:ascii="Times New Roman" w:hAnsi="Times New Roman" w:cs="Times New Roman"/>
          <w:sz w:val="24"/>
          <w:szCs w:val="24"/>
          <w:lang w:val="lt-LT"/>
        </w:rPr>
        <w:noBreakHyphen/>
        <w:t>138/11, EU:C:2012:449, 37 ir 38 punkt</w:t>
      </w:r>
      <w:r w:rsidR="006250D4" w:rsidRPr="009E76C9">
        <w:rPr>
          <w:rFonts w:ascii="Times New Roman" w:hAnsi="Times New Roman" w:cs="Times New Roman"/>
          <w:sz w:val="24"/>
          <w:szCs w:val="24"/>
          <w:lang w:val="lt-LT"/>
        </w:rPr>
        <w:t>ai</w:t>
      </w:r>
      <w:r w:rsidR="00A41D8E" w:rsidRPr="009E76C9">
        <w:rPr>
          <w:rFonts w:ascii="Times New Roman" w:hAnsi="Times New Roman" w:cs="Times New Roman"/>
          <w:sz w:val="24"/>
          <w:szCs w:val="24"/>
          <w:lang w:val="lt-LT"/>
        </w:rPr>
        <w:t xml:space="preserve"> ir juose nurodytą jurisprudencij</w:t>
      </w:r>
      <w:r w:rsidR="006250D4" w:rsidRPr="009E76C9">
        <w:rPr>
          <w:rFonts w:ascii="Times New Roman" w:hAnsi="Times New Roman" w:cs="Times New Roman"/>
          <w:sz w:val="24"/>
          <w:szCs w:val="24"/>
          <w:lang w:val="lt-LT"/>
        </w:rPr>
        <w:t xml:space="preserve">a, </w:t>
      </w:r>
      <w:r w:rsidR="00A41D8E" w:rsidRPr="009E76C9">
        <w:rPr>
          <w:rFonts w:ascii="Times New Roman" w:hAnsi="Times New Roman" w:cs="Times New Roman"/>
          <w:sz w:val="24"/>
          <w:szCs w:val="24"/>
          <w:lang w:val="lt-LT"/>
        </w:rPr>
        <w:t>2022 m. kovo 24 d. Sprendimo </w:t>
      </w:r>
      <w:r w:rsidR="00A41D8E" w:rsidRPr="009E76C9">
        <w:rPr>
          <w:rFonts w:ascii="Times New Roman" w:hAnsi="Times New Roman" w:cs="Times New Roman"/>
          <w:i/>
          <w:iCs/>
          <w:sz w:val="24"/>
          <w:szCs w:val="24"/>
          <w:lang w:val="lt-LT"/>
        </w:rPr>
        <w:t>GVN </w:t>
      </w:r>
      <w:r w:rsidR="00F9438A" w:rsidRPr="009E76C9">
        <w:rPr>
          <w:rFonts w:ascii="Times New Roman" w:hAnsi="Times New Roman" w:cs="Times New Roman"/>
          <w:i/>
          <w:iCs/>
          <w:sz w:val="24"/>
          <w:szCs w:val="24"/>
          <w:lang w:val="lt-LT"/>
        </w:rPr>
        <w:t xml:space="preserve"> prieš</w:t>
      </w:r>
      <w:r w:rsidR="00A41D8E" w:rsidRPr="009E76C9">
        <w:rPr>
          <w:rFonts w:ascii="Times New Roman" w:hAnsi="Times New Roman" w:cs="Times New Roman"/>
          <w:i/>
          <w:iCs/>
          <w:sz w:val="24"/>
          <w:szCs w:val="24"/>
          <w:lang w:val="lt-LT"/>
        </w:rPr>
        <w:t xml:space="preserve"> Komisija</w:t>
      </w:r>
      <w:r w:rsidR="00A41D8E" w:rsidRPr="009E76C9">
        <w:rPr>
          <w:rFonts w:ascii="Times New Roman" w:hAnsi="Times New Roman" w:cs="Times New Roman"/>
          <w:sz w:val="24"/>
          <w:szCs w:val="24"/>
          <w:lang w:val="lt-LT"/>
        </w:rPr>
        <w:t>, C</w:t>
      </w:r>
      <w:r w:rsidR="00A41D8E" w:rsidRPr="009E76C9">
        <w:rPr>
          <w:rFonts w:ascii="Times New Roman" w:hAnsi="Times New Roman" w:cs="Times New Roman"/>
          <w:sz w:val="24"/>
          <w:szCs w:val="24"/>
          <w:lang w:val="lt-LT"/>
        </w:rPr>
        <w:noBreakHyphen/>
        <w:t>666/20 P, EU:C:2022:225, 71 punkt</w:t>
      </w:r>
      <w:r w:rsidR="006250D4" w:rsidRPr="009E76C9">
        <w:rPr>
          <w:rFonts w:ascii="Times New Roman" w:hAnsi="Times New Roman" w:cs="Times New Roman"/>
          <w:sz w:val="24"/>
          <w:szCs w:val="24"/>
          <w:lang w:val="lt-LT"/>
        </w:rPr>
        <w:t>as</w:t>
      </w:r>
      <w:r w:rsidR="00A41D8E" w:rsidRPr="009E76C9">
        <w:rPr>
          <w:rFonts w:ascii="Times New Roman" w:hAnsi="Times New Roman" w:cs="Times New Roman"/>
          <w:sz w:val="24"/>
          <w:szCs w:val="24"/>
          <w:lang w:val="lt-LT"/>
        </w:rPr>
        <w:t>)</w:t>
      </w:r>
      <w:r w:rsidR="003B76D9" w:rsidRPr="009E76C9">
        <w:rPr>
          <w:rFonts w:ascii="Times New Roman" w:hAnsi="Times New Roman" w:cs="Times New Roman"/>
          <w:sz w:val="24"/>
          <w:szCs w:val="24"/>
          <w:lang w:val="lt-LT"/>
        </w:rPr>
        <w:t>. Iš tikrųjų veiklos, kylančios iš viešosios valdžios prerogatyvų vykdymo, ar ekonominės veiklos kvalifikavimas turi būti atliekamas atskirai dėl kiekvienos atitinkamo subjekto vykdomos veiklos dalies (didžiosios kolegijos 2008 m. liepos 1 d. sprendimo byloje C</w:t>
      </w:r>
      <w:r w:rsidR="003B76D9" w:rsidRPr="009E76C9">
        <w:rPr>
          <w:rFonts w:ascii="Times New Roman" w:hAnsi="Times New Roman" w:cs="Times New Roman"/>
          <w:sz w:val="24"/>
          <w:szCs w:val="24"/>
          <w:lang w:val="lt-LT"/>
        </w:rPr>
        <w:noBreakHyphen/>
        <w:t>49/07 </w:t>
      </w:r>
      <w:proofErr w:type="spellStart"/>
      <w:r w:rsidR="003B76D9" w:rsidRPr="009E76C9">
        <w:rPr>
          <w:rFonts w:ascii="Times New Roman" w:hAnsi="Times New Roman" w:cs="Times New Roman"/>
          <w:i/>
          <w:iCs/>
          <w:sz w:val="24"/>
          <w:szCs w:val="24"/>
          <w:lang w:val="lt-LT"/>
        </w:rPr>
        <w:t>Motosykletistiki</w:t>
      </w:r>
      <w:proofErr w:type="spellEnd"/>
      <w:r w:rsidR="003B76D9" w:rsidRPr="009E76C9">
        <w:rPr>
          <w:rFonts w:ascii="Times New Roman" w:hAnsi="Times New Roman" w:cs="Times New Roman"/>
          <w:i/>
          <w:iCs/>
          <w:sz w:val="24"/>
          <w:szCs w:val="24"/>
          <w:lang w:val="lt-LT"/>
        </w:rPr>
        <w:t xml:space="preserve"> </w:t>
      </w:r>
      <w:proofErr w:type="spellStart"/>
      <w:r w:rsidR="003B76D9" w:rsidRPr="009E76C9">
        <w:rPr>
          <w:rFonts w:ascii="Times New Roman" w:hAnsi="Times New Roman" w:cs="Times New Roman"/>
          <w:i/>
          <w:iCs/>
          <w:sz w:val="24"/>
          <w:szCs w:val="24"/>
          <w:lang w:val="lt-LT"/>
        </w:rPr>
        <w:t>Omospondia</w:t>
      </w:r>
      <w:proofErr w:type="spellEnd"/>
      <w:r w:rsidR="003B76D9" w:rsidRPr="009E76C9">
        <w:rPr>
          <w:rFonts w:ascii="Times New Roman" w:hAnsi="Times New Roman" w:cs="Times New Roman"/>
          <w:i/>
          <w:iCs/>
          <w:sz w:val="24"/>
          <w:szCs w:val="24"/>
          <w:lang w:val="lt-LT"/>
        </w:rPr>
        <w:t xml:space="preserve"> </w:t>
      </w:r>
      <w:proofErr w:type="spellStart"/>
      <w:r w:rsidR="003B76D9" w:rsidRPr="009E76C9">
        <w:rPr>
          <w:rFonts w:ascii="Times New Roman" w:hAnsi="Times New Roman" w:cs="Times New Roman"/>
          <w:i/>
          <w:iCs/>
          <w:sz w:val="24"/>
          <w:szCs w:val="24"/>
          <w:lang w:val="lt-LT"/>
        </w:rPr>
        <w:t>Ellados</w:t>
      </w:r>
      <w:proofErr w:type="spellEnd"/>
      <w:r w:rsidR="003B76D9" w:rsidRPr="00DC529A">
        <w:rPr>
          <w:rFonts w:ascii="Times New Roman" w:hAnsi="Times New Roman" w:cs="Times New Roman"/>
          <w:i/>
          <w:iCs/>
          <w:sz w:val="24"/>
          <w:szCs w:val="24"/>
          <w:lang w:val="lt-LT"/>
        </w:rPr>
        <w:t xml:space="preserve"> NPID (MOTOE) prieš </w:t>
      </w:r>
      <w:proofErr w:type="spellStart"/>
      <w:r w:rsidR="003B76D9" w:rsidRPr="00DC529A">
        <w:rPr>
          <w:rFonts w:ascii="Times New Roman" w:hAnsi="Times New Roman" w:cs="Times New Roman"/>
          <w:i/>
          <w:iCs/>
          <w:sz w:val="24"/>
          <w:szCs w:val="24"/>
          <w:lang w:val="lt-LT"/>
        </w:rPr>
        <w:t>Elliniko</w:t>
      </w:r>
      <w:proofErr w:type="spellEnd"/>
      <w:r w:rsidR="003B76D9" w:rsidRPr="00DC529A">
        <w:rPr>
          <w:rFonts w:ascii="Times New Roman" w:hAnsi="Times New Roman" w:cs="Times New Roman"/>
          <w:i/>
          <w:iCs/>
          <w:sz w:val="24"/>
          <w:szCs w:val="24"/>
          <w:lang w:val="lt-LT"/>
        </w:rPr>
        <w:t xml:space="preserve"> </w:t>
      </w:r>
      <w:proofErr w:type="spellStart"/>
      <w:r w:rsidR="003B76D9" w:rsidRPr="00DC529A">
        <w:rPr>
          <w:rFonts w:ascii="Times New Roman" w:hAnsi="Times New Roman" w:cs="Times New Roman"/>
          <w:i/>
          <w:iCs/>
          <w:sz w:val="24"/>
          <w:szCs w:val="24"/>
          <w:lang w:val="lt-LT"/>
        </w:rPr>
        <w:t>Dimosio</w:t>
      </w:r>
      <w:proofErr w:type="spellEnd"/>
      <w:r w:rsidR="003B76D9" w:rsidRPr="00DC529A">
        <w:rPr>
          <w:rFonts w:ascii="Times New Roman" w:hAnsi="Times New Roman" w:cs="Times New Roman"/>
          <w:sz w:val="24"/>
          <w:szCs w:val="24"/>
          <w:lang w:val="lt-LT"/>
        </w:rPr>
        <w:t>, ECLI:EU:C:2008:376, 25 punktas).</w:t>
      </w:r>
    </w:p>
    <w:p w14:paraId="112613B7" w14:textId="77777777" w:rsidR="0067581E" w:rsidRPr="005B54F3" w:rsidRDefault="003B76D9" w:rsidP="003B76D9">
      <w:pPr>
        <w:numPr>
          <w:ilvl w:val="0"/>
          <w:numId w:val="22"/>
        </w:numPr>
        <w:tabs>
          <w:tab w:val="left" w:pos="567"/>
          <w:tab w:val="num" w:pos="720"/>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5B54F3">
        <w:rPr>
          <w:rFonts w:ascii="Times New Roman" w:eastAsia="Times New Roman" w:hAnsi="Times New Roman" w:cs="Times New Roman"/>
          <w:sz w:val="24"/>
          <w:szCs w:val="24"/>
          <w:lang w:val="lt-LT"/>
        </w:rPr>
        <w:t>Teisingumo Teismas panašiose bylose, susijusiose su SESV 101 straipsnio taikymu, yra sprendęs dėl kai kurių profesijų atstovų asociacijų priimtų sprendimų vertinimo SESV 101 straipsnio atžvilgiu (</w:t>
      </w:r>
      <w:proofErr w:type="spellStart"/>
      <w:r w:rsidRPr="005B54F3">
        <w:rPr>
          <w:rFonts w:ascii="Times New Roman" w:eastAsia="Times New Roman" w:hAnsi="Times New Roman" w:cs="Times New Roman"/>
          <w:i/>
          <w:iCs/>
          <w:sz w:val="24"/>
          <w:szCs w:val="24"/>
          <w:lang w:val="lt-LT"/>
        </w:rPr>
        <w:t>Wouters</w:t>
      </w:r>
      <w:proofErr w:type="spellEnd"/>
      <w:r w:rsidRPr="005B54F3">
        <w:rPr>
          <w:rFonts w:ascii="Times New Roman" w:eastAsia="Times New Roman" w:hAnsi="Times New Roman" w:cs="Times New Roman"/>
          <w:i/>
          <w:iCs/>
          <w:sz w:val="24"/>
          <w:szCs w:val="24"/>
          <w:lang w:val="lt-LT"/>
        </w:rPr>
        <w:t> </w:t>
      </w:r>
      <w:r w:rsidRPr="005B54F3">
        <w:rPr>
          <w:rFonts w:ascii="Times New Roman" w:eastAsia="Times New Roman" w:hAnsi="Times New Roman" w:cs="Times New Roman"/>
          <w:sz w:val="24"/>
          <w:szCs w:val="24"/>
          <w:lang w:val="lt-LT"/>
        </w:rPr>
        <w:t>sprendimas, 2013 m. vasario 28 d. sprendimas byloje </w:t>
      </w:r>
      <w:proofErr w:type="spellStart"/>
      <w:r w:rsidRPr="005B54F3">
        <w:rPr>
          <w:rFonts w:ascii="Times New Roman" w:eastAsia="Times New Roman" w:hAnsi="Times New Roman" w:cs="Times New Roman"/>
          <w:i/>
          <w:iCs/>
          <w:sz w:val="24"/>
          <w:szCs w:val="24"/>
          <w:lang w:val="lt-LT"/>
        </w:rPr>
        <w:t>Ordem</w:t>
      </w:r>
      <w:proofErr w:type="spellEnd"/>
      <w:r w:rsidRPr="005B54F3">
        <w:rPr>
          <w:rFonts w:ascii="Times New Roman" w:eastAsia="Times New Roman" w:hAnsi="Times New Roman" w:cs="Times New Roman"/>
          <w:i/>
          <w:iCs/>
          <w:sz w:val="24"/>
          <w:szCs w:val="24"/>
          <w:lang w:val="lt-LT"/>
        </w:rPr>
        <w:t xml:space="preserve"> </w:t>
      </w:r>
      <w:proofErr w:type="spellStart"/>
      <w:r w:rsidRPr="005B54F3">
        <w:rPr>
          <w:rFonts w:ascii="Times New Roman" w:eastAsia="Times New Roman" w:hAnsi="Times New Roman" w:cs="Times New Roman"/>
          <w:i/>
          <w:iCs/>
          <w:sz w:val="24"/>
          <w:szCs w:val="24"/>
          <w:lang w:val="lt-LT"/>
        </w:rPr>
        <w:t>dos</w:t>
      </w:r>
      <w:proofErr w:type="spellEnd"/>
      <w:r w:rsidRPr="005B54F3">
        <w:rPr>
          <w:rFonts w:ascii="Times New Roman" w:eastAsia="Times New Roman" w:hAnsi="Times New Roman" w:cs="Times New Roman"/>
          <w:i/>
          <w:iCs/>
          <w:sz w:val="24"/>
          <w:szCs w:val="24"/>
          <w:lang w:val="lt-LT"/>
        </w:rPr>
        <w:t xml:space="preserve"> </w:t>
      </w:r>
      <w:proofErr w:type="spellStart"/>
      <w:r w:rsidRPr="005B54F3">
        <w:rPr>
          <w:rFonts w:ascii="Times New Roman" w:eastAsia="Times New Roman" w:hAnsi="Times New Roman" w:cs="Times New Roman"/>
          <w:i/>
          <w:iCs/>
          <w:sz w:val="24"/>
          <w:szCs w:val="24"/>
          <w:lang w:val="lt-LT"/>
        </w:rPr>
        <w:t>Técnicos</w:t>
      </w:r>
      <w:proofErr w:type="spellEnd"/>
      <w:r w:rsidRPr="005B54F3">
        <w:rPr>
          <w:rFonts w:ascii="Times New Roman" w:eastAsia="Times New Roman" w:hAnsi="Times New Roman" w:cs="Times New Roman"/>
          <w:i/>
          <w:iCs/>
          <w:sz w:val="24"/>
          <w:szCs w:val="24"/>
          <w:lang w:val="lt-LT"/>
        </w:rPr>
        <w:t xml:space="preserve"> </w:t>
      </w:r>
      <w:proofErr w:type="spellStart"/>
      <w:r w:rsidRPr="005B54F3">
        <w:rPr>
          <w:rFonts w:ascii="Times New Roman" w:eastAsia="Times New Roman" w:hAnsi="Times New Roman" w:cs="Times New Roman"/>
          <w:i/>
          <w:iCs/>
          <w:sz w:val="24"/>
          <w:szCs w:val="24"/>
          <w:lang w:val="lt-LT"/>
        </w:rPr>
        <w:t>Oficiais</w:t>
      </w:r>
      <w:proofErr w:type="spellEnd"/>
      <w:r w:rsidRPr="005B54F3">
        <w:rPr>
          <w:rFonts w:ascii="Times New Roman" w:eastAsia="Times New Roman" w:hAnsi="Times New Roman" w:cs="Times New Roman"/>
          <w:i/>
          <w:iCs/>
          <w:sz w:val="24"/>
          <w:szCs w:val="24"/>
          <w:lang w:val="lt-LT"/>
        </w:rPr>
        <w:t xml:space="preserve"> de </w:t>
      </w:r>
      <w:proofErr w:type="spellStart"/>
      <w:r w:rsidRPr="005B54F3">
        <w:rPr>
          <w:rFonts w:ascii="Times New Roman" w:eastAsia="Times New Roman" w:hAnsi="Times New Roman" w:cs="Times New Roman"/>
          <w:i/>
          <w:iCs/>
          <w:sz w:val="24"/>
          <w:szCs w:val="24"/>
          <w:lang w:val="lt-LT"/>
        </w:rPr>
        <w:t>Contas</w:t>
      </w:r>
      <w:proofErr w:type="spellEnd"/>
      <w:r w:rsidRPr="005B54F3">
        <w:rPr>
          <w:rFonts w:ascii="Times New Roman" w:eastAsia="Times New Roman" w:hAnsi="Times New Roman" w:cs="Times New Roman"/>
          <w:i/>
          <w:iCs/>
          <w:sz w:val="24"/>
          <w:szCs w:val="24"/>
          <w:lang w:val="lt-LT"/>
        </w:rPr>
        <w:t xml:space="preserve"> prieš </w:t>
      </w:r>
      <w:proofErr w:type="spellStart"/>
      <w:r w:rsidRPr="005B54F3">
        <w:rPr>
          <w:rFonts w:ascii="Times New Roman" w:eastAsia="Times New Roman" w:hAnsi="Times New Roman" w:cs="Times New Roman"/>
          <w:i/>
          <w:iCs/>
          <w:sz w:val="24"/>
          <w:szCs w:val="24"/>
          <w:lang w:val="lt-LT"/>
        </w:rPr>
        <w:t>Autoridade</w:t>
      </w:r>
      <w:proofErr w:type="spellEnd"/>
      <w:r w:rsidRPr="005B54F3">
        <w:rPr>
          <w:rFonts w:ascii="Times New Roman" w:eastAsia="Times New Roman" w:hAnsi="Times New Roman" w:cs="Times New Roman"/>
          <w:i/>
          <w:iCs/>
          <w:sz w:val="24"/>
          <w:szCs w:val="24"/>
          <w:lang w:val="lt-LT"/>
        </w:rPr>
        <w:t xml:space="preserve"> </w:t>
      </w:r>
      <w:proofErr w:type="spellStart"/>
      <w:r w:rsidRPr="005B54F3">
        <w:rPr>
          <w:rFonts w:ascii="Times New Roman" w:eastAsia="Times New Roman" w:hAnsi="Times New Roman" w:cs="Times New Roman"/>
          <w:i/>
          <w:iCs/>
          <w:sz w:val="24"/>
          <w:szCs w:val="24"/>
          <w:lang w:val="lt-LT"/>
        </w:rPr>
        <w:t>da</w:t>
      </w:r>
      <w:proofErr w:type="spellEnd"/>
      <w:r w:rsidRPr="005B54F3">
        <w:rPr>
          <w:rFonts w:ascii="Times New Roman" w:eastAsia="Times New Roman" w:hAnsi="Times New Roman" w:cs="Times New Roman"/>
          <w:i/>
          <w:iCs/>
          <w:sz w:val="24"/>
          <w:szCs w:val="24"/>
          <w:lang w:val="lt-LT"/>
        </w:rPr>
        <w:t xml:space="preserve"> Concorrência,</w:t>
      </w:r>
      <w:r w:rsidRPr="005B54F3">
        <w:rPr>
          <w:rFonts w:ascii="Times New Roman" w:eastAsia="Times New Roman" w:hAnsi="Times New Roman" w:cs="Times New Roman"/>
          <w:sz w:val="24"/>
          <w:szCs w:val="24"/>
          <w:lang w:val="lt-LT"/>
        </w:rPr>
        <w:t>C-1/12, ECLI:EU:C:2013:127 ir kt.), taip pat Teisingumo Teismas yra sprendęs dėl kai kurių kitų valstybių narių notarų vykdomų funkcijų įsisteigimo laisvės kontekste (2018 m. kovo 15 d. Teisingumo Teismo sprendimas byloje </w:t>
      </w:r>
      <w:r w:rsidRPr="005B54F3">
        <w:rPr>
          <w:rFonts w:ascii="Times New Roman" w:eastAsia="Times New Roman" w:hAnsi="Times New Roman" w:cs="Times New Roman"/>
          <w:i/>
          <w:iCs/>
          <w:sz w:val="24"/>
          <w:szCs w:val="24"/>
          <w:lang w:val="lt-LT"/>
        </w:rPr>
        <w:t>Europos Komisija prieš Čekijos Respubliką</w:t>
      </w:r>
      <w:r w:rsidRPr="005B54F3">
        <w:rPr>
          <w:rFonts w:ascii="Times New Roman" w:eastAsia="Times New Roman" w:hAnsi="Times New Roman" w:cs="Times New Roman"/>
          <w:sz w:val="24"/>
          <w:szCs w:val="24"/>
          <w:lang w:val="lt-LT"/>
        </w:rPr>
        <w:t>, C-575/16, ECLI:EU:C:2018:186, 2011 m. gegužės 24 d. sprendimas byloje </w:t>
      </w:r>
      <w:r w:rsidRPr="005B54F3">
        <w:rPr>
          <w:rFonts w:ascii="Times New Roman" w:eastAsia="Times New Roman" w:hAnsi="Times New Roman" w:cs="Times New Roman"/>
          <w:i/>
          <w:iCs/>
          <w:sz w:val="24"/>
          <w:szCs w:val="24"/>
          <w:lang w:val="lt-LT"/>
        </w:rPr>
        <w:t>Europos Komisija prieš Belgijos Karalystę</w:t>
      </w:r>
      <w:r w:rsidRPr="005B54F3">
        <w:rPr>
          <w:rFonts w:ascii="Times New Roman" w:eastAsia="Times New Roman" w:hAnsi="Times New Roman" w:cs="Times New Roman"/>
          <w:sz w:val="24"/>
          <w:szCs w:val="24"/>
          <w:lang w:val="lt-LT"/>
        </w:rPr>
        <w:t>, C-47/08, ECLI:EU:C:2011:334)</w:t>
      </w:r>
      <w:r w:rsidR="00121D32" w:rsidRPr="005B54F3">
        <w:rPr>
          <w:rFonts w:ascii="Times New Roman" w:eastAsia="Times New Roman" w:hAnsi="Times New Roman" w:cs="Times New Roman"/>
          <w:sz w:val="24"/>
          <w:szCs w:val="24"/>
          <w:lang w:val="lt-LT"/>
        </w:rPr>
        <w:t xml:space="preserve">. </w:t>
      </w:r>
    </w:p>
    <w:p w14:paraId="58833D0E" w14:textId="3D62FB1A" w:rsidR="002173C1" w:rsidRDefault="002173C1" w:rsidP="006A1464">
      <w:pPr>
        <w:numPr>
          <w:ilvl w:val="0"/>
          <w:numId w:val="22"/>
        </w:numPr>
        <w:tabs>
          <w:tab w:val="left" w:pos="567"/>
          <w:tab w:val="num" w:pos="720"/>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5B54F3">
        <w:rPr>
          <w:rFonts w:ascii="Times New Roman" w:eastAsia="Times New Roman" w:hAnsi="Times New Roman" w:cs="Times New Roman"/>
          <w:sz w:val="24"/>
          <w:szCs w:val="24"/>
          <w:lang w:val="lt-LT"/>
        </w:rPr>
        <w:t>Lietuvos vyriausiajam administraciniam teismui</w:t>
      </w:r>
      <w:r w:rsidR="000951EE" w:rsidRPr="005B54F3">
        <w:rPr>
          <w:rFonts w:ascii="Times New Roman" w:eastAsia="Times New Roman" w:hAnsi="Times New Roman" w:cs="Times New Roman"/>
          <w:sz w:val="24"/>
          <w:szCs w:val="24"/>
          <w:lang w:val="lt-LT"/>
        </w:rPr>
        <w:t xml:space="preserve"> </w:t>
      </w:r>
      <w:r w:rsidR="0071748A" w:rsidRPr="005B54F3">
        <w:rPr>
          <w:rFonts w:ascii="Times New Roman" w:eastAsia="Times New Roman" w:hAnsi="Times New Roman" w:cs="Times New Roman"/>
          <w:sz w:val="24"/>
          <w:szCs w:val="24"/>
          <w:lang w:val="lt-LT"/>
        </w:rPr>
        <w:t xml:space="preserve">paprašius </w:t>
      </w:r>
      <w:r w:rsidR="00AA0CA6" w:rsidRPr="005B54F3">
        <w:rPr>
          <w:rFonts w:ascii="Times New Roman" w:eastAsia="Times New Roman" w:hAnsi="Times New Roman" w:cs="Times New Roman"/>
          <w:sz w:val="24"/>
          <w:szCs w:val="24"/>
          <w:lang w:val="lt-LT"/>
        </w:rPr>
        <w:t xml:space="preserve">Teisingumo Teismo </w:t>
      </w:r>
      <w:r w:rsidR="00F611CF" w:rsidRPr="005B54F3">
        <w:rPr>
          <w:rFonts w:ascii="Times New Roman" w:eastAsia="Times New Roman" w:hAnsi="Times New Roman" w:cs="Times New Roman"/>
          <w:sz w:val="24"/>
          <w:szCs w:val="24"/>
          <w:lang w:val="lt-LT"/>
        </w:rPr>
        <w:t xml:space="preserve">atsakyti į </w:t>
      </w:r>
      <w:r w:rsidR="00D95636" w:rsidRPr="005B54F3">
        <w:rPr>
          <w:rFonts w:ascii="Times New Roman" w:eastAsia="Times New Roman" w:hAnsi="Times New Roman" w:cs="Times New Roman"/>
          <w:sz w:val="24"/>
          <w:szCs w:val="24"/>
          <w:lang w:val="lt-LT"/>
        </w:rPr>
        <w:t xml:space="preserve">šioje nagrinėjamoje administracinėje byloje </w:t>
      </w:r>
      <w:r w:rsidR="00F611CF" w:rsidRPr="005B54F3">
        <w:rPr>
          <w:rFonts w:ascii="Times New Roman" w:eastAsia="Times New Roman" w:hAnsi="Times New Roman" w:cs="Times New Roman"/>
          <w:sz w:val="24"/>
          <w:szCs w:val="24"/>
          <w:lang w:val="lt-LT"/>
        </w:rPr>
        <w:t xml:space="preserve">kilusius </w:t>
      </w:r>
      <w:r w:rsidR="00AA0CA6" w:rsidRPr="005B54F3">
        <w:rPr>
          <w:rFonts w:ascii="Times New Roman" w:eastAsia="Times New Roman" w:hAnsi="Times New Roman" w:cs="Times New Roman"/>
          <w:sz w:val="24"/>
          <w:szCs w:val="24"/>
          <w:lang w:val="lt-LT"/>
        </w:rPr>
        <w:t xml:space="preserve">SESV 101 straipsnio 1 dalies aiškinimo </w:t>
      </w:r>
      <w:r w:rsidR="00F611CF" w:rsidRPr="005B54F3">
        <w:rPr>
          <w:rFonts w:ascii="Times New Roman" w:eastAsia="Times New Roman" w:hAnsi="Times New Roman" w:cs="Times New Roman"/>
          <w:sz w:val="24"/>
          <w:szCs w:val="24"/>
          <w:lang w:val="lt-LT"/>
        </w:rPr>
        <w:t>klausimus</w:t>
      </w:r>
      <w:r w:rsidR="005C0665" w:rsidRPr="005B54F3">
        <w:rPr>
          <w:rFonts w:ascii="Times New Roman" w:eastAsia="Times New Roman" w:hAnsi="Times New Roman" w:cs="Times New Roman"/>
          <w:sz w:val="24"/>
          <w:szCs w:val="24"/>
          <w:lang w:val="lt-LT"/>
        </w:rPr>
        <w:t>, turinčius</w:t>
      </w:r>
      <w:r w:rsidR="00265D89" w:rsidRPr="005B54F3">
        <w:rPr>
          <w:rFonts w:ascii="Times New Roman" w:eastAsia="Times New Roman" w:hAnsi="Times New Roman" w:cs="Times New Roman"/>
          <w:sz w:val="24"/>
          <w:szCs w:val="24"/>
          <w:lang w:val="lt-LT"/>
        </w:rPr>
        <w:t xml:space="preserve"> esminę reikšmę sprendžiant, ar priėmę byloje nagrinėjamus Išaiškinimus pareiškėjai pažeidė </w:t>
      </w:r>
      <w:r w:rsidR="00A1454A" w:rsidRPr="005B54F3">
        <w:rPr>
          <w:rFonts w:ascii="Times New Roman" w:eastAsia="Times New Roman" w:hAnsi="Times New Roman" w:cs="Times New Roman"/>
          <w:sz w:val="24"/>
          <w:szCs w:val="24"/>
          <w:lang w:val="lt-LT"/>
        </w:rPr>
        <w:t>minėtą teisės normą</w:t>
      </w:r>
      <w:r w:rsidR="00624744" w:rsidRPr="005B54F3">
        <w:rPr>
          <w:rFonts w:ascii="Times New Roman" w:eastAsia="Times New Roman" w:hAnsi="Times New Roman" w:cs="Times New Roman"/>
          <w:sz w:val="24"/>
          <w:szCs w:val="24"/>
          <w:lang w:val="lt-LT"/>
        </w:rPr>
        <w:t xml:space="preserve">, Teisingumo Teismas priėmė </w:t>
      </w:r>
      <w:proofErr w:type="spellStart"/>
      <w:r w:rsidR="00624744" w:rsidRPr="005B54F3">
        <w:rPr>
          <w:rFonts w:ascii="Times New Roman" w:eastAsia="Times New Roman" w:hAnsi="Times New Roman" w:cs="Times New Roman"/>
          <w:sz w:val="24"/>
          <w:szCs w:val="24"/>
          <w:lang w:val="lt-LT"/>
        </w:rPr>
        <w:t>pre</w:t>
      </w:r>
      <w:r w:rsidR="00DF5596">
        <w:rPr>
          <w:rFonts w:ascii="Times New Roman" w:eastAsia="Times New Roman" w:hAnsi="Times New Roman" w:cs="Times New Roman"/>
          <w:sz w:val="24"/>
          <w:szCs w:val="24"/>
          <w:lang w:val="lt-LT"/>
        </w:rPr>
        <w:t>judicinį</w:t>
      </w:r>
      <w:proofErr w:type="spellEnd"/>
      <w:r w:rsidR="00624744" w:rsidRPr="005B54F3">
        <w:rPr>
          <w:rFonts w:ascii="Times New Roman" w:eastAsia="Times New Roman" w:hAnsi="Times New Roman" w:cs="Times New Roman"/>
          <w:sz w:val="24"/>
          <w:szCs w:val="24"/>
          <w:lang w:val="lt-LT"/>
        </w:rPr>
        <w:t xml:space="preserve"> </w:t>
      </w:r>
      <w:r w:rsidR="00D95636" w:rsidRPr="005B54F3">
        <w:rPr>
          <w:rFonts w:ascii="Times New Roman" w:eastAsia="Times New Roman" w:hAnsi="Times New Roman" w:cs="Times New Roman"/>
          <w:sz w:val="24"/>
          <w:szCs w:val="24"/>
          <w:lang w:val="lt-LT"/>
        </w:rPr>
        <w:t>S</w:t>
      </w:r>
      <w:r w:rsidR="00624744" w:rsidRPr="005B54F3">
        <w:rPr>
          <w:rFonts w:ascii="Times New Roman" w:eastAsia="Times New Roman" w:hAnsi="Times New Roman" w:cs="Times New Roman"/>
          <w:sz w:val="24"/>
          <w:szCs w:val="24"/>
          <w:lang w:val="lt-LT"/>
        </w:rPr>
        <w:t>prendi</w:t>
      </w:r>
      <w:r w:rsidR="00A958C8" w:rsidRPr="005B54F3">
        <w:rPr>
          <w:rFonts w:ascii="Times New Roman" w:eastAsia="Times New Roman" w:hAnsi="Times New Roman" w:cs="Times New Roman"/>
          <w:sz w:val="24"/>
          <w:szCs w:val="24"/>
          <w:lang w:val="lt-LT"/>
        </w:rPr>
        <w:t xml:space="preserve">mą </w:t>
      </w:r>
      <w:r w:rsidR="00A25E1D" w:rsidRPr="005B54F3">
        <w:rPr>
          <w:rFonts w:ascii="Times New Roman" w:eastAsia="Times New Roman" w:hAnsi="Times New Roman" w:cs="Times New Roman"/>
          <w:i/>
          <w:iCs/>
          <w:sz w:val="24"/>
          <w:szCs w:val="24"/>
          <w:lang w:val="lt-LT"/>
        </w:rPr>
        <w:t xml:space="preserve">Notarų rūmai. </w:t>
      </w:r>
      <w:r w:rsidR="005F3D06" w:rsidRPr="005B54F3">
        <w:rPr>
          <w:rFonts w:ascii="Times New Roman" w:eastAsia="Times New Roman" w:hAnsi="Times New Roman" w:cs="Times New Roman"/>
          <w:sz w:val="24"/>
          <w:szCs w:val="24"/>
          <w:lang w:val="lt-LT"/>
        </w:rPr>
        <w:t xml:space="preserve">Išplėstinė teisėjų kolegija pabrėžia, kad </w:t>
      </w:r>
      <w:r w:rsidR="00DB4BC0" w:rsidRPr="005B54F3">
        <w:rPr>
          <w:rFonts w:ascii="Times New Roman" w:eastAsia="Times New Roman" w:hAnsi="Times New Roman" w:cs="Times New Roman"/>
          <w:sz w:val="24"/>
          <w:szCs w:val="24"/>
          <w:lang w:val="lt-LT"/>
        </w:rPr>
        <w:t>pareiškėjai</w:t>
      </w:r>
      <w:r w:rsidR="00432976" w:rsidRPr="005B54F3">
        <w:rPr>
          <w:rFonts w:ascii="Times New Roman" w:eastAsia="Times New Roman" w:hAnsi="Times New Roman" w:cs="Times New Roman"/>
          <w:sz w:val="24"/>
          <w:szCs w:val="24"/>
          <w:lang w:val="lt-LT"/>
        </w:rPr>
        <w:t xml:space="preserve"> Teisingumo Teisme</w:t>
      </w:r>
      <w:r w:rsidR="00C87B9F" w:rsidRPr="005B54F3">
        <w:rPr>
          <w:rFonts w:ascii="Times New Roman" w:eastAsia="Times New Roman" w:hAnsi="Times New Roman" w:cs="Times New Roman"/>
          <w:sz w:val="24"/>
          <w:szCs w:val="24"/>
          <w:lang w:val="lt-LT"/>
        </w:rPr>
        <w:t xml:space="preserve"> laikėsi pozicijos, jog </w:t>
      </w:r>
      <w:r w:rsidR="00DB4BC0" w:rsidRPr="005B54F3">
        <w:rPr>
          <w:rFonts w:ascii="Times New Roman" w:eastAsia="Times New Roman" w:hAnsi="Times New Roman" w:cs="Times New Roman"/>
          <w:sz w:val="24"/>
          <w:szCs w:val="24"/>
          <w:lang w:val="lt-LT"/>
        </w:rPr>
        <w:t>prašym</w:t>
      </w:r>
      <w:r w:rsidR="00C87B9F" w:rsidRPr="005B54F3">
        <w:rPr>
          <w:rFonts w:ascii="Times New Roman" w:eastAsia="Times New Roman" w:hAnsi="Times New Roman" w:cs="Times New Roman"/>
          <w:sz w:val="24"/>
          <w:szCs w:val="24"/>
          <w:lang w:val="lt-LT"/>
        </w:rPr>
        <w:t>as</w:t>
      </w:r>
      <w:r w:rsidR="00DB4BC0" w:rsidRPr="005B54F3">
        <w:rPr>
          <w:rFonts w:ascii="Times New Roman" w:eastAsia="Times New Roman" w:hAnsi="Times New Roman" w:cs="Times New Roman"/>
          <w:sz w:val="24"/>
          <w:szCs w:val="24"/>
          <w:lang w:val="lt-LT"/>
        </w:rPr>
        <w:t xml:space="preserve"> priimti </w:t>
      </w:r>
      <w:proofErr w:type="spellStart"/>
      <w:r w:rsidR="00DB4BC0" w:rsidRPr="005B54F3">
        <w:rPr>
          <w:rFonts w:ascii="Times New Roman" w:eastAsia="Times New Roman" w:hAnsi="Times New Roman" w:cs="Times New Roman"/>
          <w:sz w:val="24"/>
          <w:szCs w:val="24"/>
          <w:lang w:val="lt-LT"/>
        </w:rPr>
        <w:t>prejudicinį</w:t>
      </w:r>
      <w:proofErr w:type="spellEnd"/>
      <w:r w:rsidR="00DB4BC0" w:rsidRPr="005B54F3">
        <w:rPr>
          <w:rFonts w:ascii="Times New Roman" w:eastAsia="Times New Roman" w:hAnsi="Times New Roman" w:cs="Times New Roman"/>
          <w:sz w:val="24"/>
          <w:szCs w:val="24"/>
          <w:lang w:val="lt-LT"/>
        </w:rPr>
        <w:t xml:space="preserve"> sprendimą</w:t>
      </w:r>
      <w:r w:rsidR="00DB4BC0" w:rsidRPr="005F3D06">
        <w:rPr>
          <w:rFonts w:ascii="Times New Roman" w:eastAsia="Times New Roman" w:hAnsi="Times New Roman" w:cs="Times New Roman"/>
          <w:sz w:val="24"/>
          <w:szCs w:val="24"/>
          <w:lang w:val="lt-LT"/>
        </w:rPr>
        <w:t xml:space="preserve"> nepriimtin</w:t>
      </w:r>
      <w:r w:rsidR="00C87B9F">
        <w:rPr>
          <w:rFonts w:ascii="Times New Roman" w:eastAsia="Times New Roman" w:hAnsi="Times New Roman" w:cs="Times New Roman"/>
          <w:sz w:val="24"/>
          <w:szCs w:val="24"/>
          <w:lang w:val="lt-LT"/>
        </w:rPr>
        <w:t>as</w:t>
      </w:r>
      <w:r w:rsidR="002E21F2">
        <w:rPr>
          <w:rFonts w:ascii="Times New Roman" w:eastAsia="Times New Roman" w:hAnsi="Times New Roman" w:cs="Times New Roman"/>
          <w:sz w:val="24"/>
          <w:szCs w:val="24"/>
          <w:lang w:val="lt-LT"/>
        </w:rPr>
        <w:t>,</w:t>
      </w:r>
      <w:r w:rsidR="00DB4BC0" w:rsidRPr="005F3D06">
        <w:rPr>
          <w:rFonts w:ascii="Times New Roman" w:eastAsia="Times New Roman" w:hAnsi="Times New Roman" w:cs="Times New Roman"/>
          <w:sz w:val="24"/>
          <w:szCs w:val="24"/>
          <w:lang w:val="lt-LT"/>
        </w:rPr>
        <w:t xml:space="preserve"> nes SESV 101 straipsnis netaikytinas pagrindinėje byloje</w:t>
      </w:r>
      <w:r w:rsidR="002E21F2">
        <w:rPr>
          <w:rFonts w:ascii="Times New Roman" w:eastAsia="Times New Roman" w:hAnsi="Times New Roman" w:cs="Times New Roman"/>
          <w:sz w:val="24"/>
          <w:szCs w:val="24"/>
          <w:lang w:val="lt-LT"/>
        </w:rPr>
        <w:t xml:space="preserve">, </w:t>
      </w:r>
      <w:r w:rsidR="00383AB7">
        <w:rPr>
          <w:rFonts w:ascii="Times New Roman" w:eastAsia="Times New Roman" w:hAnsi="Times New Roman" w:cs="Times New Roman"/>
          <w:sz w:val="24"/>
          <w:szCs w:val="24"/>
          <w:lang w:val="lt-LT"/>
        </w:rPr>
        <w:t xml:space="preserve">tačiau </w:t>
      </w:r>
      <w:r w:rsidR="00263806">
        <w:rPr>
          <w:rFonts w:ascii="Times New Roman" w:eastAsia="Times New Roman" w:hAnsi="Times New Roman" w:cs="Times New Roman"/>
          <w:sz w:val="24"/>
          <w:szCs w:val="24"/>
          <w:lang w:val="lt-LT"/>
        </w:rPr>
        <w:t xml:space="preserve"> </w:t>
      </w:r>
      <w:r w:rsidR="007D02B2">
        <w:rPr>
          <w:rFonts w:ascii="Times New Roman" w:eastAsia="Times New Roman" w:hAnsi="Times New Roman" w:cs="Times New Roman"/>
          <w:sz w:val="24"/>
          <w:szCs w:val="24"/>
          <w:lang w:val="lt-LT"/>
        </w:rPr>
        <w:t xml:space="preserve">Teisingumo Teismas </w:t>
      </w:r>
      <w:r w:rsidR="002E21F2">
        <w:rPr>
          <w:rFonts w:ascii="Times New Roman" w:eastAsia="Times New Roman" w:hAnsi="Times New Roman" w:cs="Times New Roman"/>
          <w:sz w:val="24"/>
          <w:szCs w:val="24"/>
          <w:lang w:val="lt-LT"/>
        </w:rPr>
        <w:t xml:space="preserve">tam </w:t>
      </w:r>
      <w:r w:rsidR="007D02B2">
        <w:rPr>
          <w:rFonts w:ascii="Times New Roman" w:eastAsia="Times New Roman" w:hAnsi="Times New Roman" w:cs="Times New Roman"/>
          <w:sz w:val="24"/>
          <w:szCs w:val="24"/>
          <w:lang w:val="lt-LT"/>
        </w:rPr>
        <w:t>nepritarė</w:t>
      </w:r>
      <w:r w:rsidR="0076571F" w:rsidRPr="005F3D06">
        <w:rPr>
          <w:rFonts w:ascii="Times New Roman" w:eastAsia="Times New Roman" w:hAnsi="Times New Roman" w:cs="Times New Roman"/>
          <w:sz w:val="24"/>
          <w:szCs w:val="24"/>
          <w:lang w:val="lt-LT"/>
        </w:rPr>
        <w:t>.</w:t>
      </w:r>
      <w:r w:rsidR="006A1464">
        <w:rPr>
          <w:rFonts w:ascii="Times New Roman" w:eastAsia="Times New Roman" w:hAnsi="Times New Roman" w:cs="Times New Roman"/>
          <w:sz w:val="24"/>
          <w:szCs w:val="24"/>
          <w:lang w:val="lt-LT"/>
        </w:rPr>
        <w:t xml:space="preserve"> </w:t>
      </w:r>
      <w:r w:rsidR="0076571F" w:rsidRPr="006A1464">
        <w:rPr>
          <w:rFonts w:ascii="Times New Roman" w:eastAsia="Times New Roman" w:hAnsi="Times New Roman" w:cs="Times New Roman"/>
          <w:sz w:val="24"/>
          <w:szCs w:val="24"/>
          <w:lang w:val="lt-LT"/>
        </w:rPr>
        <w:t xml:space="preserve">Šiuo aspektu </w:t>
      </w:r>
      <w:r w:rsidR="001F4F70">
        <w:rPr>
          <w:rFonts w:ascii="Times New Roman" w:eastAsia="Times New Roman" w:hAnsi="Times New Roman" w:cs="Times New Roman"/>
          <w:sz w:val="24"/>
          <w:szCs w:val="24"/>
          <w:lang w:val="lt-LT"/>
        </w:rPr>
        <w:t xml:space="preserve">Teisingumo Teismas </w:t>
      </w:r>
      <w:r w:rsidR="006A1464">
        <w:rPr>
          <w:rFonts w:ascii="Times New Roman" w:eastAsia="Times New Roman" w:hAnsi="Times New Roman" w:cs="Times New Roman"/>
          <w:sz w:val="24"/>
          <w:szCs w:val="24"/>
          <w:lang w:val="lt-LT"/>
        </w:rPr>
        <w:t>konstat</w:t>
      </w:r>
      <w:r w:rsidR="001F4F70">
        <w:rPr>
          <w:rFonts w:ascii="Times New Roman" w:eastAsia="Times New Roman" w:hAnsi="Times New Roman" w:cs="Times New Roman"/>
          <w:sz w:val="24"/>
          <w:szCs w:val="24"/>
          <w:lang w:val="lt-LT"/>
        </w:rPr>
        <w:t>avo</w:t>
      </w:r>
      <w:r w:rsidR="0076571F" w:rsidRPr="006A1464">
        <w:rPr>
          <w:rFonts w:ascii="Times New Roman" w:eastAsia="Times New Roman" w:hAnsi="Times New Roman" w:cs="Times New Roman"/>
          <w:sz w:val="24"/>
          <w:szCs w:val="24"/>
          <w:lang w:val="lt-LT"/>
        </w:rPr>
        <w:t xml:space="preserve">, kad </w:t>
      </w:r>
      <w:r w:rsidR="006A1464">
        <w:rPr>
          <w:rFonts w:ascii="Times New Roman" w:eastAsia="Times New Roman" w:hAnsi="Times New Roman" w:cs="Times New Roman"/>
          <w:sz w:val="24"/>
          <w:szCs w:val="24"/>
          <w:lang w:val="lt-LT"/>
        </w:rPr>
        <w:t>„</w:t>
      </w:r>
      <w:r w:rsidR="0076571F" w:rsidRPr="006A1464">
        <w:rPr>
          <w:rFonts w:ascii="Times New Roman" w:eastAsia="Times New Roman" w:hAnsi="Times New Roman" w:cs="Times New Roman"/>
          <w:sz w:val="24"/>
          <w:szCs w:val="24"/>
          <w:lang w:val="lt-LT"/>
        </w:rPr>
        <w:t xml:space="preserve">SESV 101 straipsnio taikymo pagrindinėje byloje problema susijusi su pateiktų </w:t>
      </w:r>
      <w:proofErr w:type="spellStart"/>
      <w:r w:rsidR="0076571F" w:rsidRPr="006A1464">
        <w:rPr>
          <w:rFonts w:ascii="Times New Roman" w:eastAsia="Times New Roman" w:hAnsi="Times New Roman" w:cs="Times New Roman"/>
          <w:sz w:val="24"/>
          <w:szCs w:val="24"/>
          <w:lang w:val="lt-LT"/>
        </w:rPr>
        <w:t>prejudicinių</w:t>
      </w:r>
      <w:proofErr w:type="spellEnd"/>
      <w:r w:rsidR="0076571F" w:rsidRPr="006A1464">
        <w:rPr>
          <w:rFonts w:ascii="Times New Roman" w:eastAsia="Times New Roman" w:hAnsi="Times New Roman" w:cs="Times New Roman"/>
          <w:sz w:val="24"/>
          <w:szCs w:val="24"/>
          <w:lang w:val="lt-LT"/>
        </w:rPr>
        <w:t xml:space="preserve"> klausimų esme, o ne su jų priimtinumu, </w:t>
      </w:r>
      <w:r w:rsidR="0076571F" w:rsidRPr="006A1464">
        <w:rPr>
          <w:rFonts w:ascii="Times New Roman" w:eastAsia="Times New Roman" w:hAnsi="Times New Roman" w:cs="Times New Roman"/>
          <w:sz w:val="24"/>
          <w:szCs w:val="24"/>
          <w:lang w:val="lt-LT"/>
        </w:rPr>
        <w:lastRenderedPageBreak/>
        <w:t>todėl pirmesniame punkte nurodytus pareiškėjų pagrindinėje byloje argumentus reikia išnagrinėti nagrinėjant šiuos klausimus iš esmės</w:t>
      </w:r>
      <w:r w:rsidR="0051750D">
        <w:rPr>
          <w:rFonts w:ascii="Times New Roman" w:eastAsia="Times New Roman" w:hAnsi="Times New Roman" w:cs="Times New Roman"/>
          <w:sz w:val="24"/>
          <w:szCs w:val="24"/>
          <w:lang w:val="lt-LT"/>
        </w:rPr>
        <w:t>“</w:t>
      </w:r>
      <w:r w:rsidR="0076571F" w:rsidRPr="006A1464">
        <w:rPr>
          <w:rFonts w:ascii="Times New Roman" w:eastAsia="Times New Roman" w:hAnsi="Times New Roman" w:cs="Times New Roman"/>
          <w:sz w:val="24"/>
          <w:szCs w:val="24"/>
          <w:lang w:val="lt-LT"/>
        </w:rPr>
        <w:t xml:space="preserve"> (</w:t>
      </w:r>
      <w:r w:rsidR="0051750D">
        <w:rPr>
          <w:rFonts w:ascii="Times New Roman" w:eastAsia="Times New Roman" w:hAnsi="Times New Roman" w:cs="Times New Roman"/>
          <w:sz w:val="24"/>
          <w:szCs w:val="24"/>
          <w:lang w:val="lt-LT"/>
        </w:rPr>
        <w:t xml:space="preserve">Sprendimo </w:t>
      </w:r>
      <w:r w:rsidR="0051750D" w:rsidRPr="003727FA">
        <w:rPr>
          <w:rFonts w:ascii="Times New Roman" w:eastAsia="Times New Roman" w:hAnsi="Times New Roman" w:cs="Times New Roman"/>
          <w:i/>
          <w:iCs/>
          <w:sz w:val="24"/>
          <w:szCs w:val="24"/>
          <w:lang w:val="lt-LT"/>
        </w:rPr>
        <w:t>Notarų rūmai</w:t>
      </w:r>
      <w:r w:rsidR="0051750D">
        <w:rPr>
          <w:rFonts w:ascii="Times New Roman" w:eastAsia="Times New Roman" w:hAnsi="Times New Roman" w:cs="Times New Roman"/>
          <w:sz w:val="24"/>
          <w:szCs w:val="24"/>
          <w:lang w:val="lt-LT"/>
        </w:rPr>
        <w:t xml:space="preserve"> </w:t>
      </w:r>
      <w:r w:rsidR="003727FA">
        <w:rPr>
          <w:rFonts w:ascii="Times New Roman" w:eastAsia="Times New Roman" w:hAnsi="Times New Roman" w:cs="Times New Roman"/>
          <w:sz w:val="24"/>
          <w:szCs w:val="24"/>
          <w:lang w:val="lt-LT"/>
        </w:rPr>
        <w:t>43 punktas ir jame nurodyta praktika</w:t>
      </w:r>
      <w:r w:rsidR="0076571F" w:rsidRPr="006A1464">
        <w:rPr>
          <w:rFonts w:ascii="Times New Roman" w:eastAsia="Times New Roman" w:hAnsi="Times New Roman" w:cs="Times New Roman"/>
          <w:sz w:val="24"/>
          <w:szCs w:val="24"/>
          <w:lang w:val="lt-LT"/>
        </w:rPr>
        <w:t>)</w:t>
      </w:r>
      <w:r w:rsidR="003727FA">
        <w:rPr>
          <w:rFonts w:ascii="Times New Roman" w:eastAsia="Times New Roman" w:hAnsi="Times New Roman" w:cs="Times New Roman"/>
          <w:sz w:val="24"/>
          <w:szCs w:val="24"/>
          <w:lang w:val="lt-LT"/>
        </w:rPr>
        <w:t>.</w:t>
      </w:r>
      <w:r w:rsidR="00F611CF" w:rsidRPr="006A1464">
        <w:rPr>
          <w:rFonts w:ascii="Times New Roman" w:eastAsia="Times New Roman" w:hAnsi="Times New Roman" w:cs="Times New Roman"/>
          <w:sz w:val="24"/>
          <w:szCs w:val="24"/>
          <w:lang w:val="lt-LT"/>
        </w:rPr>
        <w:t xml:space="preserve">  </w:t>
      </w:r>
    </w:p>
    <w:p w14:paraId="674C69E0" w14:textId="70D79199" w:rsidR="00537BD4" w:rsidRDefault="00537BD4" w:rsidP="006A1464">
      <w:pPr>
        <w:numPr>
          <w:ilvl w:val="0"/>
          <w:numId w:val="22"/>
        </w:numPr>
        <w:tabs>
          <w:tab w:val="left" w:pos="567"/>
          <w:tab w:val="num" w:pos="720"/>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Atsižvelg</w:t>
      </w:r>
      <w:r w:rsidR="00AF4FDB">
        <w:rPr>
          <w:rFonts w:ascii="Times New Roman" w:eastAsia="Times New Roman" w:hAnsi="Times New Roman" w:cs="Times New Roman"/>
          <w:sz w:val="24"/>
          <w:szCs w:val="24"/>
          <w:lang w:val="lt-LT"/>
        </w:rPr>
        <w:t>iant</w:t>
      </w:r>
      <w:r>
        <w:rPr>
          <w:rFonts w:ascii="Times New Roman" w:eastAsia="Times New Roman" w:hAnsi="Times New Roman" w:cs="Times New Roman"/>
          <w:sz w:val="24"/>
          <w:szCs w:val="24"/>
          <w:lang w:val="lt-LT"/>
        </w:rPr>
        <w:t xml:space="preserve"> į tai, išplėstinė</w:t>
      </w:r>
      <w:r w:rsidR="00AF4FDB">
        <w:rPr>
          <w:rFonts w:ascii="Times New Roman" w:eastAsia="Times New Roman" w:hAnsi="Times New Roman" w:cs="Times New Roman"/>
          <w:sz w:val="24"/>
          <w:szCs w:val="24"/>
          <w:lang w:val="lt-LT"/>
        </w:rPr>
        <w:t>s</w:t>
      </w:r>
      <w:r>
        <w:rPr>
          <w:rFonts w:ascii="Times New Roman" w:eastAsia="Times New Roman" w:hAnsi="Times New Roman" w:cs="Times New Roman"/>
          <w:sz w:val="24"/>
          <w:szCs w:val="24"/>
          <w:lang w:val="lt-LT"/>
        </w:rPr>
        <w:t xml:space="preserve"> teisėjų kolegij</w:t>
      </w:r>
      <w:r w:rsidR="00AF4FDB">
        <w:rPr>
          <w:rFonts w:ascii="Times New Roman" w:eastAsia="Times New Roman" w:hAnsi="Times New Roman" w:cs="Times New Roman"/>
          <w:sz w:val="24"/>
          <w:szCs w:val="24"/>
          <w:lang w:val="lt-LT"/>
        </w:rPr>
        <w:t>os nuomo</w:t>
      </w:r>
      <w:r w:rsidR="006D6D02">
        <w:rPr>
          <w:rFonts w:ascii="Times New Roman" w:eastAsia="Times New Roman" w:hAnsi="Times New Roman" w:cs="Times New Roman"/>
          <w:sz w:val="24"/>
          <w:szCs w:val="24"/>
          <w:lang w:val="lt-LT"/>
        </w:rPr>
        <w:t>ne, galima</w:t>
      </w:r>
      <w:r w:rsidR="00AF4FDB">
        <w:rPr>
          <w:rFonts w:ascii="Times New Roman" w:eastAsia="Times New Roman" w:hAnsi="Times New Roman" w:cs="Times New Roman"/>
          <w:sz w:val="24"/>
          <w:szCs w:val="24"/>
          <w:lang w:val="lt-LT"/>
        </w:rPr>
        <w:t xml:space="preserve"> pagrįst</w:t>
      </w:r>
      <w:r w:rsidR="006D6D02">
        <w:rPr>
          <w:rFonts w:ascii="Times New Roman" w:eastAsia="Times New Roman" w:hAnsi="Times New Roman" w:cs="Times New Roman"/>
          <w:sz w:val="24"/>
          <w:szCs w:val="24"/>
          <w:lang w:val="lt-LT"/>
        </w:rPr>
        <w:t xml:space="preserve">ai konstatuoti, kad </w:t>
      </w:r>
      <w:r w:rsidR="00A07BE2">
        <w:rPr>
          <w:rFonts w:ascii="Times New Roman" w:eastAsia="Times New Roman" w:hAnsi="Times New Roman" w:cs="Times New Roman"/>
          <w:sz w:val="24"/>
          <w:szCs w:val="24"/>
          <w:lang w:val="lt-LT"/>
        </w:rPr>
        <w:t>notarų</w:t>
      </w:r>
      <w:r w:rsidR="00640567">
        <w:rPr>
          <w:rFonts w:ascii="Times New Roman" w:eastAsia="Times New Roman" w:hAnsi="Times New Roman" w:cs="Times New Roman"/>
          <w:sz w:val="24"/>
          <w:szCs w:val="24"/>
          <w:lang w:val="lt-LT"/>
        </w:rPr>
        <w:t xml:space="preserve"> statusas</w:t>
      </w:r>
      <w:r w:rsidR="00B32089">
        <w:rPr>
          <w:rFonts w:ascii="Times New Roman" w:eastAsia="Times New Roman" w:hAnsi="Times New Roman" w:cs="Times New Roman"/>
          <w:sz w:val="24"/>
          <w:szCs w:val="24"/>
          <w:lang w:val="lt-LT"/>
        </w:rPr>
        <w:t xml:space="preserve">, implikuojantis konstitucinėje jurisprudencijoje </w:t>
      </w:r>
      <w:r w:rsidR="00494802">
        <w:rPr>
          <w:rFonts w:ascii="Times New Roman" w:eastAsia="Times New Roman" w:hAnsi="Times New Roman" w:cs="Times New Roman"/>
          <w:sz w:val="24"/>
          <w:szCs w:val="24"/>
          <w:lang w:val="lt-LT"/>
        </w:rPr>
        <w:t>aptartas šiai profesijai būdingas ypatybes,</w:t>
      </w:r>
      <w:r w:rsidR="00640567">
        <w:rPr>
          <w:rFonts w:ascii="Times New Roman" w:eastAsia="Times New Roman" w:hAnsi="Times New Roman" w:cs="Times New Roman"/>
          <w:sz w:val="24"/>
          <w:szCs w:val="24"/>
          <w:lang w:val="lt-LT"/>
        </w:rPr>
        <w:t xml:space="preserve"> </w:t>
      </w:r>
      <w:r w:rsidR="009537A0">
        <w:rPr>
          <w:rFonts w:ascii="Times New Roman" w:eastAsia="Times New Roman" w:hAnsi="Times New Roman" w:cs="Times New Roman"/>
          <w:sz w:val="24"/>
          <w:szCs w:val="24"/>
          <w:lang w:val="lt-LT"/>
        </w:rPr>
        <w:t xml:space="preserve">savaime </w:t>
      </w:r>
      <w:r w:rsidR="00083D39">
        <w:rPr>
          <w:rFonts w:ascii="Times New Roman" w:eastAsia="Times New Roman" w:hAnsi="Times New Roman" w:cs="Times New Roman"/>
          <w:sz w:val="24"/>
          <w:szCs w:val="24"/>
          <w:lang w:val="lt-LT"/>
        </w:rPr>
        <w:t>nereiškia</w:t>
      </w:r>
      <w:r w:rsidR="0098371F">
        <w:rPr>
          <w:rFonts w:ascii="Times New Roman" w:eastAsia="Times New Roman" w:hAnsi="Times New Roman" w:cs="Times New Roman"/>
          <w:sz w:val="24"/>
          <w:szCs w:val="24"/>
          <w:lang w:val="lt-LT"/>
        </w:rPr>
        <w:t xml:space="preserve">, kad </w:t>
      </w:r>
      <w:r w:rsidR="00393F49">
        <w:rPr>
          <w:rFonts w:ascii="Times New Roman" w:eastAsia="Times New Roman" w:hAnsi="Times New Roman" w:cs="Times New Roman"/>
          <w:sz w:val="24"/>
          <w:szCs w:val="24"/>
          <w:lang w:val="lt-LT"/>
        </w:rPr>
        <w:t xml:space="preserve">tam tikra </w:t>
      </w:r>
      <w:r w:rsidR="0098371F">
        <w:rPr>
          <w:rFonts w:ascii="Times New Roman" w:eastAsia="Times New Roman" w:hAnsi="Times New Roman" w:cs="Times New Roman"/>
          <w:sz w:val="24"/>
          <w:szCs w:val="24"/>
          <w:lang w:val="lt-LT"/>
        </w:rPr>
        <w:t xml:space="preserve">jų veikla negali būti </w:t>
      </w:r>
      <w:r w:rsidR="005E7D02">
        <w:rPr>
          <w:rFonts w:ascii="Times New Roman" w:eastAsia="Times New Roman" w:hAnsi="Times New Roman" w:cs="Times New Roman"/>
          <w:sz w:val="24"/>
          <w:szCs w:val="24"/>
          <w:lang w:val="lt-LT"/>
        </w:rPr>
        <w:t xml:space="preserve">vertinama dėl atitikties </w:t>
      </w:r>
      <w:r w:rsidR="0098371F">
        <w:rPr>
          <w:rFonts w:ascii="Times New Roman" w:eastAsia="Times New Roman" w:hAnsi="Times New Roman" w:cs="Times New Roman"/>
          <w:sz w:val="24"/>
          <w:szCs w:val="24"/>
          <w:lang w:val="lt-LT"/>
        </w:rPr>
        <w:t>konkurencijos teisės norm</w:t>
      </w:r>
      <w:r w:rsidR="00493310">
        <w:rPr>
          <w:rFonts w:ascii="Times New Roman" w:eastAsia="Times New Roman" w:hAnsi="Times New Roman" w:cs="Times New Roman"/>
          <w:sz w:val="24"/>
          <w:szCs w:val="24"/>
          <w:lang w:val="lt-LT"/>
        </w:rPr>
        <w:t>ose įtvirtintiems reikalavimams</w:t>
      </w:r>
      <w:r w:rsidR="0098371F">
        <w:rPr>
          <w:rFonts w:ascii="Times New Roman" w:eastAsia="Times New Roman" w:hAnsi="Times New Roman" w:cs="Times New Roman"/>
          <w:sz w:val="24"/>
          <w:szCs w:val="24"/>
          <w:lang w:val="lt-LT"/>
        </w:rPr>
        <w:t xml:space="preserve">. </w:t>
      </w:r>
      <w:r w:rsidR="00493310">
        <w:rPr>
          <w:rFonts w:ascii="Times New Roman" w:eastAsia="Times New Roman" w:hAnsi="Times New Roman" w:cs="Times New Roman"/>
          <w:sz w:val="24"/>
          <w:szCs w:val="24"/>
          <w:lang w:val="lt-LT"/>
        </w:rPr>
        <w:t>Vis dėlto,</w:t>
      </w:r>
      <w:r w:rsidR="00072C8D">
        <w:rPr>
          <w:rFonts w:ascii="Times New Roman" w:eastAsia="Times New Roman" w:hAnsi="Times New Roman" w:cs="Times New Roman"/>
          <w:sz w:val="24"/>
          <w:szCs w:val="24"/>
          <w:lang w:val="lt-LT"/>
        </w:rPr>
        <w:t xml:space="preserve"> </w:t>
      </w:r>
      <w:r w:rsidR="00D25F37">
        <w:rPr>
          <w:rFonts w:ascii="Times New Roman" w:eastAsia="Times New Roman" w:hAnsi="Times New Roman" w:cs="Times New Roman"/>
          <w:sz w:val="24"/>
          <w:szCs w:val="24"/>
          <w:lang w:val="lt-LT"/>
        </w:rPr>
        <w:t>siekiant įvertinti, a</w:t>
      </w:r>
      <w:r w:rsidR="00791791">
        <w:rPr>
          <w:rFonts w:ascii="Times New Roman" w:eastAsia="Times New Roman" w:hAnsi="Times New Roman" w:cs="Times New Roman"/>
          <w:sz w:val="24"/>
          <w:szCs w:val="24"/>
          <w:lang w:val="lt-LT"/>
        </w:rPr>
        <w:t xml:space="preserve">r </w:t>
      </w:r>
      <w:r w:rsidR="00072C8D">
        <w:rPr>
          <w:rFonts w:ascii="Times New Roman" w:eastAsia="Times New Roman" w:hAnsi="Times New Roman" w:cs="Times New Roman"/>
          <w:sz w:val="24"/>
          <w:szCs w:val="24"/>
          <w:lang w:val="lt-LT"/>
        </w:rPr>
        <w:t>konkre</w:t>
      </w:r>
      <w:r w:rsidR="00622B6E">
        <w:rPr>
          <w:rFonts w:ascii="Times New Roman" w:eastAsia="Times New Roman" w:hAnsi="Times New Roman" w:cs="Times New Roman"/>
          <w:sz w:val="24"/>
          <w:szCs w:val="24"/>
          <w:lang w:val="lt-LT"/>
        </w:rPr>
        <w:t>t</w:t>
      </w:r>
      <w:r w:rsidR="00B72DAA">
        <w:rPr>
          <w:rFonts w:ascii="Times New Roman" w:eastAsia="Times New Roman" w:hAnsi="Times New Roman" w:cs="Times New Roman"/>
          <w:sz w:val="24"/>
          <w:szCs w:val="24"/>
          <w:lang w:val="lt-LT"/>
        </w:rPr>
        <w:t>us</w:t>
      </w:r>
      <w:r w:rsidR="00622B6E">
        <w:rPr>
          <w:rFonts w:ascii="Times New Roman" w:eastAsia="Times New Roman" w:hAnsi="Times New Roman" w:cs="Times New Roman"/>
          <w:sz w:val="24"/>
          <w:szCs w:val="24"/>
          <w:lang w:val="lt-LT"/>
        </w:rPr>
        <w:t xml:space="preserve"> </w:t>
      </w:r>
      <w:r w:rsidR="005D104E">
        <w:rPr>
          <w:rFonts w:ascii="Times New Roman" w:eastAsia="Times New Roman" w:hAnsi="Times New Roman" w:cs="Times New Roman"/>
          <w:sz w:val="24"/>
          <w:szCs w:val="24"/>
          <w:lang w:val="lt-LT"/>
        </w:rPr>
        <w:t xml:space="preserve">notarų </w:t>
      </w:r>
      <w:r w:rsidR="00B72DAA">
        <w:rPr>
          <w:rFonts w:ascii="Times New Roman" w:eastAsia="Times New Roman" w:hAnsi="Times New Roman" w:cs="Times New Roman"/>
          <w:sz w:val="24"/>
          <w:szCs w:val="24"/>
          <w:lang w:val="lt-LT"/>
        </w:rPr>
        <w:t>elges</w:t>
      </w:r>
      <w:r w:rsidR="008F1498">
        <w:rPr>
          <w:rFonts w:ascii="Times New Roman" w:eastAsia="Times New Roman" w:hAnsi="Times New Roman" w:cs="Times New Roman"/>
          <w:sz w:val="24"/>
          <w:szCs w:val="24"/>
          <w:lang w:val="lt-LT"/>
        </w:rPr>
        <w:t>ys gali būti kvalifikuojamas</w:t>
      </w:r>
      <w:r w:rsidR="00F26298">
        <w:rPr>
          <w:rFonts w:ascii="Times New Roman" w:eastAsia="Times New Roman" w:hAnsi="Times New Roman" w:cs="Times New Roman"/>
          <w:sz w:val="24"/>
          <w:szCs w:val="24"/>
          <w:lang w:val="lt-LT"/>
        </w:rPr>
        <w:t xml:space="preserve">, kaip </w:t>
      </w:r>
      <w:r w:rsidR="00813258">
        <w:rPr>
          <w:rFonts w:ascii="Times New Roman" w:eastAsia="Times New Roman" w:hAnsi="Times New Roman" w:cs="Times New Roman"/>
          <w:sz w:val="24"/>
          <w:szCs w:val="24"/>
          <w:lang w:val="lt-LT"/>
        </w:rPr>
        <w:t xml:space="preserve">SESV 101 straipsnio 1 dalies </w:t>
      </w:r>
      <w:r w:rsidR="00F26298">
        <w:rPr>
          <w:rFonts w:ascii="Times New Roman" w:eastAsia="Times New Roman" w:hAnsi="Times New Roman" w:cs="Times New Roman"/>
          <w:sz w:val="24"/>
          <w:szCs w:val="24"/>
          <w:lang w:val="lt-LT"/>
        </w:rPr>
        <w:t>pažeidimas</w:t>
      </w:r>
      <w:r w:rsidR="00F53E75">
        <w:rPr>
          <w:rFonts w:ascii="Times New Roman" w:eastAsia="Times New Roman" w:hAnsi="Times New Roman" w:cs="Times New Roman"/>
          <w:sz w:val="24"/>
          <w:szCs w:val="24"/>
          <w:lang w:val="lt-LT"/>
        </w:rPr>
        <w:t xml:space="preserve">, </w:t>
      </w:r>
      <w:r w:rsidR="007C66AB">
        <w:rPr>
          <w:rFonts w:ascii="Times New Roman" w:eastAsia="Times New Roman" w:hAnsi="Times New Roman" w:cs="Times New Roman"/>
          <w:sz w:val="24"/>
          <w:szCs w:val="24"/>
          <w:lang w:val="lt-LT"/>
        </w:rPr>
        <w:t xml:space="preserve">kiekvienu </w:t>
      </w:r>
      <w:r w:rsidR="00F0737D">
        <w:rPr>
          <w:rFonts w:ascii="Times New Roman" w:eastAsia="Times New Roman" w:hAnsi="Times New Roman" w:cs="Times New Roman"/>
          <w:sz w:val="24"/>
          <w:szCs w:val="24"/>
          <w:lang w:val="lt-LT"/>
        </w:rPr>
        <w:t xml:space="preserve">konkrečiu atveju </w:t>
      </w:r>
      <w:r w:rsidR="00F53E75">
        <w:rPr>
          <w:rFonts w:ascii="Times New Roman" w:eastAsia="Times New Roman" w:hAnsi="Times New Roman" w:cs="Times New Roman"/>
          <w:sz w:val="24"/>
          <w:szCs w:val="24"/>
          <w:lang w:val="lt-LT"/>
        </w:rPr>
        <w:t xml:space="preserve">būtina </w:t>
      </w:r>
      <w:r w:rsidR="00F53E75" w:rsidRPr="0060025E">
        <w:rPr>
          <w:rFonts w:ascii="Times New Roman" w:eastAsia="Times New Roman" w:hAnsi="Times New Roman" w:cs="Times New Roman"/>
          <w:sz w:val="24"/>
          <w:szCs w:val="24"/>
          <w:lang w:val="lt-LT"/>
        </w:rPr>
        <w:t>nustatyti</w:t>
      </w:r>
      <w:r w:rsidR="00AF4FDB" w:rsidRPr="0060025E">
        <w:rPr>
          <w:rFonts w:ascii="Times New Roman" w:eastAsia="Times New Roman" w:hAnsi="Times New Roman" w:cs="Times New Roman"/>
          <w:sz w:val="24"/>
          <w:szCs w:val="24"/>
          <w:lang w:val="lt-LT"/>
        </w:rPr>
        <w:t xml:space="preserve"> </w:t>
      </w:r>
      <w:r w:rsidR="00730BA5" w:rsidRPr="0060025E">
        <w:rPr>
          <w:rFonts w:ascii="Times New Roman" w:eastAsia="Times New Roman" w:hAnsi="Times New Roman" w:cs="Times New Roman"/>
          <w:sz w:val="24"/>
          <w:szCs w:val="24"/>
          <w:lang w:val="lt-LT"/>
        </w:rPr>
        <w:t>minėtos normos</w:t>
      </w:r>
      <w:r w:rsidR="009D0FB1" w:rsidRPr="0060025E">
        <w:rPr>
          <w:rFonts w:ascii="Times New Roman" w:eastAsia="Times New Roman" w:hAnsi="Times New Roman" w:cs="Times New Roman"/>
          <w:sz w:val="24"/>
          <w:szCs w:val="24"/>
          <w:lang w:val="lt-LT"/>
        </w:rPr>
        <w:t xml:space="preserve"> taikymui </w:t>
      </w:r>
      <w:r w:rsidR="00730BA5" w:rsidRPr="0060025E">
        <w:rPr>
          <w:rFonts w:ascii="Times New Roman" w:eastAsia="Times New Roman" w:hAnsi="Times New Roman" w:cs="Times New Roman"/>
          <w:sz w:val="24"/>
          <w:szCs w:val="24"/>
          <w:lang w:val="lt-LT"/>
        </w:rPr>
        <w:t>būtinus</w:t>
      </w:r>
      <w:r w:rsidR="00C76A80" w:rsidRPr="0060025E">
        <w:rPr>
          <w:rFonts w:ascii="Times New Roman" w:eastAsia="Times New Roman" w:hAnsi="Times New Roman" w:cs="Times New Roman"/>
          <w:sz w:val="24"/>
          <w:szCs w:val="24"/>
          <w:lang w:val="lt-LT"/>
        </w:rPr>
        <w:t xml:space="preserve"> elementus</w:t>
      </w:r>
      <w:r w:rsidR="00A037C5" w:rsidRPr="0060025E">
        <w:rPr>
          <w:rFonts w:ascii="Times New Roman" w:eastAsia="Times New Roman" w:hAnsi="Times New Roman" w:cs="Times New Roman"/>
          <w:sz w:val="24"/>
          <w:szCs w:val="24"/>
          <w:lang w:val="lt-LT"/>
        </w:rPr>
        <w:t>, be kita ko, ar</w:t>
      </w:r>
      <w:r w:rsidR="00F87278" w:rsidRPr="0060025E">
        <w:rPr>
          <w:rFonts w:ascii="Times New Roman" w:eastAsia="Times New Roman" w:hAnsi="Times New Roman" w:cs="Times New Roman"/>
          <w:sz w:val="24"/>
          <w:szCs w:val="24"/>
          <w:lang w:val="lt-LT"/>
        </w:rPr>
        <w:t xml:space="preserve"> </w:t>
      </w:r>
      <w:r w:rsidR="0060025E">
        <w:rPr>
          <w:rFonts w:ascii="Times New Roman" w:eastAsia="Times New Roman" w:hAnsi="Times New Roman" w:cs="Times New Roman"/>
          <w:sz w:val="24"/>
          <w:szCs w:val="24"/>
          <w:lang w:val="lt-LT"/>
        </w:rPr>
        <w:t>atitinkamus veiksmus</w:t>
      </w:r>
      <w:r w:rsidR="005713C7" w:rsidRPr="0060025E">
        <w:rPr>
          <w:rFonts w:ascii="Times New Roman" w:eastAsia="Times New Roman" w:hAnsi="Times New Roman" w:cs="Times New Roman"/>
          <w:sz w:val="24"/>
          <w:szCs w:val="24"/>
          <w:lang w:val="lt-LT"/>
        </w:rPr>
        <w:t xml:space="preserve"> </w:t>
      </w:r>
      <w:r w:rsidR="0060025E">
        <w:rPr>
          <w:rFonts w:ascii="Times New Roman" w:eastAsia="Times New Roman" w:hAnsi="Times New Roman" w:cs="Times New Roman"/>
          <w:sz w:val="24"/>
          <w:szCs w:val="24"/>
          <w:lang w:val="lt-LT"/>
        </w:rPr>
        <w:t xml:space="preserve">atliekantis </w:t>
      </w:r>
      <w:r w:rsidR="00F654DE" w:rsidRPr="0060025E">
        <w:rPr>
          <w:rFonts w:ascii="Times New Roman" w:eastAsia="Times New Roman" w:hAnsi="Times New Roman" w:cs="Times New Roman"/>
          <w:sz w:val="24"/>
          <w:szCs w:val="24"/>
          <w:lang w:val="lt-LT"/>
        </w:rPr>
        <w:t xml:space="preserve">notaras </w:t>
      </w:r>
      <w:r w:rsidR="0060025E" w:rsidRPr="0060025E">
        <w:rPr>
          <w:rFonts w:ascii="Times New Roman" w:eastAsia="Times New Roman" w:hAnsi="Times New Roman" w:cs="Times New Roman"/>
          <w:sz w:val="24"/>
          <w:szCs w:val="24"/>
          <w:lang w:val="lt-LT"/>
        </w:rPr>
        <w:t>laikytinas</w:t>
      </w:r>
      <w:r w:rsidR="005713C7" w:rsidRPr="0060025E">
        <w:rPr>
          <w:rFonts w:ascii="Times New Roman" w:eastAsia="Times New Roman" w:hAnsi="Times New Roman" w:cs="Times New Roman"/>
          <w:sz w:val="24"/>
          <w:szCs w:val="24"/>
          <w:lang w:val="lt-LT"/>
        </w:rPr>
        <w:t xml:space="preserve"> </w:t>
      </w:r>
      <w:r w:rsidR="00F654DE" w:rsidRPr="0060025E">
        <w:rPr>
          <w:rFonts w:ascii="Times New Roman" w:eastAsia="Times New Roman" w:hAnsi="Times New Roman" w:cs="Times New Roman"/>
          <w:sz w:val="24"/>
          <w:szCs w:val="24"/>
          <w:lang w:val="lt-LT"/>
        </w:rPr>
        <w:t>įmon</w:t>
      </w:r>
      <w:r w:rsidR="0060025E" w:rsidRPr="0060025E">
        <w:rPr>
          <w:rFonts w:ascii="Times New Roman" w:eastAsia="Times New Roman" w:hAnsi="Times New Roman" w:cs="Times New Roman"/>
          <w:sz w:val="24"/>
          <w:szCs w:val="24"/>
          <w:lang w:val="lt-LT"/>
        </w:rPr>
        <w:t>e</w:t>
      </w:r>
      <w:r w:rsidR="001755E5" w:rsidRPr="0060025E">
        <w:rPr>
          <w:rFonts w:ascii="Times New Roman" w:eastAsia="Times New Roman" w:hAnsi="Times New Roman" w:cs="Times New Roman"/>
          <w:sz w:val="24"/>
          <w:szCs w:val="24"/>
          <w:lang w:val="lt-LT"/>
        </w:rPr>
        <w:t xml:space="preserve"> </w:t>
      </w:r>
      <w:r w:rsidR="001755E5">
        <w:rPr>
          <w:rFonts w:ascii="Times New Roman" w:eastAsia="Times New Roman" w:hAnsi="Times New Roman" w:cs="Times New Roman"/>
          <w:sz w:val="24"/>
          <w:szCs w:val="24"/>
          <w:lang w:val="lt-LT"/>
        </w:rPr>
        <w:t>SESV 101 straipsn</w:t>
      </w:r>
      <w:r w:rsidR="007C1D47">
        <w:rPr>
          <w:rFonts w:ascii="Times New Roman" w:eastAsia="Times New Roman" w:hAnsi="Times New Roman" w:cs="Times New Roman"/>
          <w:sz w:val="24"/>
          <w:szCs w:val="24"/>
          <w:lang w:val="lt-LT"/>
        </w:rPr>
        <w:t>io 1 dal</w:t>
      </w:r>
      <w:r w:rsidR="009304B0">
        <w:rPr>
          <w:rFonts w:ascii="Times New Roman" w:eastAsia="Times New Roman" w:hAnsi="Times New Roman" w:cs="Times New Roman"/>
          <w:sz w:val="24"/>
          <w:szCs w:val="24"/>
          <w:lang w:val="lt-LT"/>
        </w:rPr>
        <w:t>ies prasme</w:t>
      </w:r>
      <w:r w:rsidR="001755E5">
        <w:rPr>
          <w:rFonts w:ascii="Times New Roman" w:eastAsia="Times New Roman" w:hAnsi="Times New Roman" w:cs="Times New Roman"/>
          <w:sz w:val="24"/>
          <w:szCs w:val="24"/>
          <w:lang w:val="lt-LT"/>
        </w:rPr>
        <w:t>.</w:t>
      </w:r>
      <w:r w:rsidR="00A037C5">
        <w:rPr>
          <w:rFonts w:ascii="Times New Roman" w:eastAsia="Times New Roman" w:hAnsi="Times New Roman" w:cs="Times New Roman"/>
          <w:sz w:val="24"/>
          <w:szCs w:val="24"/>
          <w:lang w:val="lt-LT"/>
        </w:rPr>
        <w:t xml:space="preserve"> </w:t>
      </w:r>
    </w:p>
    <w:p w14:paraId="11D41447" w14:textId="77777777" w:rsidR="002173C1" w:rsidRPr="00DC529A" w:rsidRDefault="002173C1" w:rsidP="00A92C38">
      <w:pPr>
        <w:tabs>
          <w:tab w:val="left" w:pos="567"/>
          <w:tab w:val="left" w:pos="1134"/>
        </w:tabs>
        <w:spacing w:after="0" w:line="240" w:lineRule="auto"/>
        <w:contextualSpacing/>
        <w:jc w:val="both"/>
        <w:rPr>
          <w:rFonts w:ascii="Times New Roman" w:eastAsia="Times New Roman" w:hAnsi="Times New Roman" w:cs="Times New Roman"/>
          <w:sz w:val="24"/>
          <w:szCs w:val="24"/>
          <w:lang w:val="lt-LT"/>
        </w:rPr>
      </w:pPr>
    </w:p>
    <w:p w14:paraId="744C74D8" w14:textId="62DED7AA" w:rsidR="00FF5531" w:rsidRPr="009C64EB" w:rsidRDefault="00FF5531" w:rsidP="00FF5531">
      <w:pPr>
        <w:tabs>
          <w:tab w:val="left" w:pos="993"/>
          <w:tab w:val="left" w:pos="1276"/>
        </w:tabs>
        <w:spacing w:after="0" w:line="240" w:lineRule="auto"/>
        <w:ind w:firstLine="680"/>
        <w:jc w:val="both"/>
        <w:rPr>
          <w:rFonts w:ascii="Times New Roman" w:eastAsia="Times New Roman" w:hAnsi="Times New Roman" w:cs="Times New Roman"/>
          <w:i/>
          <w:iCs/>
          <w:sz w:val="24"/>
          <w:szCs w:val="24"/>
          <w:lang w:val="lt-LT"/>
        </w:rPr>
      </w:pPr>
      <w:r w:rsidRPr="009C64EB">
        <w:rPr>
          <w:rFonts w:ascii="Times New Roman" w:eastAsia="Times New Roman" w:hAnsi="Times New Roman" w:cs="Times New Roman"/>
          <w:i/>
          <w:iCs/>
          <w:sz w:val="24"/>
          <w:szCs w:val="24"/>
          <w:lang w:val="lt-LT"/>
        </w:rPr>
        <w:t>Dėl notarų vertinimo kaip ūkio subjektų Konkurencijos įstatymo ir įmonių SESV 101 straipsnio prasme</w:t>
      </w:r>
    </w:p>
    <w:p w14:paraId="342B82F9" w14:textId="77777777" w:rsidR="00FF5531" w:rsidRPr="009C64EB" w:rsidRDefault="00FF5531" w:rsidP="00FF5531">
      <w:pPr>
        <w:tabs>
          <w:tab w:val="left" w:pos="993"/>
          <w:tab w:val="left" w:pos="1276"/>
        </w:tabs>
        <w:spacing w:after="0" w:line="240" w:lineRule="auto"/>
        <w:ind w:firstLine="680"/>
        <w:jc w:val="both"/>
        <w:rPr>
          <w:rFonts w:ascii="Times New Roman" w:eastAsia="Times New Roman" w:hAnsi="Times New Roman" w:cs="Times New Roman"/>
          <w:i/>
          <w:iCs/>
          <w:sz w:val="24"/>
          <w:szCs w:val="24"/>
          <w:lang w:val="lt-LT"/>
        </w:rPr>
      </w:pPr>
    </w:p>
    <w:p w14:paraId="044C51B8" w14:textId="77777777" w:rsidR="00FF5531" w:rsidRDefault="00FF553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Ginčijamame Nutarime Konkurencijos taryba, atsižvelgdama į Europos Sąjungos Teisingumo Teismo, Konstitucinio Teismo ir Lietuvos vyriausiojo administracinio teismo jurisprudenciją, Europos Komisijos nuomonę, taip pat į aplinkybę, kad notarai savarankiškai verčiasi profesine (ūkine) veikla ir atlygintinai teikia notaro paslaugas bei prisiima finansinę riziką, susijusią su jų veikla, sprendė, kad notarai atitinka Konkurencijos įstatyme įtvirtintus ūkio subjekto požymius (Nutarimo 105 – 113 p</w:t>
      </w:r>
      <w:r>
        <w:rPr>
          <w:rFonts w:ascii="Times New Roman" w:eastAsia="Times New Roman" w:hAnsi="Times New Roman" w:cs="Times New Roman"/>
          <w:sz w:val="24"/>
          <w:szCs w:val="24"/>
          <w:lang w:val="lt-LT"/>
        </w:rPr>
        <w:t>.</w:t>
      </w:r>
      <w:r w:rsidRPr="009C64EB">
        <w:rPr>
          <w:rFonts w:ascii="Times New Roman" w:eastAsia="Times New Roman" w:hAnsi="Times New Roman" w:cs="Times New Roman"/>
          <w:sz w:val="24"/>
          <w:szCs w:val="24"/>
          <w:lang w:val="lt-LT"/>
        </w:rPr>
        <w:t>).</w:t>
      </w:r>
    </w:p>
    <w:p w14:paraId="1B750FEA" w14:textId="682F742E" w:rsidR="00156D2B" w:rsidRPr="009C64EB" w:rsidRDefault="00CF3D05"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Pirmosios instancijos teismas skundžiamame sprendime akcentavo, kad </w:t>
      </w:r>
      <w:r w:rsidRPr="00CF3D05">
        <w:rPr>
          <w:rFonts w:ascii="Times New Roman" w:eastAsia="Times New Roman" w:hAnsi="Times New Roman" w:cs="Times New Roman"/>
          <w:sz w:val="24"/>
          <w:szCs w:val="24"/>
          <w:lang w:val="lt-LT"/>
        </w:rPr>
        <w:t>notaro teisinis statusas aiškiai išsiskiria pagal šio subjekto svarbą vykdant viešąjį interesą užtikrinančias funkcijas</w:t>
      </w:r>
      <w:r w:rsidR="00683A6C">
        <w:rPr>
          <w:rFonts w:ascii="Times New Roman" w:eastAsia="Times New Roman" w:hAnsi="Times New Roman" w:cs="Times New Roman"/>
          <w:sz w:val="24"/>
          <w:szCs w:val="24"/>
          <w:lang w:val="lt-LT"/>
        </w:rPr>
        <w:t>,</w:t>
      </w:r>
      <w:r w:rsidRPr="00CF3D05">
        <w:rPr>
          <w:rFonts w:ascii="Times New Roman" w:eastAsia="Times New Roman" w:hAnsi="Times New Roman" w:cs="Times New Roman"/>
          <w:sz w:val="24"/>
          <w:szCs w:val="24"/>
          <w:lang w:val="lt-LT"/>
        </w:rPr>
        <w:t xml:space="preserve">  veikla yra aiškiai sureguliuot</w:t>
      </w:r>
      <w:r w:rsidR="00DE33E1">
        <w:rPr>
          <w:rFonts w:ascii="Times New Roman" w:eastAsia="Times New Roman" w:hAnsi="Times New Roman" w:cs="Times New Roman"/>
          <w:sz w:val="24"/>
          <w:szCs w:val="24"/>
          <w:lang w:val="lt-LT"/>
        </w:rPr>
        <w:t>a</w:t>
      </w:r>
      <w:r w:rsidRPr="00CF3D05">
        <w:rPr>
          <w:rFonts w:ascii="Times New Roman" w:eastAsia="Times New Roman" w:hAnsi="Times New Roman" w:cs="Times New Roman"/>
          <w:sz w:val="24"/>
          <w:szCs w:val="24"/>
          <w:lang w:val="lt-LT"/>
        </w:rPr>
        <w:t xml:space="preserve"> teisės aktų nuostatomis, o notaras yra asmuo, vykdantis išskirtinai tik jam valstybės deleguotas funkcijas</w:t>
      </w:r>
      <w:r w:rsidR="00317FF0">
        <w:rPr>
          <w:rFonts w:ascii="Times New Roman" w:eastAsia="Times New Roman" w:hAnsi="Times New Roman" w:cs="Times New Roman"/>
          <w:sz w:val="24"/>
          <w:szCs w:val="24"/>
          <w:lang w:val="lt-LT"/>
        </w:rPr>
        <w:t xml:space="preserve"> </w:t>
      </w:r>
      <w:r w:rsidRPr="00CF3D05">
        <w:rPr>
          <w:rFonts w:ascii="Times New Roman" w:eastAsia="Times New Roman" w:hAnsi="Times New Roman" w:cs="Times New Roman"/>
          <w:sz w:val="24"/>
          <w:szCs w:val="24"/>
          <w:lang w:val="lt-LT"/>
        </w:rPr>
        <w:t>iš esmės savo rizika ir sąskaita</w:t>
      </w:r>
      <w:r w:rsidR="00C54843">
        <w:rPr>
          <w:rFonts w:ascii="Times New Roman" w:eastAsia="Times New Roman" w:hAnsi="Times New Roman" w:cs="Times New Roman"/>
          <w:sz w:val="24"/>
          <w:szCs w:val="24"/>
          <w:lang w:val="lt-LT"/>
        </w:rPr>
        <w:t>.</w:t>
      </w:r>
    </w:p>
    <w:p w14:paraId="7EE7A95A" w14:textId="259BB8AC" w:rsidR="00FF5531" w:rsidRDefault="00FF553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Konkurencijos taryba apeliaciniame skunde, be kita ko, pažymi, kad neneigia, jog notarai iš tiesų </w:t>
      </w:r>
      <w:r w:rsidRPr="00361C1F">
        <w:rPr>
          <w:rFonts w:ascii="Times New Roman" w:eastAsia="Times New Roman" w:hAnsi="Times New Roman" w:cs="Times New Roman"/>
          <w:sz w:val="24"/>
          <w:szCs w:val="24"/>
          <w:lang w:val="lt-LT"/>
        </w:rPr>
        <w:t>vykdo viešo pobūdžio funkcijas, tačiau</w:t>
      </w:r>
      <w:r w:rsidR="00112768">
        <w:rPr>
          <w:rFonts w:ascii="Times New Roman" w:eastAsia="Times New Roman" w:hAnsi="Times New Roman" w:cs="Times New Roman"/>
          <w:sz w:val="24"/>
          <w:szCs w:val="24"/>
          <w:lang w:val="lt-LT"/>
        </w:rPr>
        <w:t>, jos nuomone,</w:t>
      </w:r>
      <w:r w:rsidRPr="00361C1F">
        <w:rPr>
          <w:rFonts w:ascii="Times New Roman" w:eastAsia="Times New Roman" w:hAnsi="Times New Roman" w:cs="Times New Roman"/>
          <w:sz w:val="24"/>
          <w:szCs w:val="24"/>
          <w:lang w:val="lt-LT"/>
        </w:rPr>
        <w:t xml:space="preserve"> tai nėra pagrindas pripažinti, jog notarai nėra ūkio subjektai, kadangi viešo pobūdžio funkcijų atlikimas nėra tapatinamas su viešosios valdžios funkcijų</w:t>
      </w:r>
      <w:r w:rsidRPr="009C64EB">
        <w:rPr>
          <w:rFonts w:ascii="Times New Roman" w:eastAsia="Times New Roman" w:hAnsi="Times New Roman" w:cs="Times New Roman"/>
          <w:sz w:val="24"/>
          <w:szCs w:val="24"/>
          <w:lang w:val="lt-LT"/>
        </w:rPr>
        <w:t xml:space="preserve"> atlikimu.</w:t>
      </w:r>
      <w:r w:rsidR="00EF05DF">
        <w:rPr>
          <w:rFonts w:ascii="Times New Roman" w:eastAsia="Times New Roman" w:hAnsi="Times New Roman" w:cs="Times New Roman"/>
          <w:sz w:val="24"/>
          <w:szCs w:val="24"/>
          <w:lang w:val="lt-LT"/>
        </w:rPr>
        <w:t xml:space="preserve"> </w:t>
      </w:r>
    </w:p>
    <w:p w14:paraId="3E2E976E" w14:textId="0AAA5297" w:rsidR="00263C43" w:rsidRPr="00DA6D01" w:rsidRDefault="00566403"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Pareiškėjai </w:t>
      </w:r>
      <w:r w:rsidR="00854929">
        <w:rPr>
          <w:rFonts w:ascii="Times New Roman" w:eastAsia="Times New Roman" w:hAnsi="Times New Roman" w:cs="Times New Roman"/>
          <w:sz w:val="24"/>
          <w:szCs w:val="24"/>
          <w:lang w:val="lt-LT"/>
        </w:rPr>
        <w:t xml:space="preserve">su tokia pozicija nesutinka. Trečiasis suinteresuotas asmuo </w:t>
      </w:r>
      <w:r w:rsidR="00854929" w:rsidRPr="009C64EB">
        <w:rPr>
          <w:rFonts w:ascii="Times New Roman" w:eastAsia="Times New Roman" w:hAnsi="Times New Roman" w:cs="Times New Roman"/>
          <w:sz w:val="24"/>
          <w:szCs w:val="24"/>
          <w:lang w:val="lt-LT"/>
        </w:rPr>
        <w:t>Teisingumo ministerija</w:t>
      </w:r>
      <w:r w:rsidR="000B0586">
        <w:rPr>
          <w:rFonts w:ascii="Times New Roman" w:eastAsia="Times New Roman" w:hAnsi="Times New Roman" w:cs="Times New Roman"/>
          <w:sz w:val="24"/>
          <w:szCs w:val="24"/>
          <w:lang w:val="lt-LT"/>
        </w:rPr>
        <w:t xml:space="preserve">, palaikydama pareiškėjų poziciją, </w:t>
      </w:r>
      <w:r w:rsidR="00090327">
        <w:rPr>
          <w:rFonts w:ascii="Times New Roman" w:eastAsia="Times New Roman" w:hAnsi="Times New Roman" w:cs="Times New Roman"/>
          <w:sz w:val="24"/>
          <w:szCs w:val="24"/>
          <w:lang w:val="lt-LT"/>
        </w:rPr>
        <w:t xml:space="preserve">šiuo aspektu </w:t>
      </w:r>
      <w:r w:rsidR="002059E9">
        <w:rPr>
          <w:rFonts w:ascii="Times New Roman" w:eastAsia="Times New Roman" w:hAnsi="Times New Roman" w:cs="Times New Roman"/>
          <w:sz w:val="24"/>
          <w:szCs w:val="24"/>
          <w:lang w:val="lt-LT"/>
        </w:rPr>
        <w:t xml:space="preserve">pabrėžia, </w:t>
      </w:r>
      <w:r w:rsidR="00854929" w:rsidRPr="009C64EB">
        <w:rPr>
          <w:rFonts w:ascii="Times New Roman" w:eastAsia="Times New Roman" w:hAnsi="Times New Roman" w:cs="Times New Roman"/>
          <w:color w:val="000000"/>
          <w:sz w:val="24"/>
          <w:szCs w:val="24"/>
          <w:lang w:val="lt-LT" w:eastAsia="lt-LT" w:bidi="lt-LT"/>
        </w:rPr>
        <w:t>jog nagrinėjamoje byloje netikslinga vertinti notaro statuso problematikos, nes nėra tiek aktualu nustatyti, ar notarai yra ūkio subjektai, ar ne ir kokiose ribose galimas jų veiklos ribojimas konkurencijos teisės prasme, kiek svarbus Lietuvos notarų rūmų statuso įvertinimas, kadangi nagrinėjamos bylos dalykas susijęs su pareiškėjų, kaip Lietuvos notarų rūmų valdymo organo Prezidiumo narių, teiktu notarų paslaugų įkainių Išaiškinimu, vykdant teisės aktuose nustatytas funkcijas.</w:t>
      </w:r>
    </w:p>
    <w:p w14:paraId="41A9013F" w14:textId="2D30677A" w:rsidR="00DA6D01" w:rsidRPr="002830D8" w:rsidRDefault="00DA6D0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eastAsia="lt-LT" w:bidi="lt-LT"/>
        </w:rPr>
        <w:t>Išplėstinė teisėjų kolegija</w:t>
      </w:r>
      <w:r w:rsidR="00733895">
        <w:rPr>
          <w:rFonts w:ascii="Times New Roman" w:eastAsia="Times New Roman" w:hAnsi="Times New Roman" w:cs="Times New Roman"/>
          <w:color w:val="000000"/>
          <w:sz w:val="24"/>
          <w:szCs w:val="24"/>
          <w:lang w:val="lt-LT" w:eastAsia="lt-LT" w:bidi="lt-LT"/>
        </w:rPr>
        <w:t xml:space="preserve"> atkreipia dėmesį, kad </w:t>
      </w:r>
      <w:r w:rsidR="00B30857">
        <w:rPr>
          <w:rFonts w:ascii="Times New Roman" w:eastAsia="Times New Roman" w:hAnsi="Times New Roman" w:cs="Times New Roman"/>
          <w:color w:val="000000"/>
          <w:sz w:val="24"/>
          <w:szCs w:val="24"/>
          <w:lang w:val="lt-LT" w:eastAsia="lt-LT" w:bidi="lt-LT"/>
        </w:rPr>
        <w:t xml:space="preserve">nagrinėjamos bylos aplinkybėmis </w:t>
      </w:r>
      <w:r w:rsidR="00AE1975">
        <w:rPr>
          <w:rFonts w:ascii="Times New Roman" w:eastAsia="Times New Roman" w:hAnsi="Times New Roman" w:cs="Times New Roman"/>
          <w:color w:val="000000"/>
          <w:sz w:val="24"/>
          <w:szCs w:val="24"/>
          <w:lang w:val="lt-LT" w:eastAsia="lt-LT" w:bidi="lt-LT"/>
        </w:rPr>
        <w:t xml:space="preserve">reikšminga nustatyti, ar </w:t>
      </w:r>
      <w:r w:rsidR="00950310">
        <w:rPr>
          <w:rFonts w:ascii="Times New Roman" w:eastAsia="Times New Roman" w:hAnsi="Times New Roman" w:cs="Times New Roman"/>
          <w:color w:val="000000"/>
          <w:sz w:val="24"/>
          <w:szCs w:val="24"/>
          <w:lang w:val="lt-LT" w:eastAsia="lt-LT" w:bidi="lt-LT"/>
        </w:rPr>
        <w:t>notarai, vykdydami konkrečiai tas funkcijas, kurių įkainiams lemiamos reikšmės turėjo Išaiškinimai</w:t>
      </w:r>
      <w:r w:rsidR="00FA2A2D">
        <w:rPr>
          <w:rFonts w:ascii="Times New Roman" w:eastAsia="Times New Roman" w:hAnsi="Times New Roman" w:cs="Times New Roman"/>
          <w:color w:val="000000"/>
          <w:sz w:val="24"/>
          <w:szCs w:val="24"/>
          <w:lang w:val="lt-LT" w:eastAsia="lt-LT" w:bidi="lt-LT"/>
        </w:rPr>
        <w:t>, veikia kaip įmonės SESV 101 stra</w:t>
      </w:r>
      <w:r w:rsidR="001C1D71">
        <w:rPr>
          <w:rFonts w:ascii="Times New Roman" w:eastAsia="Times New Roman" w:hAnsi="Times New Roman" w:cs="Times New Roman"/>
          <w:color w:val="000000"/>
          <w:sz w:val="24"/>
          <w:szCs w:val="24"/>
          <w:lang w:val="lt-LT" w:eastAsia="lt-LT" w:bidi="lt-LT"/>
        </w:rPr>
        <w:t xml:space="preserve">ipsnio 1 dalies prasme. </w:t>
      </w:r>
      <w:r w:rsidR="004E40F3">
        <w:rPr>
          <w:rFonts w:ascii="Times New Roman" w:eastAsia="Times New Roman" w:hAnsi="Times New Roman" w:cs="Times New Roman"/>
          <w:color w:val="000000"/>
          <w:sz w:val="24"/>
          <w:szCs w:val="24"/>
          <w:lang w:val="lt-LT" w:eastAsia="lt-LT" w:bidi="lt-LT"/>
        </w:rPr>
        <w:t>Tik n</w:t>
      </w:r>
      <w:r w:rsidR="008D396D">
        <w:rPr>
          <w:rFonts w:ascii="Times New Roman" w:eastAsia="Times New Roman" w:hAnsi="Times New Roman" w:cs="Times New Roman"/>
          <w:color w:val="000000"/>
          <w:sz w:val="24"/>
          <w:szCs w:val="24"/>
          <w:lang w:val="lt-LT" w:eastAsia="lt-LT" w:bidi="lt-LT"/>
        </w:rPr>
        <w:t>ustačius</w:t>
      </w:r>
      <w:r w:rsidR="004E40F3">
        <w:rPr>
          <w:rFonts w:ascii="Times New Roman" w:eastAsia="Times New Roman" w:hAnsi="Times New Roman" w:cs="Times New Roman"/>
          <w:color w:val="000000"/>
          <w:sz w:val="24"/>
          <w:szCs w:val="24"/>
          <w:lang w:val="lt-LT" w:eastAsia="lt-LT" w:bidi="lt-LT"/>
        </w:rPr>
        <w:t xml:space="preserve"> šią nagrinėjamai bylai reikšmingą teisinę aplinkybę</w:t>
      </w:r>
      <w:r w:rsidR="00217A6B">
        <w:rPr>
          <w:rFonts w:ascii="Times New Roman" w:eastAsia="Times New Roman" w:hAnsi="Times New Roman" w:cs="Times New Roman"/>
          <w:color w:val="000000"/>
          <w:sz w:val="24"/>
          <w:szCs w:val="24"/>
          <w:lang w:val="lt-LT" w:eastAsia="lt-LT" w:bidi="lt-LT"/>
        </w:rPr>
        <w:t>,</w:t>
      </w:r>
      <w:r w:rsidR="003006C1">
        <w:rPr>
          <w:rFonts w:ascii="Times New Roman" w:eastAsia="Times New Roman" w:hAnsi="Times New Roman" w:cs="Times New Roman"/>
          <w:color w:val="000000"/>
          <w:sz w:val="24"/>
          <w:szCs w:val="24"/>
          <w:lang w:val="lt-LT" w:eastAsia="lt-LT" w:bidi="lt-LT"/>
        </w:rPr>
        <w:t xml:space="preserve"> aktualu ir tikslinga vertinti pareiškėjų vei</w:t>
      </w:r>
      <w:r w:rsidR="001E57CA">
        <w:rPr>
          <w:rFonts w:ascii="Times New Roman" w:eastAsia="Times New Roman" w:hAnsi="Times New Roman" w:cs="Times New Roman"/>
          <w:color w:val="000000"/>
          <w:sz w:val="24"/>
          <w:szCs w:val="24"/>
          <w:lang w:val="lt-LT" w:eastAsia="lt-LT" w:bidi="lt-LT"/>
        </w:rPr>
        <w:t xml:space="preserve">ksmus SESV 101 straipsnio 1 dalies kontekste. </w:t>
      </w:r>
    </w:p>
    <w:p w14:paraId="02BFACC0" w14:textId="7BF8837B" w:rsidR="00372368" w:rsidRPr="00A329C2" w:rsidRDefault="00372368" w:rsidP="00372368">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E60045">
        <w:rPr>
          <w:rFonts w:ascii="Times New Roman" w:eastAsia="Times New Roman" w:hAnsi="Times New Roman" w:cs="Times New Roman"/>
          <w:sz w:val="24"/>
          <w:szCs w:val="24"/>
          <w:lang w:val="lt-LT"/>
        </w:rPr>
        <w:t xml:space="preserve">Teisingumo Teismas Sprendime </w:t>
      </w:r>
      <w:r w:rsidRPr="00E60045">
        <w:rPr>
          <w:rFonts w:ascii="Times New Roman" w:eastAsia="Times New Roman" w:hAnsi="Times New Roman" w:cs="Times New Roman"/>
          <w:i/>
          <w:iCs/>
          <w:sz w:val="24"/>
          <w:szCs w:val="24"/>
          <w:lang w:val="lt-LT"/>
        </w:rPr>
        <w:t>Notarų rūmai</w:t>
      </w:r>
      <w:r w:rsidRPr="00E60045">
        <w:rPr>
          <w:rFonts w:ascii="Times New Roman" w:eastAsia="Times New Roman" w:hAnsi="Times New Roman" w:cs="Times New Roman"/>
          <w:sz w:val="24"/>
          <w:szCs w:val="24"/>
          <w:lang w:val="lt-LT"/>
        </w:rPr>
        <w:t xml:space="preserve"> priminė, kad pagal </w:t>
      </w:r>
      <w:r w:rsidR="00C66518">
        <w:rPr>
          <w:rFonts w:ascii="Times New Roman" w:eastAsia="Times New Roman" w:hAnsi="Times New Roman" w:cs="Times New Roman"/>
          <w:sz w:val="24"/>
          <w:szCs w:val="24"/>
          <w:lang w:val="lt-LT"/>
        </w:rPr>
        <w:t>nusistovėjusią</w:t>
      </w:r>
      <w:r w:rsidRPr="00E60045">
        <w:rPr>
          <w:rFonts w:ascii="Times New Roman" w:eastAsia="Times New Roman" w:hAnsi="Times New Roman" w:cs="Times New Roman"/>
          <w:sz w:val="24"/>
          <w:szCs w:val="24"/>
          <w:lang w:val="lt-LT"/>
        </w:rPr>
        <w:t xml:space="preserve"> jurisprudenciją konkurencijos teisėje sąvoka „įmonė“ apima bet kurį ekonominę veiklą vykdantį subjektą, neatsižvelgiant į jo teisinį statusą ar jo finansavimo būdus (Teisingumo Teismo 2002 m. vasario 19 d. sprendimo </w:t>
      </w:r>
      <w:proofErr w:type="spellStart"/>
      <w:r w:rsidRPr="00E60045">
        <w:rPr>
          <w:rFonts w:ascii="Times New Roman" w:eastAsia="Times New Roman" w:hAnsi="Times New Roman" w:cs="Times New Roman"/>
          <w:i/>
          <w:iCs/>
          <w:sz w:val="24"/>
          <w:szCs w:val="24"/>
          <w:lang w:val="lt-LT"/>
        </w:rPr>
        <w:t>Wouters</w:t>
      </w:r>
      <w:proofErr w:type="spellEnd"/>
      <w:r w:rsidRPr="00E60045">
        <w:rPr>
          <w:rFonts w:ascii="Times New Roman" w:eastAsia="Times New Roman" w:hAnsi="Times New Roman" w:cs="Times New Roman"/>
          <w:i/>
          <w:iCs/>
          <w:sz w:val="24"/>
          <w:szCs w:val="24"/>
          <w:lang w:val="lt-LT"/>
        </w:rPr>
        <w:t xml:space="preserve"> ir kt.</w:t>
      </w:r>
      <w:r w:rsidRPr="00E60045">
        <w:rPr>
          <w:rFonts w:ascii="Times New Roman" w:eastAsia="Times New Roman" w:hAnsi="Times New Roman" w:cs="Times New Roman"/>
          <w:sz w:val="24"/>
          <w:szCs w:val="24"/>
          <w:lang w:val="lt-LT"/>
        </w:rPr>
        <w:t>, C-309/99, EU:C:2002:98, 46 p. ir jame nurodyta jurisprudencija ir 2013</w:t>
      </w:r>
      <w:r w:rsidR="00593A6F">
        <w:rPr>
          <w:rFonts w:ascii="Times New Roman" w:eastAsia="Times New Roman" w:hAnsi="Times New Roman" w:cs="Times New Roman"/>
          <w:sz w:val="24"/>
          <w:szCs w:val="24"/>
          <w:lang w:val="lt-LT"/>
        </w:rPr>
        <w:t> </w:t>
      </w:r>
      <w:r w:rsidRPr="00E60045">
        <w:rPr>
          <w:rFonts w:ascii="Times New Roman" w:eastAsia="Times New Roman" w:hAnsi="Times New Roman" w:cs="Times New Roman"/>
          <w:sz w:val="24"/>
          <w:szCs w:val="24"/>
          <w:lang w:val="lt-LT"/>
        </w:rPr>
        <w:t xml:space="preserve">m. vasario 28 d. sprendimo </w:t>
      </w:r>
      <w:proofErr w:type="spellStart"/>
      <w:r w:rsidRPr="00E60045">
        <w:rPr>
          <w:rFonts w:ascii="Times New Roman" w:eastAsia="Times New Roman" w:hAnsi="Times New Roman" w:cs="Times New Roman"/>
          <w:i/>
          <w:iCs/>
          <w:sz w:val="24"/>
          <w:szCs w:val="24"/>
          <w:lang w:val="lt-LT"/>
        </w:rPr>
        <w:t>Ordem</w:t>
      </w:r>
      <w:proofErr w:type="spellEnd"/>
      <w:r w:rsidRPr="00E60045">
        <w:rPr>
          <w:rFonts w:ascii="Times New Roman" w:eastAsia="Times New Roman" w:hAnsi="Times New Roman" w:cs="Times New Roman"/>
          <w:i/>
          <w:iCs/>
          <w:sz w:val="24"/>
          <w:szCs w:val="24"/>
          <w:lang w:val="lt-LT"/>
        </w:rPr>
        <w:t xml:space="preserve"> </w:t>
      </w:r>
      <w:proofErr w:type="spellStart"/>
      <w:r w:rsidRPr="00E60045">
        <w:rPr>
          <w:rFonts w:ascii="Times New Roman" w:eastAsia="Times New Roman" w:hAnsi="Times New Roman" w:cs="Times New Roman"/>
          <w:i/>
          <w:iCs/>
          <w:sz w:val="24"/>
          <w:szCs w:val="24"/>
          <w:lang w:val="lt-LT"/>
        </w:rPr>
        <w:t>dos</w:t>
      </w:r>
      <w:proofErr w:type="spellEnd"/>
      <w:r w:rsidRPr="00E60045">
        <w:rPr>
          <w:rFonts w:ascii="Times New Roman" w:eastAsia="Times New Roman" w:hAnsi="Times New Roman" w:cs="Times New Roman"/>
          <w:i/>
          <w:iCs/>
          <w:sz w:val="24"/>
          <w:szCs w:val="24"/>
          <w:lang w:val="lt-LT"/>
        </w:rPr>
        <w:t xml:space="preserve"> </w:t>
      </w:r>
      <w:proofErr w:type="spellStart"/>
      <w:r w:rsidRPr="00E60045">
        <w:rPr>
          <w:rFonts w:ascii="Times New Roman" w:eastAsia="Times New Roman" w:hAnsi="Times New Roman" w:cs="Times New Roman"/>
          <w:i/>
          <w:iCs/>
          <w:sz w:val="24"/>
          <w:szCs w:val="24"/>
          <w:lang w:val="lt-LT"/>
        </w:rPr>
        <w:t>Técnicos</w:t>
      </w:r>
      <w:proofErr w:type="spellEnd"/>
      <w:r w:rsidRPr="00E60045">
        <w:rPr>
          <w:rFonts w:ascii="Times New Roman" w:eastAsia="Times New Roman" w:hAnsi="Times New Roman" w:cs="Times New Roman"/>
          <w:i/>
          <w:iCs/>
          <w:sz w:val="24"/>
          <w:szCs w:val="24"/>
          <w:lang w:val="lt-LT"/>
        </w:rPr>
        <w:t xml:space="preserve"> </w:t>
      </w:r>
      <w:proofErr w:type="spellStart"/>
      <w:r w:rsidRPr="00E60045">
        <w:rPr>
          <w:rFonts w:ascii="Times New Roman" w:eastAsia="Times New Roman" w:hAnsi="Times New Roman" w:cs="Times New Roman"/>
          <w:i/>
          <w:iCs/>
          <w:sz w:val="24"/>
          <w:szCs w:val="24"/>
          <w:lang w:val="lt-LT"/>
        </w:rPr>
        <w:t>Oficiais</w:t>
      </w:r>
      <w:proofErr w:type="spellEnd"/>
      <w:r w:rsidRPr="00E60045">
        <w:rPr>
          <w:rFonts w:ascii="Times New Roman" w:eastAsia="Times New Roman" w:hAnsi="Times New Roman" w:cs="Times New Roman"/>
          <w:i/>
          <w:iCs/>
          <w:sz w:val="24"/>
          <w:szCs w:val="24"/>
          <w:lang w:val="lt-LT"/>
        </w:rPr>
        <w:t xml:space="preserve"> de </w:t>
      </w:r>
      <w:proofErr w:type="spellStart"/>
      <w:r w:rsidRPr="00E60045">
        <w:rPr>
          <w:rFonts w:ascii="Times New Roman" w:eastAsia="Times New Roman" w:hAnsi="Times New Roman" w:cs="Times New Roman"/>
          <w:i/>
          <w:iCs/>
          <w:sz w:val="24"/>
          <w:szCs w:val="24"/>
          <w:lang w:val="lt-LT"/>
        </w:rPr>
        <w:t>Contas</w:t>
      </w:r>
      <w:proofErr w:type="spellEnd"/>
      <w:r w:rsidRPr="00E60045">
        <w:rPr>
          <w:rFonts w:ascii="Times New Roman" w:eastAsia="Times New Roman" w:hAnsi="Times New Roman" w:cs="Times New Roman"/>
          <w:sz w:val="24"/>
          <w:szCs w:val="24"/>
          <w:lang w:val="lt-LT"/>
        </w:rPr>
        <w:t>, C-1/12, EU:C:2013:127, 35</w:t>
      </w:r>
      <w:r w:rsidR="009759EC">
        <w:rPr>
          <w:rFonts w:ascii="Times New Roman" w:eastAsia="Times New Roman" w:hAnsi="Times New Roman" w:cs="Times New Roman"/>
          <w:sz w:val="24"/>
          <w:szCs w:val="24"/>
          <w:lang w:val="lt-LT"/>
        </w:rPr>
        <w:t> </w:t>
      </w:r>
      <w:r w:rsidRPr="00E60045">
        <w:rPr>
          <w:rFonts w:ascii="Times New Roman" w:eastAsia="Times New Roman" w:hAnsi="Times New Roman" w:cs="Times New Roman"/>
          <w:sz w:val="24"/>
          <w:szCs w:val="24"/>
          <w:lang w:val="lt-LT"/>
        </w:rPr>
        <w:t xml:space="preserve">p., Sprendimo </w:t>
      </w:r>
      <w:r w:rsidRPr="00E60045">
        <w:rPr>
          <w:rFonts w:ascii="Times New Roman" w:eastAsia="Times New Roman" w:hAnsi="Times New Roman" w:cs="Times New Roman"/>
          <w:i/>
          <w:iCs/>
          <w:sz w:val="24"/>
          <w:szCs w:val="24"/>
          <w:lang w:val="lt-LT"/>
        </w:rPr>
        <w:t>Notarų rūmai</w:t>
      </w:r>
      <w:r w:rsidRPr="00E60045">
        <w:rPr>
          <w:rFonts w:ascii="Times New Roman" w:eastAsia="Times New Roman" w:hAnsi="Times New Roman" w:cs="Times New Roman"/>
          <w:sz w:val="24"/>
          <w:szCs w:val="24"/>
          <w:lang w:val="lt-LT"/>
        </w:rPr>
        <w:t xml:space="preserve"> 55 p.). </w:t>
      </w:r>
      <w:r w:rsidR="00AF5609">
        <w:rPr>
          <w:rFonts w:ascii="Times New Roman" w:eastAsia="Times New Roman" w:hAnsi="Times New Roman" w:cs="Times New Roman"/>
          <w:sz w:val="24"/>
          <w:szCs w:val="24"/>
          <w:lang w:val="lt-LT"/>
        </w:rPr>
        <w:t>T</w:t>
      </w:r>
      <w:r w:rsidRPr="00E60045">
        <w:rPr>
          <w:rFonts w:ascii="Times New Roman" w:eastAsia="Times New Roman" w:hAnsi="Times New Roman" w:cs="Times New Roman"/>
          <w:sz w:val="24"/>
          <w:szCs w:val="24"/>
          <w:lang w:val="lt-LT"/>
        </w:rPr>
        <w:t xml:space="preserve">aip pat matyti, kad </w:t>
      </w:r>
      <w:r w:rsidR="00593A6F">
        <w:rPr>
          <w:rFonts w:ascii="Times New Roman" w:eastAsia="Times New Roman" w:hAnsi="Times New Roman" w:cs="Times New Roman"/>
          <w:sz w:val="24"/>
          <w:szCs w:val="24"/>
          <w:lang w:val="lt-LT"/>
        </w:rPr>
        <w:t xml:space="preserve">Teisingumo Teismo praktikoje </w:t>
      </w:r>
      <w:r w:rsidRPr="00E60045">
        <w:rPr>
          <w:rFonts w:ascii="Times New Roman" w:eastAsia="Times New Roman" w:hAnsi="Times New Roman" w:cs="Times New Roman"/>
          <w:sz w:val="24"/>
          <w:szCs w:val="24"/>
          <w:lang w:val="lt-LT"/>
        </w:rPr>
        <w:t xml:space="preserve">ekonomine veikla laikoma bet kokia veikla, kurią vykdant tam tikroje rinkoje siūlomos prekės ar paslaugos (Teisingumo Teismo 2002 m. vasario 19 d. sprendimo </w:t>
      </w:r>
      <w:proofErr w:type="spellStart"/>
      <w:r w:rsidRPr="00E60045">
        <w:rPr>
          <w:rFonts w:ascii="Times New Roman" w:eastAsia="Times New Roman" w:hAnsi="Times New Roman" w:cs="Times New Roman"/>
          <w:i/>
          <w:iCs/>
          <w:sz w:val="24"/>
          <w:szCs w:val="24"/>
          <w:lang w:val="lt-LT"/>
        </w:rPr>
        <w:t>Wouters</w:t>
      </w:r>
      <w:proofErr w:type="spellEnd"/>
      <w:r w:rsidRPr="00E60045">
        <w:rPr>
          <w:rFonts w:ascii="Times New Roman" w:eastAsia="Times New Roman" w:hAnsi="Times New Roman" w:cs="Times New Roman"/>
          <w:i/>
          <w:iCs/>
          <w:sz w:val="24"/>
          <w:szCs w:val="24"/>
          <w:lang w:val="lt-LT"/>
        </w:rPr>
        <w:t xml:space="preserve"> ir kt.</w:t>
      </w:r>
      <w:r w:rsidRPr="00E60045">
        <w:rPr>
          <w:rFonts w:ascii="Times New Roman" w:eastAsia="Times New Roman" w:hAnsi="Times New Roman" w:cs="Times New Roman"/>
          <w:sz w:val="24"/>
          <w:szCs w:val="24"/>
          <w:lang w:val="lt-LT"/>
        </w:rPr>
        <w:t xml:space="preserve">, C-309/99, EU:C:2002:98, 47 p. ir jame nurodyta </w:t>
      </w:r>
      <w:r w:rsidRPr="00E60045">
        <w:rPr>
          <w:rFonts w:ascii="Times New Roman" w:eastAsia="Times New Roman" w:hAnsi="Times New Roman" w:cs="Times New Roman"/>
          <w:sz w:val="24"/>
          <w:szCs w:val="24"/>
          <w:lang w:val="lt-LT"/>
        </w:rPr>
        <w:lastRenderedPageBreak/>
        <w:t xml:space="preserve">jurisprudencija ir 2013 m. vasario 28 d. sprendimo </w:t>
      </w:r>
      <w:proofErr w:type="spellStart"/>
      <w:r w:rsidRPr="00E60045">
        <w:rPr>
          <w:rFonts w:ascii="Times New Roman" w:eastAsia="Times New Roman" w:hAnsi="Times New Roman" w:cs="Times New Roman"/>
          <w:i/>
          <w:iCs/>
          <w:sz w:val="24"/>
          <w:szCs w:val="24"/>
          <w:lang w:val="lt-LT"/>
        </w:rPr>
        <w:t>Ordem</w:t>
      </w:r>
      <w:proofErr w:type="spellEnd"/>
      <w:r w:rsidRPr="00E60045">
        <w:rPr>
          <w:rFonts w:ascii="Times New Roman" w:eastAsia="Times New Roman" w:hAnsi="Times New Roman" w:cs="Times New Roman"/>
          <w:i/>
          <w:iCs/>
          <w:sz w:val="24"/>
          <w:szCs w:val="24"/>
          <w:lang w:val="lt-LT"/>
        </w:rPr>
        <w:t xml:space="preserve"> </w:t>
      </w:r>
      <w:proofErr w:type="spellStart"/>
      <w:r w:rsidRPr="00E60045">
        <w:rPr>
          <w:rFonts w:ascii="Times New Roman" w:eastAsia="Times New Roman" w:hAnsi="Times New Roman" w:cs="Times New Roman"/>
          <w:i/>
          <w:iCs/>
          <w:sz w:val="24"/>
          <w:szCs w:val="24"/>
          <w:lang w:val="lt-LT"/>
        </w:rPr>
        <w:t>dos</w:t>
      </w:r>
      <w:proofErr w:type="spellEnd"/>
      <w:r w:rsidRPr="00E60045">
        <w:rPr>
          <w:rFonts w:ascii="Times New Roman" w:eastAsia="Times New Roman" w:hAnsi="Times New Roman" w:cs="Times New Roman"/>
          <w:i/>
          <w:iCs/>
          <w:sz w:val="24"/>
          <w:szCs w:val="24"/>
          <w:lang w:val="lt-LT"/>
        </w:rPr>
        <w:t xml:space="preserve"> </w:t>
      </w:r>
      <w:proofErr w:type="spellStart"/>
      <w:r w:rsidRPr="00E60045">
        <w:rPr>
          <w:rFonts w:ascii="Times New Roman" w:eastAsia="Times New Roman" w:hAnsi="Times New Roman" w:cs="Times New Roman"/>
          <w:i/>
          <w:iCs/>
          <w:sz w:val="24"/>
          <w:szCs w:val="24"/>
          <w:lang w:val="lt-LT"/>
        </w:rPr>
        <w:t>Técnicos</w:t>
      </w:r>
      <w:proofErr w:type="spellEnd"/>
      <w:r w:rsidRPr="00E60045">
        <w:rPr>
          <w:rFonts w:ascii="Times New Roman" w:eastAsia="Times New Roman" w:hAnsi="Times New Roman" w:cs="Times New Roman"/>
          <w:i/>
          <w:iCs/>
          <w:sz w:val="24"/>
          <w:szCs w:val="24"/>
          <w:lang w:val="lt-LT"/>
        </w:rPr>
        <w:t xml:space="preserve"> </w:t>
      </w:r>
      <w:proofErr w:type="spellStart"/>
      <w:r w:rsidRPr="00E60045">
        <w:rPr>
          <w:rFonts w:ascii="Times New Roman" w:eastAsia="Times New Roman" w:hAnsi="Times New Roman" w:cs="Times New Roman"/>
          <w:i/>
          <w:iCs/>
          <w:sz w:val="24"/>
          <w:szCs w:val="24"/>
          <w:lang w:val="lt-LT"/>
        </w:rPr>
        <w:t>Oficiais</w:t>
      </w:r>
      <w:proofErr w:type="spellEnd"/>
      <w:r w:rsidRPr="00E60045">
        <w:rPr>
          <w:rFonts w:ascii="Times New Roman" w:eastAsia="Times New Roman" w:hAnsi="Times New Roman" w:cs="Times New Roman"/>
          <w:i/>
          <w:iCs/>
          <w:sz w:val="24"/>
          <w:szCs w:val="24"/>
          <w:lang w:val="lt-LT"/>
        </w:rPr>
        <w:t xml:space="preserve"> de </w:t>
      </w:r>
      <w:proofErr w:type="spellStart"/>
      <w:r w:rsidRPr="00E60045">
        <w:rPr>
          <w:rFonts w:ascii="Times New Roman" w:eastAsia="Times New Roman" w:hAnsi="Times New Roman" w:cs="Times New Roman"/>
          <w:i/>
          <w:iCs/>
          <w:sz w:val="24"/>
          <w:szCs w:val="24"/>
          <w:lang w:val="lt-LT"/>
        </w:rPr>
        <w:t>Contas</w:t>
      </w:r>
      <w:proofErr w:type="spellEnd"/>
      <w:r w:rsidRPr="00E60045">
        <w:rPr>
          <w:rFonts w:ascii="Times New Roman" w:eastAsia="Times New Roman" w:hAnsi="Times New Roman" w:cs="Times New Roman"/>
          <w:sz w:val="24"/>
          <w:szCs w:val="24"/>
          <w:lang w:val="lt-LT"/>
        </w:rPr>
        <w:t xml:space="preserve">, C-1/12, EU:C:2013:127, 36 p., Sprendimo </w:t>
      </w:r>
      <w:r w:rsidRPr="00A329C2">
        <w:rPr>
          <w:rFonts w:ascii="Times New Roman" w:eastAsia="Times New Roman" w:hAnsi="Times New Roman" w:cs="Times New Roman"/>
          <w:i/>
          <w:iCs/>
          <w:sz w:val="24"/>
          <w:szCs w:val="24"/>
          <w:lang w:val="lt-LT"/>
        </w:rPr>
        <w:t>Notarų rūmai</w:t>
      </w:r>
      <w:r w:rsidRPr="00A329C2">
        <w:rPr>
          <w:rFonts w:ascii="Times New Roman" w:eastAsia="Times New Roman" w:hAnsi="Times New Roman" w:cs="Times New Roman"/>
          <w:sz w:val="24"/>
          <w:szCs w:val="24"/>
          <w:lang w:val="lt-LT"/>
        </w:rPr>
        <w:t xml:space="preserve"> 56 p.).</w:t>
      </w:r>
    </w:p>
    <w:p w14:paraId="0E52E558" w14:textId="3F164E3B" w:rsidR="00372368" w:rsidRPr="00E60045" w:rsidRDefault="00372368" w:rsidP="00372368">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A329C2">
        <w:rPr>
          <w:rFonts w:ascii="Times New Roman" w:eastAsia="Times New Roman" w:hAnsi="Times New Roman" w:cs="Times New Roman"/>
          <w:sz w:val="24"/>
          <w:szCs w:val="24"/>
          <w:lang w:val="lt-LT"/>
        </w:rPr>
        <w:t>Dėl notarų Teisingumo Teismas jau yra nusprendęs, jog, atsižvelgiant į tai, kad verčiasi laisvąja profesija, kuri kaip pagrindinė veikla reiškia kelių atskirų paslaugų teikimą už atlygį, jie iš esmės vykdo ekonominę veiklą (šiuo klausimu</w:t>
      </w:r>
      <w:r w:rsidRPr="00E60045">
        <w:rPr>
          <w:rFonts w:ascii="Times New Roman" w:eastAsia="Times New Roman" w:hAnsi="Times New Roman" w:cs="Times New Roman"/>
          <w:sz w:val="24"/>
          <w:szCs w:val="24"/>
          <w:lang w:val="lt-LT"/>
        </w:rPr>
        <w:t xml:space="preserve"> žr. Teisingumo Teismo 1987 m. kovo 26 d. sprendimo </w:t>
      </w:r>
      <w:r w:rsidRPr="00E60045">
        <w:rPr>
          <w:rFonts w:ascii="Times New Roman" w:eastAsia="Times New Roman" w:hAnsi="Times New Roman" w:cs="Times New Roman"/>
          <w:i/>
          <w:iCs/>
          <w:sz w:val="24"/>
          <w:szCs w:val="24"/>
          <w:lang w:val="lt-LT"/>
        </w:rPr>
        <w:t>Komisija prieš Nyderlandus</w:t>
      </w:r>
      <w:r w:rsidRPr="00E60045">
        <w:rPr>
          <w:rFonts w:ascii="Times New Roman" w:eastAsia="Times New Roman" w:hAnsi="Times New Roman" w:cs="Times New Roman"/>
          <w:sz w:val="24"/>
          <w:szCs w:val="24"/>
          <w:lang w:val="lt-LT"/>
        </w:rPr>
        <w:t xml:space="preserve">, 235/85, EU:C:1987:161, 9 p. ir 2017 m. vasario 1 d. sprendimo </w:t>
      </w:r>
      <w:r w:rsidRPr="00E60045">
        <w:rPr>
          <w:rFonts w:ascii="Times New Roman" w:eastAsia="Times New Roman" w:hAnsi="Times New Roman" w:cs="Times New Roman"/>
          <w:i/>
          <w:iCs/>
          <w:sz w:val="24"/>
          <w:szCs w:val="24"/>
          <w:lang w:val="lt-LT"/>
        </w:rPr>
        <w:t>Komisija prieš Vengriją,</w:t>
      </w:r>
      <w:r w:rsidRPr="00E60045">
        <w:rPr>
          <w:rFonts w:ascii="Times New Roman" w:eastAsia="Times New Roman" w:hAnsi="Times New Roman" w:cs="Times New Roman"/>
          <w:sz w:val="24"/>
          <w:szCs w:val="24"/>
          <w:lang w:val="lt-LT"/>
        </w:rPr>
        <w:t xml:space="preserve"> C-392/15, EU:C:2017:73, 98–101 p., Sprendimo </w:t>
      </w:r>
      <w:r w:rsidRPr="00E60045">
        <w:rPr>
          <w:rFonts w:ascii="Times New Roman" w:eastAsia="Times New Roman" w:hAnsi="Times New Roman" w:cs="Times New Roman"/>
          <w:i/>
          <w:iCs/>
          <w:sz w:val="24"/>
          <w:szCs w:val="24"/>
          <w:lang w:val="lt-LT"/>
        </w:rPr>
        <w:t>Notarų rūmai</w:t>
      </w:r>
      <w:r w:rsidRPr="00E60045">
        <w:rPr>
          <w:rFonts w:ascii="Times New Roman" w:eastAsia="Times New Roman" w:hAnsi="Times New Roman" w:cs="Times New Roman"/>
          <w:sz w:val="24"/>
          <w:szCs w:val="24"/>
          <w:lang w:val="lt-LT"/>
        </w:rPr>
        <w:t xml:space="preserve"> 57 p.). Be to, šio vertinimo nekeičia tai, kad teikiamos paslaugos yra kompleksinio bei techninio pobūdžio, o profesinės veiklos vykdymas reglamentuotas (pagal analogiją žr. Teisingumo Teismo 2002 m. vasario 19 d. sprendimo </w:t>
      </w:r>
      <w:proofErr w:type="spellStart"/>
      <w:r w:rsidRPr="00E60045">
        <w:rPr>
          <w:rFonts w:ascii="Times New Roman" w:eastAsia="Times New Roman" w:hAnsi="Times New Roman" w:cs="Times New Roman"/>
          <w:i/>
          <w:iCs/>
          <w:sz w:val="24"/>
          <w:szCs w:val="24"/>
          <w:lang w:val="lt-LT"/>
        </w:rPr>
        <w:t>Wouters</w:t>
      </w:r>
      <w:proofErr w:type="spellEnd"/>
      <w:r w:rsidRPr="00E60045">
        <w:rPr>
          <w:rFonts w:ascii="Times New Roman" w:eastAsia="Times New Roman" w:hAnsi="Times New Roman" w:cs="Times New Roman"/>
          <w:i/>
          <w:iCs/>
          <w:sz w:val="24"/>
          <w:szCs w:val="24"/>
          <w:lang w:val="lt-LT"/>
        </w:rPr>
        <w:t xml:space="preserve"> ir kt.</w:t>
      </w:r>
      <w:r w:rsidRPr="00E60045">
        <w:rPr>
          <w:rFonts w:ascii="Times New Roman" w:eastAsia="Times New Roman" w:hAnsi="Times New Roman" w:cs="Times New Roman"/>
          <w:sz w:val="24"/>
          <w:szCs w:val="24"/>
          <w:lang w:val="lt-LT"/>
        </w:rPr>
        <w:t xml:space="preserve">, C-309/99, EU:C:2002:98, 49 p. ir jame nurodytą jurisprudenciją, taip pat 2013 m. vasario 28 d. </w:t>
      </w:r>
      <w:r w:rsidR="00C53DCB">
        <w:rPr>
          <w:rFonts w:ascii="Times New Roman" w:eastAsia="Times New Roman" w:hAnsi="Times New Roman" w:cs="Times New Roman"/>
          <w:sz w:val="24"/>
          <w:szCs w:val="24"/>
          <w:lang w:val="lt-LT"/>
        </w:rPr>
        <w:t>s</w:t>
      </w:r>
      <w:r w:rsidRPr="00E60045">
        <w:rPr>
          <w:rFonts w:ascii="Times New Roman" w:eastAsia="Times New Roman" w:hAnsi="Times New Roman" w:cs="Times New Roman"/>
          <w:sz w:val="24"/>
          <w:szCs w:val="24"/>
          <w:lang w:val="lt-LT"/>
        </w:rPr>
        <w:t xml:space="preserve">prendimo </w:t>
      </w:r>
      <w:proofErr w:type="spellStart"/>
      <w:r w:rsidRPr="00E60045">
        <w:rPr>
          <w:rFonts w:ascii="Times New Roman" w:eastAsia="Times New Roman" w:hAnsi="Times New Roman" w:cs="Times New Roman"/>
          <w:i/>
          <w:iCs/>
          <w:sz w:val="24"/>
          <w:szCs w:val="24"/>
          <w:lang w:val="lt-LT"/>
        </w:rPr>
        <w:t>Ordem</w:t>
      </w:r>
      <w:proofErr w:type="spellEnd"/>
      <w:r w:rsidRPr="00E60045">
        <w:rPr>
          <w:rFonts w:ascii="Times New Roman" w:eastAsia="Times New Roman" w:hAnsi="Times New Roman" w:cs="Times New Roman"/>
          <w:i/>
          <w:iCs/>
          <w:sz w:val="24"/>
          <w:szCs w:val="24"/>
          <w:lang w:val="lt-LT"/>
        </w:rPr>
        <w:t xml:space="preserve"> </w:t>
      </w:r>
      <w:proofErr w:type="spellStart"/>
      <w:r w:rsidRPr="00E60045">
        <w:rPr>
          <w:rFonts w:ascii="Times New Roman" w:eastAsia="Times New Roman" w:hAnsi="Times New Roman" w:cs="Times New Roman"/>
          <w:i/>
          <w:iCs/>
          <w:sz w:val="24"/>
          <w:szCs w:val="24"/>
          <w:lang w:val="lt-LT"/>
        </w:rPr>
        <w:t>dos</w:t>
      </w:r>
      <w:proofErr w:type="spellEnd"/>
      <w:r w:rsidRPr="00E60045">
        <w:rPr>
          <w:rFonts w:ascii="Times New Roman" w:eastAsia="Times New Roman" w:hAnsi="Times New Roman" w:cs="Times New Roman"/>
          <w:i/>
          <w:iCs/>
          <w:sz w:val="24"/>
          <w:szCs w:val="24"/>
          <w:lang w:val="lt-LT"/>
        </w:rPr>
        <w:t xml:space="preserve"> </w:t>
      </w:r>
      <w:proofErr w:type="spellStart"/>
      <w:r w:rsidRPr="00E60045">
        <w:rPr>
          <w:rFonts w:ascii="Times New Roman" w:eastAsia="Times New Roman" w:hAnsi="Times New Roman" w:cs="Times New Roman"/>
          <w:i/>
          <w:iCs/>
          <w:sz w:val="24"/>
          <w:szCs w:val="24"/>
          <w:lang w:val="lt-LT"/>
        </w:rPr>
        <w:t>Técnicos</w:t>
      </w:r>
      <w:proofErr w:type="spellEnd"/>
      <w:r w:rsidRPr="00E60045">
        <w:rPr>
          <w:rFonts w:ascii="Times New Roman" w:eastAsia="Times New Roman" w:hAnsi="Times New Roman" w:cs="Times New Roman"/>
          <w:i/>
          <w:iCs/>
          <w:sz w:val="24"/>
          <w:szCs w:val="24"/>
          <w:lang w:val="lt-LT"/>
        </w:rPr>
        <w:t xml:space="preserve"> </w:t>
      </w:r>
      <w:proofErr w:type="spellStart"/>
      <w:r w:rsidRPr="00E60045">
        <w:rPr>
          <w:rFonts w:ascii="Times New Roman" w:eastAsia="Times New Roman" w:hAnsi="Times New Roman" w:cs="Times New Roman"/>
          <w:i/>
          <w:iCs/>
          <w:sz w:val="24"/>
          <w:szCs w:val="24"/>
          <w:lang w:val="lt-LT"/>
        </w:rPr>
        <w:t>Oficiais</w:t>
      </w:r>
      <w:proofErr w:type="spellEnd"/>
      <w:r w:rsidRPr="00E60045">
        <w:rPr>
          <w:rFonts w:ascii="Times New Roman" w:eastAsia="Times New Roman" w:hAnsi="Times New Roman" w:cs="Times New Roman"/>
          <w:i/>
          <w:iCs/>
          <w:sz w:val="24"/>
          <w:szCs w:val="24"/>
          <w:lang w:val="lt-LT"/>
        </w:rPr>
        <w:t xml:space="preserve"> de </w:t>
      </w:r>
      <w:proofErr w:type="spellStart"/>
      <w:r w:rsidRPr="00E60045">
        <w:rPr>
          <w:rFonts w:ascii="Times New Roman" w:eastAsia="Times New Roman" w:hAnsi="Times New Roman" w:cs="Times New Roman"/>
          <w:i/>
          <w:iCs/>
          <w:sz w:val="24"/>
          <w:szCs w:val="24"/>
          <w:lang w:val="lt-LT"/>
        </w:rPr>
        <w:t>Contas</w:t>
      </w:r>
      <w:proofErr w:type="spellEnd"/>
      <w:r w:rsidRPr="00E60045">
        <w:rPr>
          <w:rFonts w:ascii="Times New Roman" w:eastAsia="Times New Roman" w:hAnsi="Times New Roman" w:cs="Times New Roman"/>
          <w:sz w:val="24"/>
          <w:szCs w:val="24"/>
          <w:lang w:val="lt-LT"/>
        </w:rPr>
        <w:t xml:space="preserve">, C-1/12, EU:C:2013:127, 38 p., Sprendimo </w:t>
      </w:r>
      <w:r w:rsidRPr="00E60045">
        <w:rPr>
          <w:rFonts w:ascii="Times New Roman" w:eastAsia="Times New Roman" w:hAnsi="Times New Roman" w:cs="Times New Roman"/>
          <w:i/>
          <w:iCs/>
          <w:sz w:val="24"/>
          <w:szCs w:val="24"/>
          <w:lang w:val="lt-LT"/>
        </w:rPr>
        <w:t>Notarų rūmai</w:t>
      </w:r>
      <w:r w:rsidRPr="00E60045">
        <w:rPr>
          <w:rFonts w:ascii="Times New Roman" w:eastAsia="Times New Roman" w:hAnsi="Times New Roman" w:cs="Times New Roman"/>
          <w:sz w:val="24"/>
          <w:szCs w:val="24"/>
          <w:lang w:val="lt-LT"/>
        </w:rPr>
        <w:t xml:space="preserve"> 58 p.).</w:t>
      </w:r>
      <w:r w:rsidR="004C456F" w:rsidRPr="004C456F">
        <w:rPr>
          <w:rFonts w:ascii="Times New Roman" w:eastAsia="Times New Roman" w:hAnsi="Times New Roman" w:cs="Times New Roman"/>
          <w:sz w:val="24"/>
          <w:szCs w:val="24"/>
          <w:lang w:val="lt-LT"/>
        </w:rPr>
        <w:t xml:space="preserve"> </w:t>
      </w:r>
    </w:p>
    <w:p w14:paraId="0DA2A5B6" w14:textId="0706861D" w:rsidR="00596BE6" w:rsidRDefault="00304E31" w:rsidP="00E272DF">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Tiesa, </w:t>
      </w:r>
      <w:r w:rsidR="00E272DF" w:rsidRPr="00E60045">
        <w:rPr>
          <w:rFonts w:ascii="Times New Roman" w:eastAsia="Times New Roman" w:hAnsi="Times New Roman" w:cs="Times New Roman"/>
          <w:sz w:val="24"/>
          <w:szCs w:val="24"/>
          <w:lang w:val="lt-LT"/>
        </w:rPr>
        <w:t xml:space="preserve">veikla, kuri patenka į viešosios valdžios įgaliojimų vykdymą, nėra ekonominė veikla, pateisinanti SESV numatytų konkurencijos normų taikymą (Teisingumo Teismo 2012 m. liepos 12 d. sprendimo </w:t>
      </w:r>
      <w:proofErr w:type="spellStart"/>
      <w:r w:rsidR="00E272DF" w:rsidRPr="00E60045">
        <w:rPr>
          <w:rFonts w:ascii="Times New Roman" w:eastAsia="Times New Roman" w:hAnsi="Times New Roman" w:cs="Times New Roman"/>
          <w:i/>
          <w:iCs/>
          <w:sz w:val="24"/>
          <w:szCs w:val="24"/>
          <w:lang w:val="lt-LT"/>
        </w:rPr>
        <w:t>Compass-Datenbank</w:t>
      </w:r>
      <w:proofErr w:type="spellEnd"/>
      <w:r w:rsidR="00E272DF" w:rsidRPr="00E60045">
        <w:rPr>
          <w:rFonts w:ascii="Times New Roman" w:eastAsia="Times New Roman" w:hAnsi="Times New Roman" w:cs="Times New Roman"/>
          <w:sz w:val="24"/>
          <w:szCs w:val="24"/>
          <w:lang w:val="lt-LT"/>
        </w:rPr>
        <w:t xml:space="preserve">, C-138/11, EU:C:2012:449, 36 p. ir jame nurodyta jurisprudencija ir 2021 m. gegužės 6 d. sprendimo </w:t>
      </w:r>
      <w:proofErr w:type="spellStart"/>
      <w:r w:rsidR="00E272DF" w:rsidRPr="00E60045">
        <w:rPr>
          <w:rFonts w:ascii="Times New Roman" w:eastAsia="Times New Roman" w:hAnsi="Times New Roman" w:cs="Times New Roman"/>
          <w:i/>
          <w:iCs/>
          <w:sz w:val="24"/>
          <w:szCs w:val="24"/>
          <w:lang w:val="lt-LT"/>
        </w:rPr>
        <w:t>Analisi</w:t>
      </w:r>
      <w:proofErr w:type="spellEnd"/>
      <w:r w:rsidR="00E272DF" w:rsidRPr="00E60045">
        <w:rPr>
          <w:rFonts w:ascii="Times New Roman" w:eastAsia="Times New Roman" w:hAnsi="Times New Roman" w:cs="Times New Roman"/>
          <w:i/>
          <w:iCs/>
          <w:sz w:val="24"/>
          <w:szCs w:val="24"/>
          <w:lang w:val="lt-LT"/>
        </w:rPr>
        <w:t xml:space="preserve"> G. </w:t>
      </w:r>
      <w:proofErr w:type="spellStart"/>
      <w:r w:rsidR="00E272DF" w:rsidRPr="00E60045">
        <w:rPr>
          <w:rFonts w:ascii="Times New Roman" w:eastAsia="Times New Roman" w:hAnsi="Times New Roman" w:cs="Times New Roman"/>
          <w:i/>
          <w:iCs/>
          <w:sz w:val="24"/>
          <w:szCs w:val="24"/>
          <w:lang w:val="lt-LT"/>
        </w:rPr>
        <w:t>Caracciolo</w:t>
      </w:r>
      <w:proofErr w:type="spellEnd"/>
      <w:r w:rsidR="00E272DF" w:rsidRPr="00E60045">
        <w:rPr>
          <w:rFonts w:ascii="Times New Roman" w:eastAsia="Times New Roman" w:hAnsi="Times New Roman" w:cs="Times New Roman"/>
          <w:sz w:val="24"/>
          <w:szCs w:val="24"/>
          <w:lang w:val="lt-LT"/>
        </w:rPr>
        <w:t xml:space="preserve">, C-142/20, EU:C:2021:368, 56 p., Sprendimo </w:t>
      </w:r>
      <w:r w:rsidR="00E272DF" w:rsidRPr="00E60045">
        <w:rPr>
          <w:rFonts w:ascii="Times New Roman" w:eastAsia="Times New Roman" w:hAnsi="Times New Roman" w:cs="Times New Roman"/>
          <w:i/>
          <w:iCs/>
          <w:sz w:val="24"/>
          <w:szCs w:val="24"/>
          <w:lang w:val="lt-LT"/>
        </w:rPr>
        <w:t>Notarų rūmai</w:t>
      </w:r>
      <w:r w:rsidR="00E272DF" w:rsidRPr="00E60045">
        <w:rPr>
          <w:rFonts w:ascii="Times New Roman" w:eastAsia="Times New Roman" w:hAnsi="Times New Roman" w:cs="Times New Roman"/>
          <w:sz w:val="24"/>
          <w:szCs w:val="24"/>
          <w:lang w:val="lt-LT"/>
        </w:rPr>
        <w:t xml:space="preserve"> 61 p.). </w:t>
      </w:r>
      <w:r w:rsidR="00A07ED3">
        <w:rPr>
          <w:rFonts w:ascii="Times New Roman" w:eastAsia="Times New Roman" w:hAnsi="Times New Roman" w:cs="Times New Roman"/>
          <w:sz w:val="24"/>
          <w:szCs w:val="24"/>
          <w:lang w:val="lt-LT"/>
        </w:rPr>
        <w:t>Vis dėlto, k</w:t>
      </w:r>
      <w:r w:rsidR="005A4D2C" w:rsidRPr="00E60045">
        <w:rPr>
          <w:rFonts w:ascii="Times New Roman" w:eastAsia="Times New Roman" w:hAnsi="Times New Roman" w:cs="Times New Roman"/>
          <w:sz w:val="24"/>
          <w:szCs w:val="24"/>
          <w:lang w:val="lt-LT"/>
        </w:rPr>
        <w:t xml:space="preserve">aip jau minėta šiame procesiniame sprendime, </w:t>
      </w:r>
      <w:r w:rsidR="00E272DF" w:rsidRPr="00E60045">
        <w:rPr>
          <w:rFonts w:ascii="Times New Roman" w:eastAsia="Times New Roman" w:hAnsi="Times New Roman" w:cs="Times New Roman"/>
          <w:sz w:val="24"/>
          <w:szCs w:val="24"/>
          <w:lang w:val="lt-LT"/>
        </w:rPr>
        <w:t>vien tai, kad subjektas daliai savo veiklos vykdyti turi viešosios valdžios įgaliojimus, netrukdo jo kvalifikuoti kaip įmonės pagal konkurencijos teisę dėl likusios jo ekonominės veiklos dalies, jei ši veikla gali būti atskirta nuo jo, kaip viešosios</w:t>
      </w:r>
      <w:r w:rsidR="00E272DF" w:rsidRPr="009C64EB">
        <w:rPr>
          <w:rFonts w:ascii="Times New Roman" w:eastAsia="Times New Roman" w:hAnsi="Times New Roman" w:cs="Times New Roman"/>
          <w:sz w:val="24"/>
          <w:szCs w:val="24"/>
          <w:lang w:val="lt-LT"/>
        </w:rPr>
        <w:t xml:space="preserve"> valdžios subjekto, funkcijų (šiuo klausimu žr. Teisingumo Teismo 2012 m. liepos 12 d. sprendimo </w:t>
      </w:r>
      <w:proofErr w:type="spellStart"/>
      <w:r w:rsidR="00E272DF" w:rsidRPr="009C64EB">
        <w:rPr>
          <w:rFonts w:ascii="Times New Roman" w:eastAsia="Times New Roman" w:hAnsi="Times New Roman" w:cs="Times New Roman"/>
          <w:i/>
          <w:iCs/>
          <w:sz w:val="24"/>
          <w:szCs w:val="24"/>
          <w:lang w:val="lt-LT"/>
        </w:rPr>
        <w:t>Compass-Datenbank</w:t>
      </w:r>
      <w:proofErr w:type="spellEnd"/>
      <w:r w:rsidR="00E272DF" w:rsidRPr="009C64EB">
        <w:rPr>
          <w:rFonts w:ascii="Times New Roman" w:eastAsia="Times New Roman" w:hAnsi="Times New Roman" w:cs="Times New Roman"/>
          <w:sz w:val="24"/>
          <w:szCs w:val="24"/>
          <w:lang w:val="lt-LT"/>
        </w:rPr>
        <w:t>, C-138/11, EU:C:2012:449, 37 ir 38 p</w:t>
      </w:r>
      <w:r w:rsidR="00E272DF">
        <w:rPr>
          <w:rFonts w:ascii="Times New Roman" w:eastAsia="Times New Roman" w:hAnsi="Times New Roman" w:cs="Times New Roman"/>
          <w:sz w:val="24"/>
          <w:szCs w:val="24"/>
          <w:lang w:val="lt-LT"/>
        </w:rPr>
        <w:t>.</w:t>
      </w:r>
      <w:r w:rsidR="00E272DF" w:rsidRPr="009C64EB">
        <w:rPr>
          <w:rFonts w:ascii="Times New Roman" w:eastAsia="Times New Roman" w:hAnsi="Times New Roman" w:cs="Times New Roman"/>
          <w:sz w:val="24"/>
          <w:szCs w:val="24"/>
          <w:lang w:val="lt-LT"/>
        </w:rPr>
        <w:t xml:space="preserve"> ir juose nurodytą jurisprudenciją ir 2022 m. kovo 24 d. sprendimo </w:t>
      </w:r>
      <w:r w:rsidR="00E272DF" w:rsidRPr="009C64EB">
        <w:rPr>
          <w:rFonts w:ascii="Times New Roman" w:eastAsia="Times New Roman" w:hAnsi="Times New Roman" w:cs="Times New Roman"/>
          <w:i/>
          <w:iCs/>
          <w:sz w:val="24"/>
          <w:szCs w:val="24"/>
          <w:lang w:val="lt-LT"/>
        </w:rPr>
        <w:t>GVN / Komisija</w:t>
      </w:r>
      <w:r w:rsidR="00E272DF" w:rsidRPr="009C64EB">
        <w:rPr>
          <w:rFonts w:ascii="Times New Roman" w:eastAsia="Times New Roman" w:hAnsi="Times New Roman" w:cs="Times New Roman"/>
          <w:sz w:val="24"/>
          <w:szCs w:val="24"/>
          <w:lang w:val="lt-LT"/>
        </w:rPr>
        <w:t>, C-666/20 P, nepaskelbtas Rink., EU:C:2022:225, 71</w:t>
      </w:r>
      <w:r w:rsidR="003B65EA">
        <w:rPr>
          <w:rFonts w:ascii="Times New Roman" w:eastAsia="Times New Roman" w:hAnsi="Times New Roman" w:cs="Times New Roman"/>
          <w:sz w:val="24"/>
          <w:szCs w:val="24"/>
          <w:lang w:val="lt-LT"/>
        </w:rPr>
        <w:t> </w:t>
      </w:r>
      <w:r w:rsidR="00E272DF" w:rsidRPr="009C64EB">
        <w:rPr>
          <w:rFonts w:ascii="Times New Roman" w:eastAsia="Times New Roman" w:hAnsi="Times New Roman" w:cs="Times New Roman"/>
          <w:sz w:val="24"/>
          <w:szCs w:val="24"/>
          <w:lang w:val="lt-LT"/>
        </w:rPr>
        <w:t>p</w:t>
      </w:r>
      <w:r w:rsidR="00E272DF">
        <w:rPr>
          <w:rFonts w:ascii="Times New Roman" w:eastAsia="Times New Roman" w:hAnsi="Times New Roman" w:cs="Times New Roman"/>
          <w:sz w:val="24"/>
          <w:szCs w:val="24"/>
          <w:lang w:val="lt-LT"/>
        </w:rPr>
        <w:t>.</w:t>
      </w:r>
      <w:r w:rsidR="00E272DF" w:rsidRPr="009C64EB">
        <w:rPr>
          <w:rFonts w:ascii="Times New Roman" w:eastAsia="Times New Roman" w:hAnsi="Times New Roman" w:cs="Times New Roman"/>
          <w:sz w:val="24"/>
          <w:szCs w:val="24"/>
          <w:lang w:val="lt-LT"/>
        </w:rPr>
        <w:t xml:space="preserve">, Sprendimo </w:t>
      </w:r>
      <w:r w:rsidR="00E272DF" w:rsidRPr="009C64EB">
        <w:rPr>
          <w:rFonts w:ascii="Times New Roman" w:eastAsia="Times New Roman" w:hAnsi="Times New Roman" w:cs="Times New Roman"/>
          <w:i/>
          <w:iCs/>
          <w:sz w:val="24"/>
          <w:szCs w:val="24"/>
          <w:lang w:val="lt-LT"/>
        </w:rPr>
        <w:t>Notarų rūmai</w:t>
      </w:r>
      <w:r w:rsidR="00E272DF" w:rsidRPr="009C64EB">
        <w:rPr>
          <w:rFonts w:ascii="Times New Roman" w:eastAsia="Times New Roman" w:hAnsi="Times New Roman" w:cs="Times New Roman"/>
          <w:sz w:val="24"/>
          <w:szCs w:val="24"/>
          <w:lang w:val="lt-LT"/>
        </w:rPr>
        <w:t xml:space="preserve"> 62 p</w:t>
      </w:r>
      <w:r w:rsidR="00E272DF">
        <w:rPr>
          <w:rFonts w:ascii="Times New Roman" w:eastAsia="Times New Roman" w:hAnsi="Times New Roman" w:cs="Times New Roman"/>
          <w:sz w:val="24"/>
          <w:szCs w:val="24"/>
          <w:lang w:val="lt-LT"/>
        </w:rPr>
        <w:t>.</w:t>
      </w:r>
      <w:r w:rsidR="00E272DF" w:rsidRPr="009C64EB">
        <w:rPr>
          <w:rFonts w:ascii="Times New Roman" w:eastAsia="Times New Roman" w:hAnsi="Times New Roman" w:cs="Times New Roman"/>
          <w:sz w:val="24"/>
          <w:szCs w:val="24"/>
          <w:lang w:val="lt-LT"/>
        </w:rPr>
        <w:t>).</w:t>
      </w:r>
    </w:p>
    <w:p w14:paraId="739DAF18" w14:textId="72A7976B" w:rsidR="002830D8" w:rsidRDefault="00A21F1D" w:rsidP="00E272DF">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Atitinkamai, </w:t>
      </w:r>
      <w:r w:rsidR="005E7CDD">
        <w:rPr>
          <w:rFonts w:ascii="Times New Roman" w:eastAsia="Times New Roman" w:hAnsi="Times New Roman" w:cs="Times New Roman"/>
          <w:sz w:val="24"/>
          <w:szCs w:val="24"/>
          <w:lang w:val="lt-LT"/>
        </w:rPr>
        <w:t xml:space="preserve">išplėstinės teisėjų kolegijos </w:t>
      </w:r>
      <w:r w:rsidR="00EC7E6C">
        <w:rPr>
          <w:rFonts w:ascii="Times New Roman" w:eastAsia="Times New Roman" w:hAnsi="Times New Roman" w:cs="Times New Roman"/>
          <w:sz w:val="24"/>
          <w:szCs w:val="24"/>
          <w:lang w:val="lt-LT"/>
        </w:rPr>
        <w:t>požiūriu</w:t>
      </w:r>
      <w:r w:rsidR="005E7CDD">
        <w:rPr>
          <w:rFonts w:ascii="Times New Roman" w:eastAsia="Times New Roman" w:hAnsi="Times New Roman" w:cs="Times New Roman"/>
          <w:sz w:val="24"/>
          <w:szCs w:val="24"/>
          <w:lang w:val="lt-LT"/>
        </w:rPr>
        <w:t xml:space="preserve">, </w:t>
      </w:r>
      <w:r w:rsidR="00ED5954">
        <w:rPr>
          <w:rFonts w:ascii="Times New Roman" w:eastAsia="Times New Roman" w:hAnsi="Times New Roman" w:cs="Times New Roman"/>
          <w:sz w:val="24"/>
          <w:szCs w:val="24"/>
          <w:lang w:val="lt-LT"/>
        </w:rPr>
        <w:t xml:space="preserve">būtina nustatyti, ar </w:t>
      </w:r>
      <w:r w:rsidR="00440C1F">
        <w:rPr>
          <w:rFonts w:ascii="Times New Roman" w:eastAsia="Times New Roman" w:hAnsi="Times New Roman" w:cs="Times New Roman"/>
          <w:sz w:val="24"/>
          <w:szCs w:val="24"/>
          <w:lang w:val="lt-LT"/>
        </w:rPr>
        <w:t>konkreči</w:t>
      </w:r>
      <w:r w:rsidR="00D21E25">
        <w:rPr>
          <w:rFonts w:ascii="Times New Roman" w:eastAsia="Times New Roman" w:hAnsi="Times New Roman" w:cs="Times New Roman"/>
          <w:sz w:val="24"/>
          <w:szCs w:val="24"/>
          <w:lang w:val="lt-LT"/>
        </w:rPr>
        <w:t xml:space="preserve">us </w:t>
      </w:r>
      <w:r w:rsidR="00A11846" w:rsidRPr="00596BE6">
        <w:rPr>
          <w:rFonts w:ascii="Times New Roman" w:eastAsia="Times New Roman" w:hAnsi="Times New Roman" w:cs="Times New Roman"/>
          <w:sz w:val="24"/>
          <w:szCs w:val="24"/>
          <w:lang w:val="lt-LT"/>
        </w:rPr>
        <w:t>notarin</w:t>
      </w:r>
      <w:r w:rsidR="00D21E25">
        <w:rPr>
          <w:rFonts w:ascii="Times New Roman" w:eastAsia="Times New Roman" w:hAnsi="Times New Roman" w:cs="Times New Roman"/>
          <w:sz w:val="24"/>
          <w:szCs w:val="24"/>
          <w:lang w:val="lt-LT"/>
        </w:rPr>
        <w:t>ius</w:t>
      </w:r>
      <w:r w:rsidR="00A11846" w:rsidRPr="00596BE6">
        <w:rPr>
          <w:rFonts w:ascii="Times New Roman" w:eastAsia="Times New Roman" w:hAnsi="Times New Roman" w:cs="Times New Roman"/>
          <w:sz w:val="24"/>
          <w:szCs w:val="24"/>
          <w:lang w:val="lt-LT"/>
        </w:rPr>
        <w:t xml:space="preserve"> veik</w:t>
      </w:r>
      <w:r w:rsidR="00D21E25">
        <w:rPr>
          <w:rFonts w:ascii="Times New Roman" w:eastAsia="Times New Roman" w:hAnsi="Times New Roman" w:cs="Times New Roman"/>
          <w:sz w:val="24"/>
          <w:szCs w:val="24"/>
          <w:lang w:val="lt-LT"/>
        </w:rPr>
        <w:t>smus</w:t>
      </w:r>
      <w:r w:rsidR="002E39C1">
        <w:rPr>
          <w:rFonts w:ascii="Times New Roman" w:eastAsia="Times New Roman" w:hAnsi="Times New Roman" w:cs="Times New Roman"/>
          <w:sz w:val="24"/>
          <w:szCs w:val="24"/>
          <w:lang w:val="lt-LT"/>
        </w:rPr>
        <w:t>, su kuria</w:t>
      </w:r>
      <w:r w:rsidR="00D21E25">
        <w:rPr>
          <w:rFonts w:ascii="Times New Roman" w:eastAsia="Times New Roman" w:hAnsi="Times New Roman" w:cs="Times New Roman"/>
          <w:sz w:val="24"/>
          <w:szCs w:val="24"/>
          <w:lang w:val="lt-LT"/>
        </w:rPr>
        <w:t xml:space="preserve">is yra </w:t>
      </w:r>
      <w:r w:rsidR="002E39C1">
        <w:rPr>
          <w:rFonts w:ascii="Times New Roman" w:eastAsia="Times New Roman" w:hAnsi="Times New Roman" w:cs="Times New Roman"/>
          <w:sz w:val="24"/>
          <w:szCs w:val="24"/>
          <w:lang w:val="lt-LT"/>
        </w:rPr>
        <w:t xml:space="preserve">susiję </w:t>
      </w:r>
      <w:r w:rsidR="003F24DB">
        <w:rPr>
          <w:rFonts w:ascii="Times New Roman" w:eastAsia="Times New Roman" w:hAnsi="Times New Roman" w:cs="Times New Roman"/>
          <w:sz w:val="24"/>
          <w:szCs w:val="24"/>
          <w:lang w:val="lt-LT"/>
        </w:rPr>
        <w:t>nagrinėjamoje byloje</w:t>
      </w:r>
      <w:r w:rsidR="00440C1F">
        <w:rPr>
          <w:rFonts w:ascii="Times New Roman" w:eastAsia="Times New Roman" w:hAnsi="Times New Roman" w:cs="Times New Roman"/>
          <w:sz w:val="24"/>
          <w:szCs w:val="24"/>
          <w:lang w:val="lt-LT"/>
        </w:rPr>
        <w:t xml:space="preserve"> </w:t>
      </w:r>
      <w:r w:rsidR="00883C99">
        <w:rPr>
          <w:rFonts w:ascii="Times New Roman" w:eastAsia="Times New Roman" w:hAnsi="Times New Roman" w:cs="Times New Roman"/>
          <w:sz w:val="24"/>
          <w:szCs w:val="24"/>
          <w:lang w:val="lt-LT"/>
        </w:rPr>
        <w:t xml:space="preserve">analizuojami ir vertinami </w:t>
      </w:r>
      <w:r w:rsidR="00E272DF" w:rsidRPr="00122ECB">
        <w:rPr>
          <w:rFonts w:ascii="Times New Roman" w:eastAsia="Times New Roman" w:hAnsi="Times New Roman" w:cs="Times New Roman"/>
          <w:sz w:val="24"/>
          <w:szCs w:val="24"/>
          <w:lang w:val="lt-LT"/>
        </w:rPr>
        <w:t>Išaiškinim</w:t>
      </w:r>
      <w:r w:rsidR="000D55A2" w:rsidRPr="00122ECB">
        <w:rPr>
          <w:rFonts w:ascii="Times New Roman" w:eastAsia="Times New Roman" w:hAnsi="Times New Roman" w:cs="Times New Roman"/>
          <w:sz w:val="24"/>
          <w:szCs w:val="24"/>
          <w:lang w:val="lt-LT"/>
        </w:rPr>
        <w:t xml:space="preserve">ai, </w:t>
      </w:r>
      <w:r w:rsidR="00E272DF" w:rsidRPr="00122ECB">
        <w:rPr>
          <w:rFonts w:ascii="Times New Roman" w:eastAsia="Times New Roman" w:hAnsi="Times New Roman" w:cs="Times New Roman"/>
          <w:sz w:val="24"/>
          <w:szCs w:val="24"/>
          <w:lang w:val="lt-LT"/>
        </w:rPr>
        <w:t>galima priskirti prie viešosios valdžios įgaliojimų vykdymo</w:t>
      </w:r>
      <w:r w:rsidR="00FD684A" w:rsidRPr="00122ECB">
        <w:rPr>
          <w:rFonts w:ascii="Times New Roman" w:eastAsia="Times New Roman" w:hAnsi="Times New Roman" w:cs="Times New Roman"/>
          <w:sz w:val="24"/>
          <w:szCs w:val="24"/>
          <w:lang w:val="lt-LT"/>
        </w:rPr>
        <w:t>,</w:t>
      </w:r>
      <w:r w:rsidR="00FD684A">
        <w:rPr>
          <w:rFonts w:ascii="Times New Roman" w:eastAsia="Times New Roman" w:hAnsi="Times New Roman" w:cs="Times New Roman"/>
          <w:sz w:val="24"/>
          <w:szCs w:val="24"/>
          <w:lang w:val="lt-LT"/>
        </w:rPr>
        <w:t xml:space="preserve"> kaip </w:t>
      </w:r>
      <w:r w:rsidR="009A1E1B">
        <w:rPr>
          <w:rFonts w:ascii="Times New Roman" w:eastAsia="Times New Roman" w:hAnsi="Times New Roman" w:cs="Times New Roman"/>
          <w:sz w:val="24"/>
          <w:szCs w:val="24"/>
          <w:lang w:val="lt-LT"/>
        </w:rPr>
        <w:t xml:space="preserve">pastarieji </w:t>
      </w:r>
      <w:r w:rsidR="00BD294E">
        <w:rPr>
          <w:rFonts w:ascii="Times New Roman" w:eastAsia="Times New Roman" w:hAnsi="Times New Roman" w:cs="Times New Roman"/>
          <w:sz w:val="24"/>
          <w:szCs w:val="24"/>
          <w:lang w:val="lt-LT"/>
        </w:rPr>
        <w:t>aiškina</w:t>
      </w:r>
      <w:r w:rsidR="00BD1E05">
        <w:rPr>
          <w:rFonts w:ascii="Times New Roman" w:eastAsia="Times New Roman" w:hAnsi="Times New Roman" w:cs="Times New Roman"/>
          <w:sz w:val="24"/>
          <w:szCs w:val="24"/>
          <w:lang w:val="lt-LT"/>
        </w:rPr>
        <w:t>mi</w:t>
      </w:r>
      <w:r w:rsidR="00BD294E">
        <w:rPr>
          <w:rFonts w:ascii="Times New Roman" w:eastAsia="Times New Roman" w:hAnsi="Times New Roman" w:cs="Times New Roman"/>
          <w:sz w:val="24"/>
          <w:szCs w:val="24"/>
          <w:lang w:val="lt-LT"/>
        </w:rPr>
        <w:t xml:space="preserve"> Teisingumo Teism</w:t>
      </w:r>
      <w:r w:rsidR="00BD1E05">
        <w:rPr>
          <w:rFonts w:ascii="Times New Roman" w:eastAsia="Times New Roman" w:hAnsi="Times New Roman" w:cs="Times New Roman"/>
          <w:sz w:val="24"/>
          <w:szCs w:val="24"/>
          <w:lang w:val="lt-LT"/>
        </w:rPr>
        <w:t xml:space="preserve">o </w:t>
      </w:r>
      <w:r w:rsidR="00BD294E">
        <w:rPr>
          <w:rFonts w:ascii="Times New Roman" w:eastAsia="Times New Roman" w:hAnsi="Times New Roman" w:cs="Times New Roman"/>
          <w:sz w:val="24"/>
          <w:szCs w:val="24"/>
          <w:lang w:val="lt-LT"/>
        </w:rPr>
        <w:t>praktikoje</w:t>
      </w:r>
      <w:r w:rsidR="00E272DF" w:rsidRPr="00596BE6">
        <w:rPr>
          <w:rFonts w:ascii="Times New Roman" w:eastAsia="Times New Roman" w:hAnsi="Times New Roman" w:cs="Times New Roman"/>
          <w:sz w:val="24"/>
          <w:szCs w:val="24"/>
          <w:lang w:val="lt-LT"/>
        </w:rPr>
        <w:t>.</w:t>
      </w:r>
    </w:p>
    <w:p w14:paraId="09FC6E5D" w14:textId="77777777" w:rsidR="009F4738" w:rsidRDefault="008B1578" w:rsidP="009F4738">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Kaip minėta, Konkurencijos taryba ginčijamame Nutarime konstatavo, kad draudžiamas susitarimas dėl kainų buvo sudarytas teikiant </w:t>
      </w:r>
      <w:r>
        <w:rPr>
          <w:rFonts w:ascii="Times New Roman" w:eastAsia="Times New Roman" w:hAnsi="Times New Roman" w:cs="Times New Roman"/>
          <w:sz w:val="24"/>
          <w:szCs w:val="24"/>
          <w:lang w:val="lt-LT"/>
        </w:rPr>
        <w:t>I</w:t>
      </w:r>
      <w:r w:rsidRPr="009C64EB">
        <w:rPr>
          <w:rFonts w:ascii="Times New Roman" w:eastAsia="Times New Roman" w:hAnsi="Times New Roman" w:cs="Times New Roman"/>
          <w:sz w:val="24"/>
          <w:szCs w:val="24"/>
          <w:lang w:val="lt-LT"/>
        </w:rPr>
        <w:t>šaiškinimus</w:t>
      </w:r>
      <w:r w:rsidR="00085F07">
        <w:rPr>
          <w:rFonts w:ascii="Times New Roman" w:eastAsia="Times New Roman" w:hAnsi="Times New Roman" w:cs="Times New Roman"/>
          <w:sz w:val="24"/>
          <w:szCs w:val="24"/>
          <w:lang w:val="lt-LT"/>
        </w:rPr>
        <w:t xml:space="preserve"> dėl skaičiuotino atlyginimo notarams</w:t>
      </w:r>
      <w:r w:rsidR="009F4738">
        <w:rPr>
          <w:rFonts w:ascii="Times New Roman" w:eastAsia="Times New Roman" w:hAnsi="Times New Roman" w:cs="Times New Roman"/>
          <w:sz w:val="24"/>
          <w:szCs w:val="24"/>
          <w:lang w:val="lt-LT"/>
        </w:rPr>
        <w:t xml:space="preserve">, </w:t>
      </w:r>
      <w:r w:rsidR="00856534" w:rsidRPr="00856534">
        <w:rPr>
          <w:rFonts w:ascii="Times New Roman" w:eastAsia="Times New Roman" w:hAnsi="Times New Roman" w:cs="Times New Roman"/>
          <w:sz w:val="24"/>
          <w:szCs w:val="24"/>
          <w:lang w:val="lt-LT"/>
        </w:rPr>
        <w:t>imam</w:t>
      </w:r>
      <w:r w:rsidR="009F4738">
        <w:rPr>
          <w:rFonts w:ascii="Times New Roman" w:eastAsia="Times New Roman" w:hAnsi="Times New Roman" w:cs="Times New Roman"/>
          <w:sz w:val="24"/>
          <w:szCs w:val="24"/>
          <w:lang w:val="lt-LT"/>
        </w:rPr>
        <w:t>o</w:t>
      </w:r>
      <w:r w:rsidR="00856534" w:rsidRPr="00856534">
        <w:rPr>
          <w:rFonts w:ascii="Times New Roman" w:eastAsia="Times New Roman" w:hAnsi="Times New Roman" w:cs="Times New Roman"/>
          <w:sz w:val="24"/>
          <w:szCs w:val="24"/>
          <w:lang w:val="lt-LT"/>
        </w:rPr>
        <w:t xml:space="preserve"> už:</w:t>
      </w:r>
    </w:p>
    <w:p w14:paraId="5DE2ED8A" w14:textId="77777777" w:rsidR="00847712" w:rsidRDefault="00856534" w:rsidP="00847712">
      <w:pPr>
        <w:numPr>
          <w:ilvl w:val="1"/>
          <w:numId w:val="22"/>
        </w:numPr>
        <w:tabs>
          <w:tab w:val="left" w:pos="567"/>
          <w:tab w:val="left" w:pos="1134"/>
        </w:tabs>
        <w:spacing w:after="0" w:line="240" w:lineRule="auto"/>
        <w:contextualSpacing/>
        <w:jc w:val="both"/>
        <w:rPr>
          <w:rFonts w:ascii="Times New Roman" w:eastAsia="Times New Roman" w:hAnsi="Times New Roman" w:cs="Times New Roman"/>
          <w:sz w:val="24"/>
          <w:szCs w:val="24"/>
          <w:lang w:val="lt-LT"/>
        </w:rPr>
      </w:pPr>
      <w:r w:rsidRPr="00856534">
        <w:rPr>
          <w:rFonts w:ascii="Times New Roman" w:eastAsia="Times New Roman" w:hAnsi="Times New Roman" w:cs="Times New Roman"/>
          <w:sz w:val="24"/>
          <w:szCs w:val="24"/>
          <w:lang w:val="lt-LT"/>
        </w:rPr>
        <w:t>hipotekos (įkeitimo) sandorių tvirtinimą ir vykdomųjų įrašų atlikimą tais atvejais, kai sandorio šalys nenurodo įkeičiamo objekto vertės, taip pat tais atvejais, kai vienu hipotekos sandoriu įkeičiami keli nekilnojamieji daiktai;</w:t>
      </w:r>
    </w:p>
    <w:p w14:paraId="55472563" w14:textId="77777777" w:rsidR="00847712" w:rsidRDefault="00856534" w:rsidP="00847712">
      <w:pPr>
        <w:numPr>
          <w:ilvl w:val="1"/>
          <w:numId w:val="22"/>
        </w:numPr>
        <w:tabs>
          <w:tab w:val="left" w:pos="567"/>
          <w:tab w:val="left" w:pos="1134"/>
        </w:tabs>
        <w:spacing w:after="0" w:line="240" w:lineRule="auto"/>
        <w:contextualSpacing/>
        <w:jc w:val="both"/>
        <w:rPr>
          <w:rFonts w:ascii="Times New Roman" w:eastAsia="Times New Roman" w:hAnsi="Times New Roman" w:cs="Times New Roman"/>
          <w:sz w:val="24"/>
          <w:szCs w:val="24"/>
          <w:lang w:val="lt-LT"/>
        </w:rPr>
      </w:pPr>
      <w:r w:rsidRPr="00856534">
        <w:rPr>
          <w:rFonts w:ascii="Times New Roman" w:eastAsia="Times New Roman" w:hAnsi="Times New Roman" w:cs="Times New Roman"/>
          <w:sz w:val="24"/>
          <w:szCs w:val="24"/>
          <w:lang w:val="lt-LT"/>
        </w:rPr>
        <w:t>notarinių veiksmų atlikimą, sandorių projektų parengimą, konsultacijas ir technines paslaugas tais atvejais, kai viena sutartimi nustatomas servitutas keliems nekilnojamiems daiktams;</w:t>
      </w:r>
    </w:p>
    <w:p w14:paraId="11A5FF18" w14:textId="515C1965" w:rsidR="00856534" w:rsidRPr="00856534" w:rsidRDefault="00856534" w:rsidP="00847712">
      <w:pPr>
        <w:numPr>
          <w:ilvl w:val="1"/>
          <w:numId w:val="22"/>
        </w:numPr>
        <w:tabs>
          <w:tab w:val="left" w:pos="567"/>
          <w:tab w:val="left" w:pos="1134"/>
        </w:tabs>
        <w:spacing w:after="0" w:line="240" w:lineRule="auto"/>
        <w:contextualSpacing/>
        <w:jc w:val="both"/>
        <w:rPr>
          <w:rFonts w:ascii="Times New Roman" w:eastAsia="Times New Roman" w:hAnsi="Times New Roman" w:cs="Times New Roman"/>
          <w:sz w:val="24"/>
          <w:szCs w:val="24"/>
          <w:lang w:val="lt-LT"/>
        </w:rPr>
      </w:pPr>
      <w:r w:rsidRPr="00856534">
        <w:rPr>
          <w:rFonts w:ascii="Times New Roman" w:eastAsia="Times New Roman" w:hAnsi="Times New Roman" w:cs="Times New Roman"/>
          <w:sz w:val="24"/>
          <w:szCs w:val="24"/>
          <w:lang w:val="lt-LT"/>
        </w:rPr>
        <w:t>mainų sutarties patvirtinimą tais atvejais, kai viena sutartimi mainomos kelių daiktų dalys.</w:t>
      </w:r>
    </w:p>
    <w:p w14:paraId="37130104" w14:textId="68C3D86D" w:rsidR="00B945F6" w:rsidRPr="00847712" w:rsidRDefault="00027637" w:rsidP="00847712">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Apibendrinant, </w:t>
      </w:r>
      <w:r w:rsidR="008B1578" w:rsidRPr="00847712">
        <w:rPr>
          <w:rFonts w:ascii="Times New Roman" w:eastAsia="Times New Roman" w:hAnsi="Times New Roman" w:cs="Times New Roman"/>
          <w:sz w:val="24"/>
          <w:szCs w:val="24"/>
          <w:lang w:val="lt-LT"/>
        </w:rPr>
        <w:t xml:space="preserve">Išaiškinimai, kurie ginčijamame Nutarime buvo įvertinti kaip draudžiamas susitarimas, yra susiję su </w:t>
      </w:r>
      <w:r w:rsidR="002A7454" w:rsidRPr="00847712">
        <w:rPr>
          <w:rFonts w:ascii="Times New Roman" w:eastAsia="Times New Roman" w:hAnsi="Times New Roman" w:cs="Times New Roman"/>
          <w:sz w:val="24"/>
          <w:szCs w:val="24"/>
          <w:lang w:val="lt-LT"/>
        </w:rPr>
        <w:t xml:space="preserve">notarų atliekamu </w:t>
      </w:r>
      <w:r w:rsidR="008B1578" w:rsidRPr="00847712">
        <w:rPr>
          <w:rFonts w:ascii="Times New Roman" w:eastAsia="Times New Roman" w:hAnsi="Times New Roman" w:cs="Times New Roman"/>
          <w:sz w:val="24"/>
          <w:szCs w:val="24"/>
          <w:lang w:val="lt-LT"/>
        </w:rPr>
        <w:t>sandorių autentiškumo patvirtinimu (t. y. sandorių tvirtinimu</w:t>
      </w:r>
      <w:r w:rsidR="00256868">
        <w:rPr>
          <w:rFonts w:ascii="Times New Roman" w:eastAsia="Times New Roman" w:hAnsi="Times New Roman" w:cs="Times New Roman"/>
          <w:sz w:val="24"/>
          <w:szCs w:val="24"/>
          <w:lang w:val="lt-LT"/>
        </w:rPr>
        <w:t>,</w:t>
      </w:r>
      <w:r w:rsidR="008B1578" w:rsidRPr="00847712">
        <w:rPr>
          <w:rFonts w:ascii="Times New Roman" w:eastAsia="Times New Roman" w:hAnsi="Times New Roman" w:cs="Times New Roman"/>
          <w:sz w:val="24"/>
          <w:szCs w:val="24"/>
          <w:lang w:val="lt-LT"/>
        </w:rPr>
        <w:t xml:space="preserve"> kaip nurodyta Notariato įstatymo 26 str</w:t>
      </w:r>
      <w:r w:rsidR="003622C0" w:rsidRPr="00847712">
        <w:rPr>
          <w:rFonts w:ascii="Times New Roman" w:eastAsia="Times New Roman" w:hAnsi="Times New Roman" w:cs="Times New Roman"/>
          <w:sz w:val="24"/>
          <w:szCs w:val="24"/>
          <w:lang w:val="lt-LT"/>
        </w:rPr>
        <w:t>aipsnio</w:t>
      </w:r>
      <w:r w:rsidR="008B1578" w:rsidRPr="00847712">
        <w:rPr>
          <w:rFonts w:ascii="Times New Roman" w:eastAsia="Times New Roman" w:hAnsi="Times New Roman" w:cs="Times New Roman"/>
          <w:sz w:val="24"/>
          <w:szCs w:val="24"/>
          <w:lang w:val="lt-LT"/>
        </w:rPr>
        <w:t xml:space="preserve"> 1 d</w:t>
      </w:r>
      <w:r w:rsidR="003622C0" w:rsidRPr="00847712">
        <w:rPr>
          <w:rFonts w:ascii="Times New Roman" w:eastAsia="Times New Roman" w:hAnsi="Times New Roman" w:cs="Times New Roman"/>
          <w:sz w:val="24"/>
          <w:szCs w:val="24"/>
          <w:lang w:val="lt-LT"/>
        </w:rPr>
        <w:t>alies</w:t>
      </w:r>
      <w:r w:rsidR="008B1578" w:rsidRPr="00847712">
        <w:rPr>
          <w:rFonts w:ascii="Times New Roman" w:eastAsia="Times New Roman" w:hAnsi="Times New Roman" w:cs="Times New Roman"/>
          <w:sz w:val="24"/>
          <w:szCs w:val="24"/>
          <w:lang w:val="lt-LT"/>
        </w:rPr>
        <w:t xml:space="preserve"> 1 p</w:t>
      </w:r>
      <w:r w:rsidR="003622C0" w:rsidRPr="00847712">
        <w:rPr>
          <w:rFonts w:ascii="Times New Roman" w:eastAsia="Times New Roman" w:hAnsi="Times New Roman" w:cs="Times New Roman"/>
          <w:sz w:val="24"/>
          <w:szCs w:val="24"/>
          <w:lang w:val="lt-LT"/>
        </w:rPr>
        <w:t>unkte</w:t>
      </w:r>
      <w:r w:rsidR="000324A9" w:rsidRPr="00847712">
        <w:rPr>
          <w:rFonts w:ascii="Times New Roman" w:eastAsia="Times New Roman" w:hAnsi="Times New Roman" w:cs="Times New Roman"/>
          <w:sz w:val="24"/>
          <w:szCs w:val="24"/>
          <w:lang w:val="lt-LT"/>
        </w:rPr>
        <w:t xml:space="preserve">). </w:t>
      </w:r>
      <w:r w:rsidR="00337B70">
        <w:rPr>
          <w:rFonts w:ascii="Times New Roman" w:eastAsia="Times New Roman" w:hAnsi="Times New Roman" w:cs="Times New Roman"/>
          <w:sz w:val="24"/>
          <w:szCs w:val="24"/>
          <w:lang w:val="lt-LT"/>
        </w:rPr>
        <w:t>Šiame kontekste svarbu p</w:t>
      </w:r>
      <w:r w:rsidR="000B649F" w:rsidRPr="00847712">
        <w:rPr>
          <w:rFonts w:ascii="Times New Roman" w:eastAsia="Times New Roman" w:hAnsi="Times New Roman" w:cs="Times New Roman"/>
          <w:sz w:val="24"/>
          <w:szCs w:val="24"/>
          <w:lang w:val="lt-LT"/>
        </w:rPr>
        <w:t xml:space="preserve">abrėžti, kad </w:t>
      </w:r>
      <w:r w:rsidR="00233531" w:rsidRPr="00847712">
        <w:rPr>
          <w:rFonts w:ascii="Times New Roman" w:eastAsia="Times New Roman" w:hAnsi="Times New Roman" w:cs="Times New Roman"/>
          <w:sz w:val="24"/>
          <w:szCs w:val="24"/>
          <w:lang w:val="lt-LT"/>
        </w:rPr>
        <w:t>tok</w:t>
      </w:r>
      <w:r w:rsidR="00A621B6" w:rsidRPr="00847712">
        <w:rPr>
          <w:rFonts w:ascii="Times New Roman" w:eastAsia="Times New Roman" w:hAnsi="Times New Roman" w:cs="Times New Roman"/>
          <w:sz w:val="24"/>
          <w:szCs w:val="24"/>
          <w:lang w:val="lt-LT"/>
        </w:rPr>
        <w:t>ie notariniai veiksmai</w:t>
      </w:r>
      <w:r w:rsidR="003E2124" w:rsidRPr="00847712">
        <w:rPr>
          <w:rFonts w:ascii="Times New Roman" w:eastAsia="Times New Roman" w:hAnsi="Times New Roman" w:cs="Times New Roman"/>
          <w:sz w:val="24"/>
          <w:szCs w:val="24"/>
          <w:lang w:val="lt-LT"/>
        </w:rPr>
        <w:t xml:space="preserve"> atliekami </w:t>
      </w:r>
      <w:r w:rsidR="00647EFB" w:rsidRPr="00847712">
        <w:rPr>
          <w:rFonts w:ascii="Times New Roman" w:eastAsia="Times New Roman" w:hAnsi="Times New Roman" w:cs="Times New Roman"/>
          <w:sz w:val="24"/>
          <w:szCs w:val="24"/>
          <w:lang w:val="lt-LT"/>
        </w:rPr>
        <w:t xml:space="preserve">laisva valia šalių sudarytų sandorių </w:t>
      </w:r>
      <w:r w:rsidR="00510C86" w:rsidRPr="00847712">
        <w:rPr>
          <w:rFonts w:ascii="Times New Roman" w:eastAsia="Times New Roman" w:hAnsi="Times New Roman" w:cs="Times New Roman"/>
          <w:sz w:val="24"/>
          <w:szCs w:val="24"/>
          <w:lang w:val="lt-LT"/>
        </w:rPr>
        <w:t>atveju. Kitaip tariant, išplėstinės teisėjų</w:t>
      </w:r>
      <w:r w:rsidR="00647EFB" w:rsidRPr="00847712">
        <w:rPr>
          <w:rFonts w:ascii="Times New Roman" w:eastAsia="Times New Roman" w:hAnsi="Times New Roman" w:cs="Times New Roman"/>
          <w:sz w:val="24"/>
          <w:szCs w:val="24"/>
          <w:lang w:val="lt-LT"/>
        </w:rPr>
        <w:t xml:space="preserve"> kolegijos vertinimu, galima daryti pagrįstą išvadą, kad tokiais atvejais notaro dalyvavimas neatsiejamas nuo išankstinio šalių sutikimo arba jų suderintos valios buvimo.</w:t>
      </w:r>
    </w:p>
    <w:p w14:paraId="6B649985" w14:textId="14839A5B" w:rsidR="008B1578" w:rsidRDefault="00787E5E" w:rsidP="008B1578">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Notariato įstatymo 26 straipsnyje nurodyti notariniai veiksmai, kuriuos atlieka notarai. Šio straipsnio 1 dalies 1 punkte įtvirtinta, kad notarai tvirtina sandorius</w:t>
      </w:r>
      <w:r w:rsidR="00EA4680">
        <w:rPr>
          <w:rFonts w:ascii="Times New Roman" w:eastAsia="Times New Roman" w:hAnsi="Times New Roman" w:cs="Times New Roman"/>
          <w:sz w:val="24"/>
          <w:szCs w:val="24"/>
          <w:lang w:val="lt-LT"/>
        </w:rPr>
        <w:t xml:space="preserve">. </w:t>
      </w:r>
      <w:r w:rsidR="0010126B">
        <w:rPr>
          <w:rFonts w:ascii="Times New Roman" w:eastAsia="Times New Roman" w:hAnsi="Times New Roman" w:cs="Times New Roman"/>
          <w:sz w:val="24"/>
          <w:szCs w:val="24"/>
          <w:lang w:val="lt-LT"/>
        </w:rPr>
        <w:t>Pagal t</w:t>
      </w:r>
      <w:r w:rsidR="00EA4680">
        <w:rPr>
          <w:rFonts w:ascii="Times New Roman" w:eastAsia="Times New Roman" w:hAnsi="Times New Roman" w:cs="Times New Roman"/>
          <w:sz w:val="24"/>
          <w:szCs w:val="24"/>
          <w:lang w:val="lt-LT"/>
        </w:rPr>
        <w:t xml:space="preserve">o paties straipsnio </w:t>
      </w:r>
      <w:r w:rsidR="008B1578" w:rsidRPr="002F50D2">
        <w:rPr>
          <w:rFonts w:ascii="Times New Roman" w:eastAsia="Times New Roman" w:hAnsi="Times New Roman" w:cs="Times New Roman"/>
          <w:sz w:val="24"/>
          <w:szCs w:val="24"/>
          <w:lang w:val="lt-LT"/>
        </w:rPr>
        <w:t>2 dal</w:t>
      </w:r>
      <w:r w:rsidR="0010126B">
        <w:rPr>
          <w:rFonts w:ascii="Times New Roman" w:eastAsia="Times New Roman" w:hAnsi="Times New Roman" w:cs="Times New Roman"/>
          <w:sz w:val="24"/>
          <w:szCs w:val="24"/>
          <w:lang w:val="lt-LT"/>
        </w:rPr>
        <w:t>į</w:t>
      </w:r>
      <w:r w:rsidR="008B1578" w:rsidRPr="002F50D2">
        <w:rPr>
          <w:rFonts w:ascii="Times New Roman" w:eastAsia="Times New Roman" w:hAnsi="Times New Roman" w:cs="Times New Roman"/>
          <w:sz w:val="24"/>
          <w:szCs w:val="24"/>
          <w:lang w:val="lt-LT"/>
        </w:rPr>
        <w:t xml:space="preserve"> notarine forma patvirtintuose dokumentuose esantys faktai yra nustatyti ir neįrodinėjami, iki šie dokumentai (jų dalys) įstatymų nustatyta tvarka nėra pripažinti negaliojančiais. </w:t>
      </w:r>
      <w:r w:rsidR="006D69AA">
        <w:rPr>
          <w:rFonts w:ascii="Times New Roman" w:eastAsia="Times New Roman" w:hAnsi="Times New Roman" w:cs="Times New Roman"/>
          <w:sz w:val="24"/>
          <w:szCs w:val="24"/>
          <w:lang w:val="lt-LT"/>
        </w:rPr>
        <w:t xml:space="preserve">Šio įstatymo </w:t>
      </w:r>
      <w:r w:rsidR="008B1578" w:rsidRPr="002F50D2">
        <w:rPr>
          <w:rFonts w:ascii="Times New Roman" w:eastAsia="Times New Roman" w:hAnsi="Times New Roman" w:cs="Times New Roman"/>
          <w:sz w:val="24"/>
          <w:szCs w:val="24"/>
          <w:lang w:val="lt-LT"/>
        </w:rPr>
        <w:t>28 straipsnio 1 dal</w:t>
      </w:r>
      <w:r w:rsidR="007F59A3">
        <w:rPr>
          <w:rFonts w:ascii="Times New Roman" w:eastAsia="Times New Roman" w:hAnsi="Times New Roman" w:cs="Times New Roman"/>
          <w:sz w:val="24"/>
          <w:szCs w:val="24"/>
          <w:lang w:val="lt-LT"/>
        </w:rPr>
        <w:t>is nustato galimybę</w:t>
      </w:r>
      <w:r w:rsidR="008B1578" w:rsidRPr="002F50D2">
        <w:rPr>
          <w:rFonts w:ascii="Times New Roman" w:eastAsia="Times New Roman" w:hAnsi="Times New Roman" w:cs="Times New Roman"/>
          <w:sz w:val="24"/>
          <w:szCs w:val="24"/>
          <w:lang w:val="lt-LT"/>
        </w:rPr>
        <w:t xml:space="preserve"> notarini</w:t>
      </w:r>
      <w:r w:rsidR="007F59A3">
        <w:rPr>
          <w:rFonts w:ascii="Times New Roman" w:eastAsia="Times New Roman" w:hAnsi="Times New Roman" w:cs="Times New Roman"/>
          <w:sz w:val="24"/>
          <w:szCs w:val="24"/>
          <w:lang w:val="lt-LT"/>
        </w:rPr>
        <w:t>us</w:t>
      </w:r>
      <w:r w:rsidR="008B1578" w:rsidRPr="002F50D2">
        <w:rPr>
          <w:rFonts w:ascii="Times New Roman" w:eastAsia="Times New Roman" w:hAnsi="Times New Roman" w:cs="Times New Roman"/>
          <w:sz w:val="24"/>
          <w:szCs w:val="24"/>
          <w:lang w:val="lt-LT"/>
        </w:rPr>
        <w:t xml:space="preserve"> veiksm</w:t>
      </w:r>
      <w:r w:rsidR="007F59A3">
        <w:rPr>
          <w:rFonts w:ascii="Times New Roman" w:eastAsia="Times New Roman" w:hAnsi="Times New Roman" w:cs="Times New Roman"/>
          <w:sz w:val="24"/>
          <w:szCs w:val="24"/>
          <w:lang w:val="lt-LT"/>
        </w:rPr>
        <w:t>us</w:t>
      </w:r>
      <w:r w:rsidR="008B1578" w:rsidRPr="002F50D2">
        <w:rPr>
          <w:rFonts w:ascii="Times New Roman" w:eastAsia="Times New Roman" w:hAnsi="Times New Roman" w:cs="Times New Roman"/>
          <w:sz w:val="24"/>
          <w:szCs w:val="24"/>
          <w:lang w:val="lt-LT"/>
        </w:rPr>
        <w:t xml:space="preserve"> atli</w:t>
      </w:r>
      <w:r w:rsidR="007F59A3">
        <w:rPr>
          <w:rFonts w:ascii="Times New Roman" w:eastAsia="Times New Roman" w:hAnsi="Times New Roman" w:cs="Times New Roman"/>
          <w:sz w:val="24"/>
          <w:szCs w:val="24"/>
          <w:lang w:val="lt-LT"/>
        </w:rPr>
        <w:t>kti</w:t>
      </w:r>
      <w:r w:rsidR="008B1578" w:rsidRPr="002F50D2">
        <w:rPr>
          <w:rFonts w:ascii="Times New Roman" w:eastAsia="Times New Roman" w:hAnsi="Times New Roman" w:cs="Times New Roman"/>
          <w:sz w:val="24"/>
          <w:szCs w:val="24"/>
          <w:lang w:val="lt-LT"/>
        </w:rPr>
        <w:t xml:space="preserve"> pas bet kurį notarą, išskyrus turto paveldėjimo </w:t>
      </w:r>
      <w:r w:rsidR="008B1578" w:rsidRPr="002F50D2">
        <w:rPr>
          <w:rFonts w:ascii="Times New Roman" w:eastAsia="Times New Roman" w:hAnsi="Times New Roman" w:cs="Times New Roman"/>
          <w:sz w:val="24"/>
          <w:szCs w:val="24"/>
          <w:lang w:val="lt-LT"/>
        </w:rPr>
        <w:lastRenderedPageBreak/>
        <w:t xml:space="preserve">atvejus. </w:t>
      </w:r>
      <w:r w:rsidR="001B4400">
        <w:rPr>
          <w:rFonts w:ascii="Times New Roman" w:eastAsia="Times New Roman" w:hAnsi="Times New Roman" w:cs="Times New Roman"/>
          <w:sz w:val="24"/>
          <w:szCs w:val="24"/>
          <w:lang w:val="lt-LT"/>
        </w:rPr>
        <w:t>Pagal</w:t>
      </w:r>
      <w:r w:rsidR="001B4400" w:rsidRPr="001B4400">
        <w:rPr>
          <w:rFonts w:ascii="Times New Roman" w:eastAsia="Times New Roman" w:hAnsi="Times New Roman" w:cs="Times New Roman"/>
          <w:sz w:val="24"/>
          <w:szCs w:val="24"/>
          <w:lang w:val="lt-LT"/>
        </w:rPr>
        <w:t xml:space="preserve"> </w:t>
      </w:r>
      <w:r w:rsidR="001B4400" w:rsidRPr="002F50D2">
        <w:rPr>
          <w:rFonts w:ascii="Times New Roman" w:eastAsia="Times New Roman" w:hAnsi="Times New Roman" w:cs="Times New Roman"/>
          <w:sz w:val="24"/>
          <w:szCs w:val="24"/>
          <w:lang w:val="lt-LT"/>
        </w:rPr>
        <w:t>40 str</w:t>
      </w:r>
      <w:r w:rsidR="00D06F44">
        <w:rPr>
          <w:rFonts w:ascii="Times New Roman" w:eastAsia="Times New Roman" w:hAnsi="Times New Roman" w:cs="Times New Roman"/>
          <w:sz w:val="24"/>
          <w:szCs w:val="24"/>
          <w:lang w:val="lt-LT"/>
        </w:rPr>
        <w:t>aipsnio</w:t>
      </w:r>
      <w:r w:rsidR="001B4400" w:rsidRPr="002F50D2">
        <w:rPr>
          <w:rFonts w:ascii="Times New Roman" w:eastAsia="Times New Roman" w:hAnsi="Times New Roman" w:cs="Times New Roman"/>
          <w:sz w:val="24"/>
          <w:szCs w:val="24"/>
          <w:lang w:val="lt-LT"/>
        </w:rPr>
        <w:t xml:space="preserve"> 1 d</w:t>
      </w:r>
      <w:r w:rsidR="00D06F44">
        <w:rPr>
          <w:rFonts w:ascii="Times New Roman" w:eastAsia="Times New Roman" w:hAnsi="Times New Roman" w:cs="Times New Roman"/>
          <w:sz w:val="24"/>
          <w:szCs w:val="24"/>
          <w:lang w:val="lt-LT"/>
        </w:rPr>
        <w:t>alį n</w:t>
      </w:r>
      <w:r w:rsidR="008B1578" w:rsidRPr="002F50D2">
        <w:rPr>
          <w:rFonts w:ascii="Times New Roman" w:eastAsia="Times New Roman" w:hAnsi="Times New Roman" w:cs="Times New Roman"/>
          <w:sz w:val="24"/>
          <w:szCs w:val="24"/>
          <w:lang w:val="lt-LT"/>
        </w:rPr>
        <w:t>otaras privalo atsisakyti atlikti notarinį veiksmą, jeigu tokio veiksmo atlikimas prieštarauja įstatymams ar neatitinka jų reikalavimų</w:t>
      </w:r>
      <w:r w:rsidR="00D06F44">
        <w:rPr>
          <w:rFonts w:ascii="Times New Roman" w:eastAsia="Times New Roman" w:hAnsi="Times New Roman" w:cs="Times New Roman"/>
          <w:sz w:val="24"/>
          <w:szCs w:val="24"/>
          <w:lang w:val="lt-LT"/>
        </w:rPr>
        <w:t>.</w:t>
      </w:r>
    </w:p>
    <w:p w14:paraId="01968D23" w14:textId="25E3EDEB" w:rsidR="00CD1CE7" w:rsidRDefault="00C72634" w:rsidP="00CE5410">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Vertin</w:t>
      </w:r>
      <w:r w:rsidR="008A5CB6">
        <w:rPr>
          <w:rFonts w:ascii="Times New Roman" w:eastAsia="Times New Roman" w:hAnsi="Times New Roman" w:cs="Times New Roman"/>
          <w:sz w:val="24"/>
          <w:szCs w:val="24"/>
          <w:lang w:val="lt-LT"/>
        </w:rPr>
        <w:t>dama</w:t>
      </w:r>
      <w:r w:rsidR="00257D67">
        <w:rPr>
          <w:rFonts w:ascii="Times New Roman" w:eastAsia="Times New Roman" w:hAnsi="Times New Roman" w:cs="Times New Roman"/>
          <w:sz w:val="24"/>
          <w:szCs w:val="24"/>
          <w:lang w:val="lt-LT"/>
        </w:rPr>
        <w:t>, ar</w:t>
      </w:r>
      <w:r>
        <w:rPr>
          <w:rFonts w:ascii="Times New Roman" w:eastAsia="Times New Roman" w:hAnsi="Times New Roman" w:cs="Times New Roman"/>
          <w:sz w:val="24"/>
          <w:szCs w:val="24"/>
          <w:lang w:val="lt-LT"/>
        </w:rPr>
        <w:t xml:space="preserve"> </w:t>
      </w:r>
      <w:r w:rsidRPr="00BD5986">
        <w:rPr>
          <w:rFonts w:ascii="Times New Roman" w:eastAsia="Times New Roman" w:hAnsi="Times New Roman" w:cs="Times New Roman"/>
          <w:sz w:val="24"/>
          <w:szCs w:val="24"/>
          <w:lang w:val="lt-LT"/>
        </w:rPr>
        <w:t>notarų atliekam</w:t>
      </w:r>
      <w:r w:rsidR="00F22F68" w:rsidRPr="00BD5986">
        <w:rPr>
          <w:rFonts w:ascii="Times New Roman" w:eastAsia="Times New Roman" w:hAnsi="Times New Roman" w:cs="Times New Roman"/>
          <w:sz w:val="24"/>
          <w:szCs w:val="24"/>
          <w:lang w:val="lt-LT"/>
        </w:rPr>
        <w:t>a</w:t>
      </w:r>
      <w:r w:rsidRPr="00BD5986">
        <w:rPr>
          <w:rFonts w:ascii="Times New Roman" w:eastAsia="Times New Roman" w:hAnsi="Times New Roman" w:cs="Times New Roman"/>
          <w:sz w:val="24"/>
          <w:szCs w:val="24"/>
          <w:lang w:val="lt-LT"/>
        </w:rPr>
        <w:t xml:space="preserve"> sandorių autentiškumo patvirtinim</w:t>
      </w:r>
      <w:r w:rsidR="000436A2" w:rsidRPr="00BD5986">
        <w:rPr>
          <w:rFonts w:ascii="Times New Roman" w:eastAsia="Times New Roman" w:hAnsi="Times New Roman" w:cs="Times New Roman"/>
          <w:sz w:val="24"/>
          <w:szCs w:val="24"/>
          <w:lang w:val="lt-LT"/>
        </w:rPr>
        <w:t xml:space="preserve">o </w:t>
      </w:r>
      <w:r w:rsidR="008F54B0" w:rsidRPr="00BD5986">
        <w:rPr>
          <w:rFonts w:ascii="Times New Roman" w:eastAsia="Times New Roman" w:hAnsi="Times New Roman" w:cs="Times New Roman"/>
          <w:sz w:val="24"/>
          <w:szCs w:val="24"/>
          <w:lang w:val="lt-LT"/>
        </w:rPr>
        <w:t>veikl</w:t>
      </w:r>
      <w:r w:rsidR="00F22F68" w:rsidRPr="00BD5986">
        <w:rPr>
          <w:rFonts w:ascii="Times New Roman" w:eastAsia="Times New Roman" w:hAnsi="Times New Roman" w:cs="Times New Roman"/>
          <w:sz w:val="24"/>
          <w:szCs w:val="24"/>
          <w:lang w:val="lt-LT"/>
        </w:rPr>
        <w:t>a priskirtina viešosios valdžios įgaliojimų vykdymui</w:t>
      </w:r>
      <w:r w:rsidR="008615B4">
        <w:rPr>
          <w:rFonts w:ascii="Times New Roman" w:eastAsia="Times New Roman" w:hAnsi="Times New Roman" w:cs="Times New Roman"/>
          <w:sz w:val="24"/>
          <w:szCs w:val="24"/>
          <w:lang w:val="lt-LT"/>
        </w:rPr>
        <w:t xml:space="preserve">, </w:t>
      </w:r>
      <w:r w:rsidR="008A5CB6">
        <w:rPr>
          <w:rFonts w:ascii="Times New Roman" w:eastAsia="Times New Roman" w:hAnsi="Times New Roman" w:cs="Times New Roman"/>
          <w:sz w:val="24"/>
          <w:szCs w:val="24"/>
          <w:lang w:val="lt-LT"/>
        </w:rPr>
        <w:t>išplėstinė teisėjų kolegija atkreipia dėmesį</w:t>
      </w:r>
      <w:r w:rsidR="00A13553">
        <w:rPr>
          <w:rFonts w:ascii="Times New Roman" w:eastAsia="Times New Roman" w:hAnsi="Times New Roman" w:cs="Times New Roman"/>
          <w:sz w:val="24"/>
          <w:szCs w:val="24"/>
          <w:lang w:val="lt-LT"/>
        </w:rPr>
        <w:t xml:space="preserve">, kad </w:t>
      </w:r>
      <w:r w:rsidR="00D811F1">
        <w:rPr>
          <w:rFonts w:ascii="Times New Roman" w:eastAsia="Times New Roman" w:hAnsi="Times New Roman" w:cs="Times New Roman"/>
          <w:sz w:val="24"/>
          <w:szCs w:val="24"/>
          <w:lang w:val="lt-LT"/>
        </w:rPr>
        <w:t>nagrinėdamas šį klausimą</w:t>
      </w:r>
      <w:r w:rsidR="008B1578" w:rsidRPr="002F50D2">
        <w:rPr>
          <w:rFonts w:ascii="Times New Roman" w:eastAsia="Times New Roman" w:hAnsi="Times New Roman" w:cs="Times New Roman"/>
          <w:sz w:val="24"/>
          <w:szCs w:val="24"/>
          <w:lang w:val="lt-LT"/>
        </w:rPr>
        <w:t xml:space="preserve"> Teisingumo Teism</w:t>
      </w:r>
      <w:r w:rsidR="00D811F1">
        <w:rPr>
          <w:rFonts w:ascii="Times New Roman" w:eastAsia="Times New Roman" w:hAnsi="Times New Roman" w:cs="Times New Roman"/>
          <w:sz w:val="24"/>
          <w:szCs w:val="24"/>
          <w:lang w:val="lt-LT"/>
        </w:rPr>
        <w:t xml:space="preserve">as Sprendimo </w:t>
      </w:r>
      <w:r w:rsidR="00D811F1" w:rsidRPr="00653772">
        <w:rPr>
          <w:rFonts w:ascii="Times New Roman" w:eastAsia="Times New Roman" w:hAnsi="Times New Roman" w:cs="Times New Roman"/>
          <w:i/>
          <w:iCs/>
          <w:sz w:val="24"/>
          <w:szCs w:val="24"/>
          <w:lang w:val="lt-LT"/>
        </w:rPr>
        <w:t>Notarų rūmai</w:t>
      </w:r>
      <w:r w:rsidR="00D811F1">
        <w:rPr>
          <w:rFonts w:ascii="Times New Roman" w:eastAsia="Times New Roman" w:hAnsi="Times New Roman" w:cs="Times New Roman"/>
          <w:sz w:val="24"/>
          <w:szCs w:val="24"/>
          <w:lang w:val="lt-LT"/>
        </w:rPr>
        <w:t xml:space="preserve"> 64 punkte</w:t>
      </w:r>
      <w:r w:rsidR="00653772">
        <w:rPr>
          <w:rFonts w:ascii="Times New Roman" w:eastAsia="Times New Roman" w:hAnsi="Times New Roman" w:cs="Times New Roman"/>
          <w:sz w:val="24"/>
          <w:szCs w:val="24"/>
          <w:lang w:val="lt-LT"/>
        </w:rPr>
        <w:t xml:space="preserve"> </w:t>
      </w:r>
      <w:proofErr w:type="spellStart"/>
      <w:r w:rsidR="00653772" w:rsidRPr="00653772">
        <w:rPr>
          <w:rFonts w:ascii="Times New Roman" w:eastAsia="Times New Roman" w:hAnsi="Times New Roman" w:cs="Times New Roman"/>
          <w:i/>
          <w:iCs/>
          <w:sz w:val="24"/>
          <w:szCs w:val="24"/>
          <w:lang w:val="lt-LT"/>
        </w:rPr>
        <w:t>expressis</w:t>
      </w:r>
      <w:proofErr w:type="spellEnd"/>
      <w:r w:rsidR="00653772" w:rsidRPr="00653772">
        <w:rPr>
          <w:rFonts w:ascii="Times New Roman" w:eastAsia="Times New Roman" w:hAnsi="Times New Roman" w:cs="Times New Roman"/>
          <w:i/>
          <w:iCs/>
          <w:sz w:val="24"/>
          <w:szCs w:val="24"/>
          <w:lang w:val="lt-LT"/>
        </w:rPr>
        <w:t xml:space="preserve"> </w:t>
      </w:r>
      <w:proofErr w:type="spellStart"/>
      <w:r w:rsidR="00653772" w:rsidRPr="00653772">
        <w:rPr>
          <w:rFonts w:ascii="Times New Roman" w:eastAsia="Times New Roman" w:hAnsi="Times New Roman" w:cs="Times New Roman"/>
          <w:i/>
          <w:iCs/>
          <w:sz w:val="24"/>
          <w:szCs w:val="24"/>
          <w:lang w:val="lt-LT"/>
        </w:rPr>
        <w:t>verbis</w:t>
      </w:r>
      <w:proofErr w:type="spellEnd"/>
      <w:r w:rsidR="00653772" w:rsidRPr="00653772">
        <w:rPr>
          <w:rFonts w:ascii="Times New Roman" w:eastAsia="Times New Roman" w:hAnsi="Times New Roman" w:cs="Times New Roman"/>
          <w:i/>
          <w:iCs/>
          <w:sz w:val="24"/>
          <w:szCs w:val="24"/>
          <w:lang w:val="lt-LT"/>
        </w:rPr>
        <w:t xml:space="preserve"> </w:t>
      </w:r>
      <w:r w:rsidR="00653772">
        <w:rPr>
          <w:rFonts w:ascii="Times New Roman" w:eastAsia="Times New Roman" w:hAnsi="Times New Roman" w:cs="Times New Roman"/>
          <w:sz w:val="24"/>
          <w:szCs w:val="24"/>
          <w:lang w:val="lt-LT"/>
        </w:rPr>
        <w:t>nurodė, jog</w:t>
      </w:r>
      <w:r w:rsidR="00CD1CE7">
        <w:rPr>
          <w:rFonts w:ascii="Times New Roman" w:eastAsia="Times New Roman" w:hAnsi="Times New Roman" w:cs="Times New Roman"/>
          <w:sz w:val="24"/>
          <w:szCs w:val="24"/>
          <w:lang w:val="lt-LT"/>
        </w:rPr>
        <w:t>:</w:t>
      </w:r>
    </w:p>
    <w:p w14:paraId="550BC31A" w14:textId="01004DB3" w:rsidR="00B508AA" w:rsidRPr="00F30CDA" w:rsidRDefault="00A525E3" w:rsidP="00F30CDA">
      <w:pPr>
        <w:pStyle w:val="Sraopastraipa"/>
        <w:numPr>
          <w:ilvl w:val="0"/>
          <w:numId w:val="24"/>
        </w:numPr>
        <w:tabs>
          <w:tab w:val="left" w:pos="709"/>
        </w:tabs>
        <w:ind w:left="709" w:firstLine="284"/>
        <w:jc w:val="both"/>
        <w:rPr>
          <w:sz w:val="24"/>
          <w:szCs w:val="24"/>
        </w:rPr>
      </w:pPr>
      <w:bookmarkStart w:id="91" w:name="_Hlk169704248"/>
      <w:r>
        <w:rPr>
          <w:sz w:val="24"/>
          <w:szCs w:val="24"/>
        </w:rPr>
        <w:t>N</w:t>
      </w:r>
      <w:r w:rsidR="008B1578" w:rsidRPr="00557395">
        <w:rPr>
          <w:sz w:val="24"/>
          <w:szCs w:val="24"/>
        </w:rPr>
        <w:t xml:space="preserve">egalima tiesiogiai ir konkrečiai prie viešosios valdžios </w:t>
      </w:r>
      <w:r w:rsidR="008B1578" w:rsidRPr="009E76C9">
        <w:rPr>
          <w:sz w:val="24"/>
          <w:szCs w:val="24"/>
        </w:rPr>
        <w:t xml:space="preserve">vykdymo priskirti notarinės veiklos, kai </w:t>
      </w:r>
      <w:bookmarkEnd w:id="91"/>
      <w:r w:rsidR="008B1578" w:rsidRPr="009E76C9">
        <w:rPr>
          <w:sz w:val="24"/>
          <w:szCs w:val="24"/>
        </w:rPr>
        <w:t xml:space="preserve">tvirtinamas aktų, kuriuose išreiškiami vienašaliai įsipareigojimai arba laisva valia šalių sudaryti susitarimai, autentiškumas (šiuo klausimu žr. Teisingumo Teismo 2017 m. vasario 1 d. sprendimo </w:t>
      </w:r>
      <w:r w:rsidR="008B1578" w:rsidRPr="009E76C9">
        <w:rPr>
          <w:i/>
          <w:iCs/>
          <w:sz w:val="24"/>
          <w:szCs w:val="24"/>
        </w:rPr>
        <w:t>Komisija prieš Vengriją</w:t>
      </w:r>
      <w:r w:rsidR="008B1578" w:rsidRPr="009E76C9">
        <w:rPr>
          <w:sz w:val="24"/>
          <w:szCs w:val="24"/>
        </w:rPr>
        <w:t>, C-392/15, EU:C:2017:73, 119 ir 120 p. ir juose nurodytą jurisprudenciją,</w:t>
      </w:r>
      <w:r w:rsidR="008B1578" w:rsidRPr="009E76C9">
        <w:t xml:space="preserve"> </w:t>
      </w:r>
      <w:bookmarkStart w:id="92" w:name="_Hlk169704275"/>
      <w:r w:rsidR="008B1578" w:rsidRPr="009E76C9">
        <w:rPr>
          <w:sz w:val="24"/>
          <w:szCs w:val="24"/>
        </w:rPr>
        <w:t xml:space="preserve">Sprendimo </w:t>
      </w:r>
      <w:r w:rsidR="008B1578" w:rsidRPr="009E76C9">
        <w:rPr>
          <w:i/>
          <w:iCs/>
          <w:sz w:val="24"/>
          <w:szCs w:val="24"/>
        </w:rPr>
        <w:t>Notarų rūmai</w:t>
      </w:r>
      <w:r w:rsidR="008B1578" w:rsidRPr="009E76C9">
        <w:rPr>
          <w:sz w:val="24"/>
          <w:szCs w:val="24"/>
        </w:rPr>
        <w:t xml:space="preserve"> 64 p.), sudaromos hipotekos (Teisingumo Teismo didžiosios kolegijos 2011 m. gegužės 24 d. sprendimo </w:t>
      </w:r>
      <w:r w:rsidR="008B1578" w:rsidRPr="009E76C9">
        <w:rPr>
          <w:i/>
          <w:iCs/>
          <w:sz w:val="24"/>
          <w:szCs w:val="24"/>
        </w:rPr>
        <w:t>Komisija prieš Prancūzija</w:t>
      </w:r>
      <w:r w:rsidR="008B1578" w:rsidRPr="009E76C9">
        <w:rPr>
          <w:sz w:val="24"/>
          <w:szCs w:val="24"/>
        </w:rPr>
        <w:t>, C-50/08, EU:C:2011:335, 97 p.)</w:t>
      </w:r>
      <w:bookmarkEnd w:id="92"/>
      <w:r w:rsidR="00F30CDA" w:rsidRPr="009E76C9">
        <w:rPr>
          <w:sz w:val="24"/>
          <w:szCs w:val="24"/>
        </w:rPr>
        <w:t xml:space="preserve">, </w:t>
      </w:r>
      <w:r w:rsidR="00B508AA" w:rsidRPr="009E76C9">
        <w:rPr>
          <w:sz w:val="24"/>
          <w:szCs w:val="24"/>
        </w:rPr>
        <w:t>atliekami vykdomieji įrašai (šiuo klausimu žr. Teisingumo Teismo 2017</w:t>
      </w:r>
      <w:r w:rsidR="00F30CDA" w:rsidRPr="009E76C9">
        <w:rPr>
          <w:sz w:val="24"/>
          <w:szCs w:val="24"/>
        </w:rPr>
        <w:t> </w:t>
      </w:r>
      <w:r w:rsidR="00B508AA" w:rsidRPr="009E76C9">
        <w:rPr>
          <w:sz w:val="24"/>
          <w:szCs w:val="24"/>
        </w:rPr>
        <w:t xml:space="preserve">m. vasario 1 d. sprendimo </w:t>
      </w:r>
      <w:r w:rsidR="00B508AA" w:rsidRPr="009E76C9">
        <w:rPr>
          <w:i/>
          <w:iCs/>
          <w:sz w:val="24"/>
          <w:szCs w:val="24"/>
        </w:rPr>
        <w:t>Komisija prieš Vengriją</w:t>
      </w:r>
      <w:r w:rsidR="00B508AA" w:rsidRPr="009E76C9">
        <w:rPr>
          <w:sz w:val="24"/>
          <w:szCs w:val="24"/>
        </w:rPr>
        <w:t>, C-392/15, EU:C:2017:73, 125–127 p.), rengiami sandorių projektai ir kai notarai teikia konsultacijas ir technines paslaugas (šiuo</w:t>
      </w:r>
      <w:r w:rsidR="00B508AA" w:rsidRPr="00F30CDA">
        <w:rPr>
          <w:sz w:val="24"/>
          <w:szCs w:val="24"/>
        </w:rPr>
        <w:t xml:space="preserve"> klausimu žr. Teisingumo Teismo 2011 m. gruodžio 1 d. sprendimo </w:t>
      </w:r>
      <w:r w:rsidR="00B508AA" w:rsidRPr="00F30CDA">
        <w:rPr>
          <w:i/>
          <w:iCs/>
          <w:sz w:val="24"/>
          <w:szCs w:val="24"/>
        </w:rPr>
        <w:t>Komisija prieš Nyderlandus</w:t>
      </w:r>
      <w:r w:rsidR="00B508AA" w:rsidRPr="00F30CDA">
        <w:rPr>
          <w:sz w:val="24"/>
          <w:szCs w:val="24"/>
        </w:rPr>
        <w:t xml:space="preserve">, C-157/09, EU:C:2011:794, 72 p. ir jame nurodytą jurisprudenciją, </w:t>
      </w:r>
      <w:bookmarkStart w:id="93" w:name="_Hlk169607405"/>
      <w:r w:rsidR="00B508AA" w:rsidRPr="00F30CDA">
        <w:rPr>
          <w:sz w:val="24"/>
          <w:szCs w:val="24"/>
        </w:rPr>
        <w:t xml:space="preserve">Sprendimo </w:t>
      </w:r>
      <w:r w:rsidR="00B508AA" w:rsidRPr="00F30CDA">
        <w:rPr>
          <w:i/>
          <w:iCs/>
          <w:sz w:val="24"/>
          <w:szCs w:val="24"/>
        </w:rPr>
        <w:t>Notarų rūmai</w:t>
      </w:r>
      <w:r w:rsidR="00B508AA" w:rsidRPr="00F30CDA">
        <w:rPr>
          <w:sz w:val="24"/>
          <w:szCs w:val="24"/>
        </w:rPr>
        <w:t xml:space="preserve"> 64 p</w:t>
      </w:r>
      <w:bookmarkEnd w:id="93"/>
      <w:r w:rsidR="00B508AA" w:rsidRPr="00F30CDA">
        <w:rPr>
          <w:sz w:val="24"/>
          <w:szCs w:val="24"/>
        </w:rPr>
        <w:t>.)</w:t>
      </w:r>
      <w:r w:rsidR="001B1133">
        <w:rPr>
          <w:sz w:val="24"/>
          <w:szCs w:val="24"/>
        </w:rPr>
        <w:t>.</w:t>
      </w:r>
    </w:p>
    <w:p w14:paraId="731D4342" w14:textId="483F2E86" w:rsidR="00A525E3" w:rsidRPr="009E76C9" w:rsidRDefault="00A525E3" w:rsidP="00A525E3">
      <w:pPr>
        <w:pStyle w:val="Sraopastraipa"/>
        <w:numPr>
          <w:ilvl w:val="0"/>
          <w:numId w:val="24"/>
        </w:numPr>
        <w:tabs>
          <w:tab w:val="left" w:pos="709"/>
        </w:tabs>
        <w:ind w:left="709" w:firstLine="284"/>
        <w:jc w:val="both"/>
        <w:rPr>
          <w:sz w:val="24"/>
          <w:szCs w:val="24"/>
        </w:rPr>
      </w:pPr>
      <w:r w:rsidRPr="009E76C9">
        <w:rPr>
          <w:sz w:val="24"/>
          <w:szCs w:val="24"/>
        </w:rPr>
        <w:t>A</w:t>
      </w:r>
      <w:r w:rsidR="008B1578" w:rsidRPr="009E76C9">
        <w:rPr>
          <w:sz w:val="24"/>
          <w:szCs w:val="24"/>
        </w:rPr>
        <w:t xml:space="preserve">plinkybės, jog tam tikra veikla apima dokumentų, turinčių tokį poveikį, kaip įrodomoji ir vykdomoji galia, rengimą, nepakanka, kad ši veikla būtų laikoma tiesiogiai ir konkrečiai susijusia su viešosios valdžios funkcijų vykdymu, kaip tai suprantama pagal SESV 51 straipsnio pirmą pastraipą (šiuo klausimu žr. Teisingumo Teismo 2011 m. gruodžio 1 d. sprendimo </w:t>
      </w:r>
      <w:r w:rsidR="008B1578" w:rsidRPr="009E76C9">
        <w:rPr>
          <w:i/>
          <w:iCs/>
          <w:sz w:val="24"/>
          <w:szCs w:val="24"/>
        </w:rPr>
        <w:t>Komisija prieš Nyderlandus</w:t>
      </w:r>
      <w:r w:rsidR="008B1578" w:rsidRPr="009E76C9">
        <w:rPr>
          <w:sz w:val="24"/>
          <w:szCs w:val="24"/>
        </w:rPr>
        <w:t xml:space="preserve">, C‑157/09, 73 p, ir jame nurodytą teismo praktiką, 2017 m. vasario 1 d. sprendimo </w:t>
      </w:r>
      <w:r w:rsidR="008B1578" w:rsidRPr="009E76C9">
        <w:rPr>
          <w:i/>
          <w:iCs/>
          <w:sz w:val="24"/>
          <w:szCs w:val="24"/>
        </w:rPr>
        <w:t>Europos Komisija prieš Vengriją</w:t>
      </w:r>
      <w:r w:rsidR="008B1578" w:rsidRPr="009E76C9">
        <w:rPr>
          <w:sz w:val="24"/>
          <w:szCs w:val="24"/>
        </w:rPr>
        <w:t>, C-392/15, 121 p.)</w:t>
      </w:r>
      <w:r w:rsidR="001B1133" w:rsidRPr="009E76C9">
        <w:rPr>
          <w:sz w:val="24"/>
          <w:szCs w:val="24"/>
        </w:rPr>
        <w:t>.</w:t>
      </w:r>
    </w:p>
    <w:p w14:paraId="2D2D3BB6" w14:textId="77777777" w:rsidR="00532D11" w:rsidRPr="009E76C9" w:rsidRDefault="00A525E3" w:rsidP="00532D11">
      <w:pPr>
        <w:pStyle w:val="Sraopastraipa"/>
        <w:numPr>
          <w:ilvl w:val="0"/>
          <w:numId w:val="24"/>
        </w:numPr>
        <w:tabs>
          <w:tab w:val="left" w:pos="709"/>
        </w:tabs>
        <w:ind w:left="709" w:firstLine="284"/>
        <w:jc w:val="both"/>
        <w:rPr>
          <w:sz w:val="24"/>
          <w:szCs w:val="24"/>
        </w:rPr>
      </w:pPr>
      <w:r w:rsidRPr="009E76C9">
        <w:rPr>
          <w:sz w:val="24"/>
          <w:szCs w:val="24"/>
        </w:rPr>
        <w:t>T</w:t>
      </w:r>
      <w:r w:rsidR="008B1578" w:rsidRPr="009E76C9">
        <w:rPr>
          <w:sz w:val="24"/>
          <w:szCs w:val="24"/>
        </w:rPr>
        <w:t xml:space="preserve">ai, kad tam tikrų aktų ar susitarimų autentiškumas būtinai privalo būti patvirtintas, nes kitaip jie negalioja, negali paneigti išvados, kad notarams priskirta autentiškumo tvirtinimo veikla pati savaime tiesiogiai ir konkrečiai nesusijusi su viešosios valdžios funkcijų vykdymu. Iš tiesų įprasta, kad nacionalinės teisės sistemose, laikantis jose nustatytos tvarkos, įvairių dokumentų galiojimas siejamas su formos reikalavimais arba net privalomomis tvirtinimo procedūromis. Notarų pareiga prieš patvirtinant dokumento ar susitarimo autentiškumą patikrinti, ar įvykdytos visos įstatymo reikalaujamos tokio akto atlikimo ar susitarimo sudarymo sąlygos ir, jei jos neįvykdytos, atsisakyti patvirtinti jo autentiškumą taip pat negali paneigti pirmiau nurodytos išvados </w:t>
      </w:r>
      <w:bookmarkStart w:id="94" w:name="_Hlk169609684"/>
      <w:r w:rsidR="008B1578" w:rsidRPr="009E76C9">
        <w:rPr>
          <w:sz w:val="24"/>
          <w:szCs w:val="24"/>
        </w:rPr>
        <w:t xml:space="preserve">(Teisingumo Teismo didžiosios kolegijos 2011 m. gegužės 24 d. sprendimo byloje </w:t>
      </w:r>
      <w:r w:rsidR="008B1578" w:rsidRPr="009E76C9">
        <w:rPr>
          <w:i/>
          <w:iCs/>
          <w:sz w:val="24"/>
          <w:szCs w:val="24"/>
        </w:rPr>
        <w:t>Europos Komisija prieš Prancūziją</w:t>
      </w:r>
      <w:r w:rsidR="008B1578" w:rsidRPr="009E76C9">
        <w:rPr>
          <w:sz w:val="24"/>
          <w:szCs w:val="24"/>
        </w:rPr>
        <w:t>, C-50/08, 83, 84 p.).</w:t>
      </w:r>
      <w:bookmarkEnd w:id="94"/>
      <w:r w:rsidR="008B1578" w:rsidRPr="009E76C9">
        <w:rPr>
          <w:sz w:val="24"/>
          <w:szCs w:val="24"/>
        </w:rPr>
        <w:t xml:space="preserve"> </w:t>
      </w:r>
    </w:p>
    <w:p w14:paraId="298A653F" w14:textId="0A0BF550" w:rsidR="005A11D1" w:rsidRPr="009E76C9" w:rsidRDefault="005A11D1" w:rsidP="00532D11">
      <w:pPr>
        <w:pStyle w:val="Sraopastraipa"/>
        <w:numPr>
          <w:ilvl w:val="0"/>
          <w:numId w:val="24"/>
        </w:numPr>
        <w:tabs>
          <w:tab w:val="left" w:pos="709"/>
        </w:tabs>
        <w:ind w:left="709" w:firstLine="284"/>
        <w:jc w:val="both"/>
        <w:rPr>
          <w:sz w:val="24"/>
          <w:szCs w:val="24"/>
        </w:rPr>
      </w:pPr>
      <w:r w:rsidRPr="009E76C9">
        <w:rPr>
          <w:sz w:val="24"/>
          <w:szCs w:val="24"/>
        </w:rPr>
        <w:t>Veikla, susijusi su tam tikrų aktų viešinimu, nereiškia, kad notaras tiesiogiai ir konkrečiai vykdo viešosios valdžios funkcijas (žr. pagal analogiją Teisingumo Teismo 2011 m. gegužės 24</w:t>
      </w:r>
      <w:r w:rsidR="001B43E0" w:rsidRPr="009E76C9">
        <w:rPr>
          <w:sz w:val="24"/>
          <w:szCs w:val="24"/>
        </w:rPr>
        <w:t> </w:t>
      </w:r>
      <w:r w:rsidRPr="009E76C9">
        <w:rPr>
          <w:sz w:val="24"/>
          <w:szCs w:val="24"/>
        </w:rPr>
        <w:t xml:space="preserve">d. sprendimo </w:t>
      </w:r>
      <w:r w:rsidRPr="009E76C9">
        <w:rPr>
          <w:i/>
          <w:iCs/>
          <w:sz w:val="24"/>
          <w:szCs w:val="24"/>
        </w:rPr>
        <w:t>Komisija prieš Liuksemburgą</w:t>
      </w:r>
      <w:r w:rsidRPr="009E76C9">
        <w:rPr>
          <w:sz w:val="24"/>
          <w:szCs w:val="24"/>
        </w:rPr>
        <w:t>, C‑51/08, EU:C:2011:336, 113 p., 2017 m. vasario 1 d. sprendimo byloje</w:t>
      </w:r>
      <w:r w:rsidRPr="009E76C9">
        <w:rPr>
          <w:i/>
          <w:iCs/>
          <w:sz w:val="24"/>
          <w:szCs w:val="24"/>
        </w:rPr>
        <w:t xml:space="preserve"> Komisija prieš Belgiją</w:t>
      </w:r>
      <w:r w:rsidRPr="009E76C9">
        <w:rPr>
          <w:sz w:val="24"/>
          <w:szCs w:val="24"/>
        </w:rPr>
        <w:t>, C-392/15, 136 p.)</w:t>
      </w:r>
      <w:r w:rsidR="001B1133" w:rsidRPr="009E76C9">
        <w:rPr>
          <w:sz w:val="24"/>
          <w:szCs w:val="24"/>
        </w:rPr>
        <w:t>.</w:t>
      </w:r>
    </w:p>
    <w:p w14:paraId="2D5BF182" w14:textId="480D78AF" w:rsidR="008B1578" w:rsidRPr="00532D11" w:rsidRDefault="00532D11" w:rsidP="00532D11">
      <w:pPr>
        <w:pStyle w:val="Sraopastraipa"/>
        <w:numPr>
          <w:ilvl w:val="0"/>
          <w:numId w:val="24"/>
        </w:numPr>
        <w:tabs>
          <w:tab w:val="left" w:pos="709"/>
        </w:tabs>
        <w:ind w:left="709" w:firstLine="284"/>
        <w:jc w:val="both"/>
        <w:rPr>
          <w:sz w:val="24"/>
          <w:szCs w:val="24"/>
        </w:rPr>
      </w:pPr>
      <w:r w:rsidRPr="009E76C9">
        <w:rPr>
          <w:sz w:val="24"/>
          <w:szCs w:val="24"/>
        </w:rPr>
        <w:t>V</w:t>
      </w:r>
      <w:r w:rsidR="008B1578" w:rsidRPr="009E76C9">
        <w:rPr>
          <w:sz w:val="24"/>
          <w:szCs w:val="24"/>
        </w:rPr>
        <w:t>ien to, jog veikla vykdoma siekiant bendrojo intereso, savaime dar nepakanka, kad ji būtų laikoma tiesioginiu ir konkrečiu dalyvavimu vykdant viešosios valdžios funkcijas. Iš tiesų neginčijama, kad įvairios reglamentuojamos profesinės veiklos vykdymas įvairiose nacionalinės teisės sistemose dažnai neatsiejamas nuo šią</w:t>
      </w:r>
      <w:r w:rsidR="008B1578" w:rsidRPr="00532D11">
        <w:rPr>
          <w:sz w:val="24"/>
          <w:szCs w:val="24"/>
        </w:rPr>
        <w:t xml:space="preserve"> veiklą vykdančio asmens pareigos siekti tokio tikslo, net jei ši veikla neapima tokių funkcijų vykdymo (Teisingumo Teismo didžiosios kolegijos 2011</w:t>
      </w:r>
      <w:r w:rsidR="00945A32">
        <w:rPr>
          <w:sz w:val="24"/>
          <w:szCs w:val="24"/>
        </w:rPr>
        <w:t> </w:t>
      </w:r>
      <w:r w:rsidR="008B1578" w:rsidRPr="00532D11">
        <w:rPr>
          <w:sz w:val="24"/>
          <w:szCs w:val="24"/>
        </w:rPr>
        <w:t xml:space="preserve">m. gegužės 24 d. sprendimo byloje </w:t>
      </w:r>
      <w:r w:rsidR="008B1578" w:rsidRPr="00532D11">
        <w:rPr>
          <w:i/>
          <w:iCs/>
          <w:sz w:val="24"/>
          <w:szCs w:val="24"/>
        </w:rPr>
        <w:t>Europos Komisija prieš Prancūziją</w:t>
      </w:r>
      <w:r w:rsidR="008B1578" w:rsidRPr="00532D11">
        <w:rPr>
          <w:sz w:val="24"/>
          <w:szCs w:val="24"/>
        </w:rPr>
        <w:t>, C-50/08 86 p.).</w:t>
      </w:r>
    </w:p>
    <w:p w14:paraId="1E4A958B" w14:textId="041E0D42" w:rsidR="00B34653" w:rsidRPr="00B34653" w:rsidRDefault="00983768" w:rsidP="00B34653">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Nors Teisingumo Teismas</w:t>
      </w:r>
      <w:r w:rsidR="00FD3C37">
        <w:rPr>
          <w:rFonts w:ascii="Times New Roman" w:eastAsia="Times New Roman" w:hAnsi="Times New Roman" w:cs="Times New Roman"/>
          <w:sz w:val="24"/>
          <w:szCs w:val="24"/>
          <w:lang w:val="lt-LT"/>
        </w:rPr>
        <w:t xml:space="preserve"> pats pateikė </w:t>
      </w:r>
      <w:r w:rsidR="00866AB4">
        <w:rPr>
          <w:rFonts w:ascii="Times New Roman" w:eastAsia="Times New Roman" w:hAnsi="Times New Roman" w:cs="Times New Roman"/>
          <w:sz w:val="24"/>
          <w:szCs w:val="24"/>
          <w:lang w:val="lt-LT"/>
        </w:rPr>
        <w:t xml:space="preserve">savo požiūrį į </w:t>
      </w:r>
      <w:r w:rsidR="00FD3C37">
        <w:rPr>
          <w:rFonts w:ascii="Times New Roman" w:eastAsia="Times New Roman" w:hAnsi="Times New Roman" w:cs="Times New Roman"/>
          <w:sz w:val="24"/>
          <w:szCs w:val="24"/>
          <w:lang w:val="lt-LT"/>
        </w:rPr>
        <w:t xml:space="preserve">Lietuvos notarų veiklos, </w:t>
      </w:r>
      <w:r w:rsidR="00265A01">
        <w:rPr>
          <w:rFonts w:ascii="Times New Roman" w:eastAsia="Times New Roman" w:hAnsi="Times New Roman" w:cs="Times New Roman"/>
          <w:sz w:val="24"/>
          <w:szCs w:val="24"/>
          <w:lang w:val="lt-LT"/>
        </w:rPr>
        <w:t xml:space="preserve">susijusios su Išaiškinimais, vertinimą (žr. </w:t>
      </w:r>
      <w:r w:rsidR="00866AB4">
        <w:rPr>
          <w:rFonts w:ascii="Times New Roman" w:eastAsia="Times New Roman" w:hAnsi="Times New Roman" w:cs="Times New Roman"/>
          <w:sz w:val="24"/>
          <w:szCs w:val="24"/>
          <w:lang w:val="lt-LT"/>
        </w:rPr>
        <w:t xml:space="preserve">Sprendimo </w:t>
      </w:r>
      <w:r w:rsidR="00866AB4" w:rsidRPr="00866AB4">
        <w:rPr>
          <w:rFonts w:ascii="Times New Roman" w:eastAsia="Times New Roman" w:hAnsi="Times New Roman" w:cs="Times New Roman"/>
          <w:i/>
          <w:iCs/>
          <w:sz w:val="24"/>
          <w:szCs w:val="24"/>
          <w:lang w:val="lt-LT"/>
        </w:rPr>
        <w:t>Notarų rūmai</w:t>
      </w:r>
      <w:r w:rsidR="00866AB4">
        <w:rPr>
          <w:rFonts w:ascii="Times New Roman" w:eastAsia="Times New Roman" w:hAnsi="Times New Roman" w:cs="Times New Roman"/>
          <w:sz w:val="24"/>
          <w:szCs w:val="24"/>
          <w:lang w:val="lt-LT"/>
        </w:rPr>
        <w:t xml:space="preserve"> </w:t>
      </w:r>
      <w:r w:rsidR="007406E7">
        <w:rPr>
          <w:rFonts w:ascii="Times New Roman" w:eastAsia="Times New Roman" w:hAnsi="Times New Roman" w:cs="Times New Roman"/>
          <w:sz w:val="24"/>
          <w:szCs w:val="24"/>
          <w:lang w:val="lt-LT"/>
        </w:rPr>
        <w:t>63</w:t>
      </w:r>
      <w:r w:rsidR="009C2853">
        <w:rPr>
          <w:rFonts w:ascii="Times New Roman" w:eastAsia="Times New Roman" w:hAnsi="Times New Roman" w:cs="Times New Roman"/>
          <w:sz w:val="24"/>
          <w:szCs w:val="24"/>
          <w:lang w:val="lt-LT"/>
        </w:rPr>
        <w:t>–67</w:t>
      </w:r>
      <w:r w:rsidR="00866AB4">
        <w:rPr>
          <w:rFonts w:ascii="Times New Roman" w:eastAsia="Times New Roman" w:hAnsi="Times New Roman" w:cs="Times New Roman"/>
          <w:sz w:val="24"/>
          <w:szCs w:val="24"/>
          <w:lang w:val="lt-LT"/>
        </w:rPr>
        <w:t xml:space="preserve"> p</w:t>
      </w:r>
      <w:r w:rsidR="009C2853">
        <w:rPr>
          <w:rFonts w:ascii="Times New Roman" w:eastAsia="Times New Roman" w:hAnsi="Times New Roman" w:cs="Times New Roman"/>
          <w:sz w:val="24"/>
          <w:szCs w:val="24"/>
          <w:lang w:val="lt-LT"/>
        </w:rPr>
        <w:t>.</w:t>
      </w:r>
      <w:r w:rsidR="00265A01">
        <w:rPr>
          <w:rFonts w:ascii="Times New Roman" w:eastAsia="Times New Roman" w:hAnsi="Times New Roman" w:cs="Times New Roman"/>
          <w:sz w:val="24"/>
          <w:szCs w:val="24"/>
          <w:lang w:val="lt-LT"/>
        </w:rPr>
        <w:t>)</w:t>
      </w:r>
      <w:r w:rsidR="00866AB4">
        <w:rPr>
          <w:rFonts w:ascii="Times New Roman" w:eastAsia="Times New Roman" w:hAnsi="Times New Roman" w:cs="Times New Roman"/>
          <w:sz w:val="24"/>
          <w:szCs w:val="24"/>
          <w:lang w:val="lt-LT"/>
        </w:rPr>
        <w:t xml:space="preserve">, </w:t>
      </w:r>
      <w:r w:rsidR="0061411D">
        <w:rPr>
          <w:rFonts w:ascii="Times New Roman" w:eastAsia="Times New Roman" w:hAnsi="Times New Roman" w:cs="Times New Roman"/>
          <w:sz w:val="24"/>
          <w:szCs w:val="24"/>
          <w:lang w:val="lt-LT"/>
        </w:rPr>
        <w:t xml:space="preserve">nuspręsti, ar pagrindinėje byloje nagrinėjami veiksmai patenka į viešosios valdžios įgaliojimų vykdymo </w:t>
      </w:r>
      <w:r w:rsidR="00CE510B">
        <w:rPr>
          <w:rFonts w:ascii="Times New Roman" w:eastAsia="Times New Roman" w:hAnsi="Times New Roman" w:cs="Times New Roman"/>
          <w:sz w:val="24"/>
          <w:szCs w:val="24"/>
          <w:lang w:val="lt-LT"/>
        </w:rPr>
        <w:t>apimtį, pareiga tenka išplėstinei teisėjų kolegijai</w:t>
      </w:r>
      <w:r w:rsidR="00265A01">
        <w:rPr>
          <w:rFonts w:ascii="Times New Roman" w:eastAsia="Times New Roman" w:hAnsi="Times New Roman" w:cs="Times New Roman"/>
          <w:sz w:val="24"/>
          <w:szCs w:val="24"/>
          <w:lang w:val="lt-LT"/>
        </w:rPr>
        <w:t xml:space="preserve">. </w:t>
      </w:r>
      <w:r w:rsidR="009645C3">
        <w:rPr>
          <w:rFonts w:ascii="Times New Roman" w:eastAsia="Times New Roman" w:hAnsi="Times New Roman" w:cs="Times New Roman"/>
          <w:sz w:val="24"/>
          <w:szCs w:val="24"/>
          <w:lang w:val="lt-LT"/>
        </w:rPr>
        <w:t xml:space="preserve">Sprendžiant dėl </w:t>
      </w:r>
      <w:r w:rsidR="003331B5">
        <w:rPr>
          <w:rFonts w:ascii="Times New Roman" w:eastAsia="Times New Roman" w:hAnsi="Times New Roman" w:cs="Times New Roman"/>
          <w:sz w:val="24"/>
          <w:szCs w:val="24"/>
          <w:lang w:val="lt-LT"/>
        </w:rPr>
        <w:t xml:space="preserve">Sprendimo </w:t>
      </w:r>
      <w:r w:rsidR="003331B5" w:rsidRPr="00553B80">
        <w:rPr>
          <w:rFonts w:ascii="Times New Roman" w:eastAsia="Times New Roman" w:hAnsi="Times New Roman" w:cs="Times New Roman"/>
          <w:i/>
          <w:iCs/>
          <w:sz w:val="24"/>
          <w:szCs w:val="24"/>
          <w:lang w:val="lt-LT"/>
        </w:rPr>
        <w:t>Notarų rūmai</w:t>
      </w:r>
      <w:r w:rsidR="003331B5">
        <w:rPr>
          <w:rFonts w:ascii="Times New Roman" w:eastAsia="Times New Roman" w:hAnsi="Times New Roman" w:cs="Times New Roman"/>
          <w:sz w:val="24"/>
          <w:szCs w:val="24"/>
          <w:lang w:val="lt-LT"/>
        </w:rPr>
        <w:t xml:space="preserve"> 64 punkte pateikt</w:t>
      </w:r>
      <w:r w:rsidR="00037E6A">
        <w:rPr>
          <w:rFonts w:ascii="Times New Roman" w:eastAsia="Times New Roman" w:hAnsi="Times New Roman" w:cs="Times New Roman"/>
          <w:sz w:val="24"/>
          <w:szCs w:val="24"/>
          <w:lang w:val="lt-LT"/>
        </w:rPr>
        <w:t>ų</w:t>
      </w:r>
      <w:r w:rsidR="003331B5">
        <w:rPr>
          <w:rFonts w:ascii="Times New Roman" w:eastAsia="Times New Roman" w:hAnsi="Times New Roman" w:cs="Times New Roman"/>
          <w:sz w:val="24"/>
          <w:szCs w:val="24"/>
          <w:lang w:val="lt-LT"/>
        </w:rPr>
        <w:t xml:space="preserve"> Teisingumo Teismo </w:t>
      </w:r>
      <w:r w:rsidR="00037E6A">
        <w:rPr>
          <w:rFonts w:ascii="Times New Roman" w:eastAsia="Times New Roman" w:hAnsi="Times New Roman" w:cs="Times New Roman"/>
          <w:sz w:val="24"/>
          <w:szCs w:val="24"/>
          <w:lang w:val="lt-LT"/>
        </w:rPr>
        <w:lastRenderedPageBreak/>
        <w:t>išaiškinimų</w:t>
      </w:r>
      <w:r w:rsidR="00963EC0">
        <w:rPr>
          <w:rFonts w:ascii="Times New Roman" w:eastAsia="Times New Roman" w:hAnsi="Times New Roman" w:cs="Times New Roman"/>
          <w:sz w:val="24"/>
          <w:szCs w:val="24"/>
          <w:lang w:val="lt-LT"/>
        </w:rPr>
        <w:t xml:space="preserve"> aktualumo ir reikšmės</w:t>
      </w:r>
      <w:r w:rsidR="001B372C">
        <w:rPr>
          <w:rFonts w:ascii="Times New Roman" w:eastAsia="Times New Roman" w:hAnsi="Times New Roman" w:cs="Times New Roman"/>
          <w:sz w:val="24"/>
          <w:szCs w:val="24"/>
          <w:lang w:val="lt-LT"/>
        </w:rPr>
        <w:t xml:space="preserve"> </w:t>
      </w:r>
      <w:r w:rsidR="00BD10AE">
        <w:rPr>
          <w:rFonts w:ascii="Times New Roman" w:eastAsia="Times New Roman" w:hAnsi="Times New Roman" w:cs="Times New Roman"/>
          <w:sz w:val="24"/>
          <w:szCs w:val="24"/>
          <w:lang w:val="lt-LT"/>
        </w:rPr>
        <w:t xml:space="preserve">pagrindinėje byloje </w:t>
      </w:r>
      <w:r w:rsidR="00547BAC">
        <w:rPr>
          <w:rFonts w:ascii="Times New Roman" w:eastAsia="Times New Roman" w:hAnsi="Times New Roman" w:cs="Times New Roman"/>
          <w:sz w:val="24"/>
          <w:szCs w:val="24"/>
          <w:lang w:val="lt-LT"/>
        </w:rPr>
        <w:t>analizuojamam aspektui</w:t>
      </w:r>
      <w:r w:rsidR="00D34344">
        <w:rPr>
          <w:rFonts w:ascii="Times New Roman" w:eastAsia="Times New Roman" w:hAnsi="Times New Roman" w:cs="Times New Roman"/>
          <w:sz w:val="24"/>
          <w:szCs w:val="24"/>
          <w:lang w:val="lt-LT"/>
        </w:rPr>
        <w:t>, viena vertus, n</w:t>
      </w:r>
      <w:r w:rsidR="009371CF">
        <w:rPr>
          <w:rFonts w:ascii="Times New Roman" w:eastAsia="Times New Roman" w:hAnsi="Times New Roman" w:cs="Times New Roman"/>
          <w:sz w:val="24"/>
          <w:szCs w:val="24"/>
          <w:lang w:val="lt-LT"/>
        </w:rPr>
        <w:t>eginčytina, kad</w:t>
      </w:r>
      <w:r w:rsidR="001D6655">
        <w:rPr>
          <w:rFonts w:ascii="Times New Roman" w:eastAsia="Times New Roman" w:hAnsi="Times New Roman" w:cs="Times New Roman"/>
          <w:sz w:val="24"/>
          <w:szCs w:val="24"/>
          <w:lang w:val="lt-LT"/>
        </w:rPr>
        <w:t xml:space="preserve"> </w:t>
      </w:r>
      <w:r w:rsidR="00360BFF">
        <w:rPr>
          <w:rFonts w:ascii="Times New Roman" w:eastAsia="Times New Roman" w:hAnsi="Times New Roman" w:cs="Times New Roman"/>
          <w:sz w:val="24"/>
          <w:szCs w:val="24"/>
          <w:lang w:val="lt-LT"/>
        </w:rPr>
        <w:t xml:space="preserve">minėta Teisingumo Teismo jurisprudencija iliustruoja notarinės veiklos </w:t>
      </w:r>
      <w:r w:rsidR="00360BFF" w:rsidRPr="00B34653">
        <w:rPr>
          <w:rFonts w:ascii="Times New Roman" w:eastAsia="Times New Roman" w:hAnsi="Times New Roman" w:cs="Times New Roman"/>
          <w:sz w:val="24"/>
          <w:szCs w:val="24"/>
          <w:lang w:val="lt-LT"/>
        </w:rPr>
        <w:t>vertinim</w:t>
      </w:r>
      <w:r w:rsidR="00360BFF">
        <w:rPr>
          <w:rFonts w:ascii="Times New Roman" w:eastAsia="Times New Roman" w:hAnsi="Times New Roman" w:cs="Times New Roman"/>
          <w:sz w:val="24"/>
          <w:szCs w:val="24"/>
          <w:lang w:val="lt-LT"/>
        </w:rPr>
        <w:t>ą</w:t>
      </w:r>
      <w:r w:rsidR="00360BFF" w:rsidRPr="00B34653">
        <w:rPr>
          <w:rFonts w:ascii="Times New Roman" w:eastAsia="Times New Roman" w:hAnsi="Times New Roman" w:cs="Times New Roman"/>
          <w:sz w:val="24"/>
          <w:szCs w:val="24"/>
          <w:lang w:val="lt-LT"/>
        </w:rPr>
        <w:t xml:space="preserve"> kit</w:t>
      </w:r>
      <w:r w:rsidR="00360BFF">
        <w:rPr>
          <w:rFonts w:ascii="Times New Roman" w:eastAsia="Times New Roman" w:hAnsi="Times New Roman" w:cs="Times New Roman"/>
          <w:sz w:val="24"/>
          <w:szCs w:val="24"/>
          <w:lang w:val="lt-LT"/>
        </w:rPr>
        <w:t>ose</w:t>
      </w:r>
      <w:r w:rsidR="00360BFF" w:rsidRPr="00B34653">
        <w:rPr>
          <w:rFonts w:ascii="Times New Roman" w:eastAsia="Times New Roman" w:hAnsi="Times New Roman" w:cs="Times New Roman"/>
          <w:sz w:val="24"/>
          <w:szCs w:val="24"/>
          <w:lang w:val="lt-LT"/>
        </w:rPr>
        <w:t xml:space="preserve"> </w:t>
      </w:r>
      <w:r w:rsidR="00360BFF">
        <w:rPr>
          <w:rFonts w:ascii="Times New Roman" w:eastAsia="Times New Roman" w:hAnsi="Times New Roman" w:cs="Times New Roman"/>
          <w:sz w:val="24"/>
          <w:szCs w:val="24"/>
          <w:lang w:val="lt-LT"/>
        </w:rPr>
        <w:t xml:space="preserve">valstybėse narėse galiojančio </w:t>
      </w:r>
      <w:r w:rsidR="00360BFF" w:rsidRPr="00B34653">
        <w:rPr>
          <w:rFonts w:ascii="Times New Roman" w:eastAsia="Times New Roman" w:hAnsi="Times New Roman" w:cs="Times New Roman"/>
          <w:sz w:val="24"/>
          <w:szCs w:val="24"/>
          <w:lang w:val="lt-LT"/>
        </w:rPr>
        <w:t>teis</w:t>
      </w:r>
      <w:r w:rsidR="00360BFF">
        <w:rPr>
          <w:rFonts w:ascii="Times New Roman" w:eastAsia="Times New Roman" w:hAnsi="Times New Roman" w:cs="Times New Roman"/>
          <w:sz w:val="24"/>
          <w:szCs w:val="24"/>
          <w:lang w:val="lt-LT"/>
        </w:rPr>
        <w:t xml:space="preserve">inio reguliavimo kontekste </w:t>
      </w:r>
      <w:r w:rsidR="00360BFF" w:rsidRPr="00B34653">
        <w:rPr>
          <w:rFonts w:ascii="Times New Roman" w:eastAsia="Times New Roman" w:hAnsi="Times New Roman" w:cs="Times New Roman"/>
          <w:sz w:val="24"/>
          <w:szCs w:val="24"/>
          <w:lang w:val="lt-LT"/>
        </w:rPr>
        <w:t xml:space="preserve">ir </w:t>
      </w:r>
      <w:r w:rsidR="00360BFF">
        <w:rPr>
          <w:rFonts w:ascii="Times New Roman" w:eastAsia="Times New Roman" w:hAnsi="Times New Roman" w:cs="Times New Roman"/>
          <w:sz w:val="24"/>
          <w:szCs w:val="24"/>
          <w:lang w:val="lt-LT"/>
        </w:rPr>
        <w:t>nagrinėjant kitokio pobūdžio teisinius ginčus</w:t>
      </w:r>
      <w:r w:rsidR="007726C4">
        <w:rPr>
          <w:rFonts w:ascii="Times New Roman" w:eastAsia="Times New Roman" w:hAnsi="Times New Roman" w:cs="Times New Roman"/>
          <w:sz w:val="24"/>
          <w:szCs w:val="24"/>
          <w:lang w:val="lt-LT"/>
        </w:rPr>
        <w:t xml:space="preserve">. </w:t>
      </w:r>
      <w:r w:rsidR="00A60CC2">
        <w:rPr>
          <w:rFonts w:ascii="Times New Roman" w:eastAsia="Times New Roman" w:hAnsi="Times New Roman" w:cs="Times New Roman"/>
          <w:sz w:val="24"/>
          <w:szCs w:val="24"/>
          <w:lang w:val="lt-LT"/>
        </w:rPr>
        <w:t xml:space="preserve">Kita vertus, </w:t>
      </w:r>
      <w:r w:rsidR="00C875F3">
        <w:rPr>
          <w:rFonts w:ascii="Times New Roman" w:eastAsia="Times New Roman" w:hAnsi="Times New Roman" w:cs="Times New Roman"/>
          <w:sz w:val="24"/>
          <w:szCs w:val="24"/>
          <w:lang w:val="lt-LT"/>
        </w:rPr>
        <w:t>išplėstinė teisėjų kolegij</w:t>
      </w:r>
      <w:r w:rsidR="00037E6A">
        <w:rPr>
          <w:rFonts w:ascii="Times New Roman" w:eastAsia="Times New Roman" w:hAnsi="Times New Roman" w:cs="Times New Roman"/>
          <w:sz w:val="24"/>
          <w:szCs w:val="24"/>
          <w:lang w:val="lt-LT"/>
        </w:rPr>
        <w:t xml:space="preserve">a laikosi požiūrio, kad </w:t>
      </w:r>
      <w:r w:rsidR="007172E7">
        <w:rPr>
          <w:rFonts w:ascii="Times New Roman" w:eastAsia="Times New Roman" w:hAnsi="Times New Roman" w:cs="Times New Roman"/>
          <w:sz w:val="24"/>
          <w:szCs w:val="24"/>
          <w:lang w:val="lt-LT"/>
        </w:rPr>
        <w:t xml:space="preserve">minėtas </w:t>
      </w:r>
      <w:r w:rsidR="003153F7">
        <w:rPr>
          <w:rFonts w:ascii="Times New Roman" w:eastAsia="Times New Roman" w:hAnsi="Times New Roman" w:cs="Times New Roman"/>
          <w:sz w:val="24"/>
          <w:szCs w:val="24"/>
          <w:lang w:val="lt-LT"/>
        </w:rPr>
        <w:t>referavi</w:t>
      </w:r>
      <w:r w:rsidR="00C84BD0">
        <w:rPr>
          <w:rFonts w:ascii="Times New Roman" w:eastAsia="Times New Roman" w:hAnsi="Times New Roman" w:cs="Times New Roman"/>
          <w:sz w:val="24"/>
          <w:szCs w:val="24"/>
          <w:lang w:val="lt-LT"/>
        </w:rPr>
        <w:t>mas į</w:t>
      </w:r>
      <w:r w:rsidR="00492413">
        <w:rPr>
          <w:rFonts w:ascii="Times New Roman" w:eastAsia="Times New Roman" w:hAnsi="Times New Roman" w:cs="Times New Roman"/>
          <w:sz w:val="24"/>
          <w:szCs w:val="24"/>
          <w:lang w:val="lt-LT"/>
        </w:rPr>
        <w:t xml:space="preserve"> </w:t>
      </w:r>
      <w:r w:rsidR="00C875F3">
        <w:rPr>
          <w:rFonts w:ascii="Times New Roman" w:eastAsia="Times New Roman" w:hAnsi="Times New Roman" w:cs="Times New Roman"/>
          <w:sz w:val="24"/>
          <w:szCs w:val="24"/>
          <w:lang w:val="lt-LT"/>
        </w:rPr>
        <w:t>Teisingumo Teismo jurisprudencij</w:t>
      </w:r>
      <w:r w:rsidR="00C84BD0">
        <w:rPr>
          <w:rFonts w:ascii="Times New Roman" w:eastAsia="Times New Roman" w:hAnsi="Times New Roman" w:cs="Times New Roman"/>
          <w:sz w:val="24"/>
          <w:szCs w:val="24"/>
          <w:lang w:val="lt-LT"/>
        </w:rPr>
        <w:t>ą</w:t>
      </w:r>
      <w:r w:rsidR="00C875F3">
        <w:rPr>
          <w:rFonts w:ascii="Times New Roman" w:eastAsia="Times New Roman" w:hAnsi="Times New Roman" w:cs="Times New Roman"/>
          <w:sz w:val="24"/>
          <w:szCs w:val="24"/>
          <w:lang w:val="lt-LT"/>
        </w:rPr>
        <w:t xml:space="preserve"> nėra savitikslis</w:t>
      </w:r>
      <w:r w:rsidR="00032230">
        <w:rPr>
          <w:rFonts w:ascii="Times New Roman" w:eastAsia="Times New Roman" w:hAnsi="Times New Roman" w:cs="Times New Roman"/>
          <w:sz w:val="24"/>
          <w:szCs w:val="24"/>
          <w:lang w:val="lt-LT"/>
        </w:rPr>
        <w:t xml:space="preserve">, o </w:t>
      </w:r>
      <w:r w:rsidR="006C4533">
        <w:rPr>
          <w:rFonts w:ascii="Times New Roman" w:eastAsia="Times New Roman" w:hAnsi="Times New Roman" w:cs="Times New Roman"/>
          <w:sz w:val="24"/>
          <w:szCs w:val="24"/>
          <w:lang w:val="lt-LT"/>
        </w:rPr>
        <w:t xml:space="preserve">tam tikru aspektu </w:t>
      </w:r>
      <w:r w:rsidR="008D1F96">
        <w:rPr>
          <w:rFonts w:ascii="Times New Roman" w:eastAsia="Times New Roman" w:hAnsi="Times New Roman" w:cs="Times New Roman"/>
          <w:sz w:val="24"/>
          <w:szCs w:val="24"/>
          <w:lang w:val="lt-LT"/>
        </w:rPr>
        <w:t xml:space="preserve">atspindi </w:t>
      </w:r>
      <w:r w:rsidR="00033AEC" w:rsidRPr="00BD5986">
        <w:rPr>
          <w:rFonts w:ascii="Times New Roman" w:eastAsia="Times New Roman" w:hAnsi="Times New Roman" w:cs="Times New Roman"/>
          <w:sz w:val="24"/>
          <w:szCs w:val="24"/>
          <w:lang w:val="lt-LT"/>
        </w:rPr>
        <w:t>viešosios valdžios įgaliojimų vykdym</w:t>
      </w:r>
      <w:r w:rsidR="00816EC1">
        <w:rPr>
          <w:rFonts w:ascii="Times New Roman" w:eastAsia="Times New Roman" w:hAnsi="Times New Roman" w:cs="Times New Roman"/>
          <w:sz w:val="24"/>
          <w:szCs w:val="24"/>
          <w:lang w:val="lt-LT"/>
        </w:rPr>
        <w:t>o</w:t>
      </w:r>
      <w:r w:rsidR="00740C8E">
        <w:rPr>
          <w:rFonts w:ascii="Times New Roman" w:eastAsia="Times New Roman" w:hAnsi="Times New Roman" w:cs="Times New Roman"/>
          <w:sz w:val="24"/>
          <w:szCs w:val="24"/>
          <w:lang w:val="lt-LT"/>
        </w:rPr>
        <w:t xml:space="preserve"> samprat</w:t>
      </w:r>
      <w:r w:rsidR="00CD53B1">
        <w:rPr>
          <w:rFonts w:ascii="Times New Roman" w:eastAsia="Times New Roman" w:hAnsi="Times New Roman" w:cs="Times New Roman"/>
          <w:sz w:val="24"/>
          <w:szCs w:val="24"/>
          <w:lang w:val="lt-LT"/>
        </w:rPr>
        <w:t>ą</w:t>
      </w:r>
      <w:r w:rsidR="00C847EB">
        <w:rPr>
          <w:rFonts w:ascii="Times New Roman" w:eastAsia="Times New Roman" w:hAnsi="Times New Roman" w:cs="Times New Roman"/>
          <w:sz w:val="24"/>
          <w:szCs w:val="24"/>
          <w:lang w:val="lt-LT"/>
        </w:rPr>
        <w:t xml:space="preserve"> </w:t>
      </w:r>
      <w:r w:rsidR="00B00179">
        <w:rPr>
          <w:rFonts w:ascii="Times New Roman" w:eastAsia="Times New Roman" w:hAnsi="Times New Roman" w:cs="Times New Roman"/>
          <w:sz w:val="24"/>
          <w:szCs w:val="24"/>
          <w:lang w:val="lt-LT"/>
        </w:rPr>
        <w:t xml:space="preserve">bendroje </w:t>
      </w:r>
      <w:r w:rsidR="00C847EB">
        <w:rPr>
          <w:rFonts w:ascii="Times New Roman" w:eastAsia="Times New Roman" w:hAnsi="Times New Roman" w:cs="Times New Roman"/>
          <w:sz w:val="24"/>
          <w:szCs w:val="24"/>
          <w:lang w:val="lt-LT"/>
        </w:rPr>
        <w:t>ES teisės perspektyvoje</w:t>
      </w:r>
      <w:r w:rsidR="002418B0">
        <w:rPr>
          <w:rFonts w:ascii="Times New Roman" w:eastAsia="Times New Roman" w:hAnsi="Times New Roman" w:cs="Times New Roman"/>
          <w:sz w:val="24"/>
          <w:szCs w:val="24"/>
          <w:lang w:val="lt-LT"/>
        </w:rPr>
        <w:t>,</w:t>
      </w:r>
      <w:r w:rsidR="001F1F97">
        <w:rPr>
          <w:rFonts w:ascii="Times New Roman" w:eastAsia="Times New Roman" w:hAnsi="Times New Roman" w:cs="Times New Roman"/>
          <w:sz w:val="24"/>
          <w:szCs w:val="24"/>
          <w:lang w:val="lt-LT"/>
        </w:rPr>
        <w:t xml:space="preserve"> </w:t>
      </w:r>
      <w:r w:rsidR="007D24AC">
        <w:rPr>
          <w:rFonts w:ascii="Times New Roman" w:eastAsia="Times New Roman" w:hAnsi="Times New Roman" w:cs="Times New Roman"/>
          <w:sz w:val="24"/>
          <w:szCs w:val="24"/>
          <w:lang w:val="lt-LT"/>
        </w:rPr>
        <w:t xml:space="preserve">į </w:t>
      </w:r>
      <w:r w:rsidR="005A2B6C">
        <w:rPr>
          <w:rFonts w:ascii="Times New Roman" w:eastAsia="Times New Roman" w:hAnsi="Times New Roman" w:cs="Times New Roman"/>
          <w:sz w:val="24"/>
          <w:szCs w:val="24"/>
          <w:lang w:val="lt-LT"/>
        </w:rPr>
        <w:t>kuri</w:t>
      </w:r>
      <w:r w:rsidR="00B00179">
        <w:rPr>
          <w:rFonts w:ascii="Times New Roman" w:eastAsia="Times New Roman" w:hAnsi="Times New Roman" w:cs="Times New Roman"/>
          <w:sz w:val="24"/>
          <w:szCs w:val="24"/>
          <w:lang w:val="lt-LT"/>
        </w:rPr>
        <w:t>ą</w:t>
      </w:r>
      <w:r w:rsidR="00C066E2">
        <w:rPr>
          <w:rFonts w:ascii="Times New Roman" w:eastAsia="Times New Roman" w:hAnsi="Times New Roman" w:cs="Times New Roman"/>
          <w:sz w:val="24"/>
          <w:szCs w:val="24"/>
          <w:lang w:val="lt-LT"/>
        </w:rPr>
        <w:t xml:space="preserve"> turėtų būti</w:t>
      </w:r>
      <w:r w:rsidR="00D36D57">
        <w:rPr>
          <w:rFonts w:ascii="Times New Roman" w:eastAsia="Times New Roman" w:hAnsi="Times New Roman" w:cs="Times New Roman"/>
          <w:sz w:val="24"/>
          <w:szCs w:val="24"/>
          <w:lang w:val="lt-LT"/>
        </w:rPr>
        <w:t xml:space="preserve"> </w:t>
      </w:r>
      <w:r w:rsidR="007D24AC">
        <w:rPr>
          <w:rFonts w:ascii="Times New Roman" w:eastAsia="Times New Roman" w:hAnsi="Times New Roman" w:cs="Times New Roman"/>
          <w:sz w:val="24"/>
          <w:szCs w:val="24"/>
          <w:lang w:val="lt-LT"/>
        </w:rPr>
        <w:t xml:space="preserve">atsižvelgiama </w:t>
      </w:r>
      <w:r w:rsidR="006D221B">
        <w:rPr>
          <w:rFonts w:ascii="Times New Roman" w:eastAsia="Times New Roman" w:hAnsi="Times New Roman" w:cs="Times New Roman"/>
          <w:sz w:val="24"/>
          <w:szCs w:val="24"/>
          <w:lang w:val="lt-LT"/>
        </w:rPr>
        <w:t xml:space="preserve">nagrinėjant </w:t>
      </w:r>
      <w:r w:rsidR="00D60066">
        <w:rPr>
          <w:rFonts w:ascii="Times New Roman" w:eastAsia="Times New Roman" w:hAnsi="Times New Roman" w:cs="Times New Roman"/>
          <w:sz w:val="24"/>
          <w:szCs w:val="24"/>
          <w:lang w:val="lt-LT"/>
        </w:rPr>
        <w:t>su šiuo kausimu susijus</w:t>
      </w:r>
      <w:r w:rsidR="00C60931">
        <w:rPr>
          <w:rFonts w:ascii="Times New Roman" w:eastAsia="Times New Roman" w:hAnsi="Times New Roman" w:cs="Times New Roman"/>
          <w:sz w:val="24"/>
          <w:szCs w:val="24"/>
          <w:lang w:val="lt-LT"/>
        </w:rPr>
        <w:t>į</w:t>
      </w:r>
      <w:r w:rsidR="00D60066">
        <w:rPr>
          <w:rFonts w:ascii="Times New Roman" w:eastAsia="Times New Roman" w:hAnsi="Times New Roman" w:cs="Times New Roman"/>
          <w:sz w:val="24"/>
          <w:szCs w:val="24"/>
          <w:lang w:val="lt-LT"/>
        </w:rPr>
        <w:t xml:space="preserve"> </w:t>
      </w:r>
      <w:r w:rsidR="00EC29A9">
        <w:rPr>
          <w:rFonts w:ascii="Times New Roman" w:eastAsia="Times New Roman" w:hAnsi="Times New Roman" w:cs="Times New Roman"/>
          <w:sz w:val="24"/>
          <w:szCs w:val="24"/>
          <w:lang w:val="lt-LT"/>
        </w:rPr>
        <w:t>bet kuri</w:t>
      </w:r>
      <w:r w:rsidR="00C60931">
        <w:rPr>
          <w:rFonts w:ascii="Times New Roman" w:eastAsia="Times New Roman" w:hAnsi="Times New Roman" w:cs="Times New Roman"/>
          <w:sz w:val="24"/>
          <w:szCs w:val="24"/>
          <w:lang w:val="lt-LT"/>
        </w:rPr>
        <w:t>os teisinės kategorijos ginčą</w:t>
      </w:r>
      <w:r w:rsidR="00F5760C">
        <w:rPr>
          <w:rFonts w:ascii="Times New Roman" w:eastAsia="Times New Roman" w:hAnsi="Times New Roman" w:cs="Times New Roman"/>
          <w:sz w:val="24"/>
          <w:szCs w:val="24"/>
          <w:lang w:val="lt-LT"/>
        </w:rPr>
        <w:t>.</w:t>
      </w:r>
      <w:r w:rsidR="009A52FB">
        <w:rPr>
          <w:rFonts w:ascii="Times New Roman" w:eastAsia="Times New Roman" w:hAnsi="Times New Roman" w:cs="Times New Roman"/>
          <w:sz w:val="24"/>
          <w:szCs w:val="24"/>
          <w:lang w:val="lt-LT"/>
        </w:rPr>
        <w:t xml:space="preserve"> Kitaip tariant, </w:t>
      </w:r>
      <w:r w:rsidR="00816F68">
        <w:rPr>
          <w:rFonts w:ascii="Times New Roman" w:eastAsia="Times New Roman" w:hAnsi="Times New Roman" w:cs="Times New Roman"/>
          <w:sz w:val="24"/>
          <w:szCs w:val="24"/>
          <w:lang w:val="lt-LT"/>
        </w:rPr>
        <w:t>tai, kad atitink</w:t>
      </w:r>
      <w:r w:rsidR="008B768C">
        <w:rPr>
          <w:rFonts w:ascii="Times New Roman" w:eastAsia="Times New Roman" w:hAnsi="Times New Roman" w:cs="Times New Roman"/>
          <w:sz w:val="24"/>
          <w:szCs w:val="24"/>
          <w:lang w:val="lt-LT"/>
        </w:rPr>
        <w:t xml:space="preserve">ama Teisingumo Teismo jurisprudencija buvo išplėtota </w:t>
      </w:r>
      <w:r w:rsidR="005C7263">
        <w:rPr>
          <w:rFonts w:ascii="Times New Roman" w:eastAsia="Times New Roman" w:hAnsi="Times New Roman" w:cs="Times New Roman"/>
          <w:sz w:val="24"/>
          <w:szCs w:val="24"/>
          <w:lang w:val="lt-LT"/>
        </w:rPr>
        <w:t>netapačiomis</w:t>
      </w:r>
      <w:r w:rsidR="00C94D55">
        <w:rPr>
          <w:rFonts w:ascii="Times New Roman" w:eastAsia="Times New Roman" w:hAnsi="Times New Roman" w:cs="Times New Roman"/>
          <w:sz w:val="24"/>
          <w:szCs w:val="24"/>
          <w:lang w:val="lt-LT"/>
        </w:rPr>
        <w:t>, kaip pagrindinės</w:t>
      </w:r>
      <w:r w:rsidR="005C7263">
        <w:rPr>
          <w:rFonts w:ascii="Times New Roman" w:eastAsia="Times New Roman" w:hAnsi="Times New Roman" w:cs="Times New Roman"/>
          <w:sz w:val="24"/>
          <w:szCs w:val="24"/>
          <w:lang w:val="lt-LT"/>
        </w:rPr>
        <w:t xml:space="preserve"> nagrinėjam</w:t>
      </w:r>
      <w:r w:rsidR="00C94D55">
        <w:rPr>
          <w:rFonts w:ascii="Times New Roman" w:eastAsia="Times New Roman" w:hAnsi="Times New Roman" w:cs="Times New Roman"/>
          <w:sz w:val="24"/>
          <w:szCs w:val="24"/>
          <w:lang w:val="lt-LT"/>
        </w:rPr>
        <w:t>os bylos</w:t>
      </w:r>
      <w:r w:rsidR="005C7263">
        <w:rPr>
          <w:rFonts w:ascii="Times New Roman" w:eastAsia="Times New Roman" w:hAnsi="Times New Roman" w:cs="Times New Roman"/>
          <w:sz w:val="24"/>
          <w:szCs w:val="24"/>
          <w:lang w:val="lt-LT"/>
        </w:rPr>
        <w:t xml:space="preserve"> teisinėmis ir faktinėmis aplinkybėmis</w:t>
      </w:r>
      <w:r w:rsidR="00C94D55">
        <w:rPr>
          <w:rFonts w:ascii="Times New Roman" w:eastAsia="Times New Roman" w:hAnsi="Times New Roman" w:cs="Times New Roman"/>
          <w:sz w:val="24"/>
          <w:szCs w:val="24"/>
          <w:lang w:val="lt-LT"/>
        </w:rPr>
        <w:t>,</w:t>
      </w:r>
      <w:r w:rsidR="0020089B">
        <w:rPr>
          <w:rFonts w:ascii="Times New Roman" w:eastAsia="Times New Roman" w:hAnsi="Times New Roman" w:cs="Times New Roman"/>
          <w:sz w:val="24"/>
          <w:szCs w:val="24"/>
          <w:lang w:val="lt-LT"/>
        </w:rPr>
        <w:t xml:space="preserve"> </w:t>
      </w:r>
      <w:r w:rsidR="0020089B" w:rsidRPr="00FF48DE">
        <w:rPr>
          <w:rFonts w:ascii="Times New Roman" w:eastAsia="Times New Roman" w:hAnsi="Times New Roman" w:cs="Times New Roman"/>
          <w:i/>
          <w:iCs/>
          <w:sz w:val="24"/>
          <w:szCs w:val="24"/>
          <w:lang w:val="lt-LT"/>
        </w:rPr>
        <w:t xml:space="preserve">per </w:t>
      </w:r>
      <w:proofErr w:type="spellStart"/>
      <w:r w:rsidR="0020089B" w:rsidRPr="00FF48DE">
        <w:rPr>
          <w:rFonts w:ascii="Times New Roman" w:eastAsia="Times New Roman" w:hAnsi="Times New Roman" w:cs="Times New Roman"/>
          <w:i/>
          <w:iCs/>
          <w:sz w:val="24"/>
          <w:szCs w:val="24"/>
          <w:lang w:val="lt-LT"/>
        </w:rPr>
        <w:t>se</w:t>
      </w:r>
      <w:proofErr w:type="spellEnd"/>
      <w:r w:rsidR="0020089B">
        <w:rPr>
          <w:rFonts w:ascii="Times New Roman" w:eastAsia="Times New Roman" w:hAnsi="Times New Roman" w:cs="Times New Roman"/>
          <w:sz w:val="24"/>
          <w:szCs w:val="24"/>
          <w:lang w:val="lt-LT"/>
        </w:rPr>
        <w:t xml:space="preserve"> n</w:t>
      </w:r>
      <w:r w:rsidR="00DD61B0">
        <w:rPr>
          <w:rFonts w:ascii="Times New Roman" w:eastAsia="Times New Roman" w:hAnsi="Times New Roman" w:cs="Times New Roman"/>
          <w:sz w:val="24"/>
          <w:szCs w:val="24"/>
          <w:lang w:val="lt-LT"/>
        </w:rPr>
        <w:t xml:space="preserve">ėra pagrindas ja nesivadovauti. </w:t>
      </w:r>
    </w:p>
    <w:p w14:paraId="45185BEF" w14:textId="4B8BB98E" w:rsidR="0040400C" w:rsidRPr="004D51C1" w:rsidRDefault="00E85639" w:rsidP="003B6630">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Šiame kontekste pažymėtina, kad i</w:t>
      </w:r>
      <w:r w:rsidR="00B071CF">
        <w:rPr>
          <w:rFonts w:ascii="Times New Roman" w:eastAsia="Times New Roman" w:hAnsi="Times New Roman" w:cs="Times New Roman"/>
          <w:sz w:val="24"/>
          <w:szCs w:val="24"/>
          <w:lang w:val="lt-LT"/>
        </w:rPr>
        <w:t>šplėstinė teisėjų kolegija nenustatė jokių reikšmingų teisinių a</w:t>
      </w:r>
      <w:r w:rsidR="008E2EA8">
        <w:rPr>
          <w:rFonts w:ascii="Times New Roman" w:eastAsia="Times New Roman" w:hAnsi="Times New Roman" w:cs="Times New Roman"/>
          <w:sz w:val="24"/>
          <w:szCs w:val="24"/>
          <w:lang w:val="lt-LT"/>
        </w:rPr>
        <w:t>plinkybių, kurios pagrįstų</w:t>
      </w:r>
      <w:r w:rsidR="006F1564">
        <w:rPr>
          <w:rFonts w:ascii="Times New Roman" w:eastAsia="Times New Roman" w:hAnsi="Times New Roman" w:cs="Times New Roman"/>
          <w:sz w:val="24"/>
          <w:szCs w:val="24"/>
          <w:lang w:val="lt-LT"/>
        </w:rPr>
        <w:t>, jog</w:t>
      </w:r>
      <w:r w:rsidR="008E2EA8">
        <w:rPr>
          <w:rFonts w:ascii="Times New Roman" w:eastAsia="Times New Roman" w:hAnsi="Times New Roman" w:cs="Times New Roman"/>
          <w:sz w:val="24"/>
          <w:szCs w:val="24"/>
          <w:lang w:val="lt-LT"/>
        </w:rPr>
        <w:t xml:space="preserve"> </w:t>
      </w:r>
      <w:r w:rsidR="00FD2A5B">
        <w:rPr>
          <w:rFonts w:ascii="Times New Roman" w:eastAsia="Times New Roman" w:hAnsi="Times New Roman" w:cs="Times New Roman"/>
          <w:sz w:val="24"/>
          <w:szCs w:val="24"/>
          <w:lang w:val="lt-LT"/>
        </w:rPr>
        <w:t xml:space="preserve">Sprendimo </w:t>
      </w:r>
      <w:r w:rsidR="00FD2A5B" w:rsidRPr="00553B80">
        <w:rPr>
          <w:rFonts w:ascii="Times New Roman" w:eastAsia="Times New Roman" w:hAnsi="Times New Roman" w:cs="Times New Roman"/>
          <w:i/>
          <w:iCs/>
          <w:sz w:val="24"/>
          <w:szCs w:val="24"/>
          <w:lang w:val="lt-LT"/>
        </w:rPr>
        <w:t>Notarų rūmai</w:t>
      </w:r>
      <w:r w:rsidR="00FD2A5B">
        <w:rPr>
          <w:rFonts w:ascii="Times New Roman" w:eastAsia="Times New Roman" w:hAnsi="Times New Roman" w:cs="Times New Roman"/>
          <w:sz w:val="24"/>
          <w:szCs w:val="24"/>
          <w:lang w:val="lt-LT"/>
        </w:rPr>
        <w:t xml:space="preserve"> 64 punkte pateikt</w:t>
      </w:r>
      <w:r w:rsidR="00EC6F47">
        <w:rPr>
          <w:rFonts w:ascii="Times New Roman" w:eastAsia="Times New Roman" w:hAnsi="Times New Roman" w:cs="Times New Roman"/>
          <w:sz w:val="24"/>
          <w:szCs w:val="24"/>
          <w:lang w:val="lt-LT"/>
        </w:rPr>
        <w:t xml:space="preserve">a Teisingumo Teismo </w:t>
      </w:r>
      <w:r w:rsidR="00EC6F47" w:rsidRPr="004D51C1">
        <w:rPr>
          <w:rFonts w:ascii="Times New Roman" w:eastAsia="Times New Roman" w:hAnsi="Times New Roman" w:cs="Times New Roman"/>
          <w:sz w:val="24"/>
          <w:szCs w:val="24"/>
          <w:lang w:val="lt-LT"/>
        </w:rPr>
        <w:t>jurisprudencija</w:t>
      </w:r>
      <w:r w:rsidR="006F1564" w:rsidRPr="004D51C1">
        <w:rPr>
          <w:rFonts w:ascii="Times New Roman" w:eastAsia="Times New Roman" w:hAnsi="Times New Roman" w:cs="Times New Roman"/>
          <w:sz w:val="24"/>
          <w:szCs w:val="24"/>
          <w:lang w:val="lt-LT"/>
        </w:rPr>
        <w:t xml:space="preserve"> </w:t>
      </w:r>
      <w:r w:rsidR="00600025" w:rsidRPr="004D51C1">
        <w:rPr>
          <w:rFonts w:ascii="Times New Roman" w:eastAsia="Times New Roman" w:hAnsi="Times New Roman" w:cs="Times New Roman"/>
          <w:sz w:val="24"/>
          <w:szCs w:val="24"/>
          <w:lang w:val="lt-LT"/>
        </w:rPr>
        <w:t>neturėtų būti vadovaujamasi nagrinėjamoje byloje</w:t>
      </w:r>
      <w:r w:rsidR="00963674" w:rsidRPr="004D51C1">
        <w:rPr>
          <w:rFonts w:ascii="Times New Roman" w:eastAsia="Times New Roman" w:hAnsi="Times New Roman" w:cs="Times New Roman"/>
          <w:sz w:val="24"/>
          <w:szCs w:val="24"/>
          <w:lang w:val="lt-LT"/>
        </w:rPr>
        <w:t xml:space="preserve">, vertinant </w:t>
      </w:r>
      <w:r w:rsidR="009143C9" w:rsidRPr="004D51C1">
        <w:rPr>
          <w:rFonts w:ascii="Times New Roman" w:eastAsia="Times New Roman" w:hAnsi="Times New Roman" w:cs="Times New Roman"/>
          <w:sz w:val="24"/>
          <w:szCs w:val="24"/>
          <w:lang w:val="lt-LT"/>
        </w:rPr>
        <w:t xml:space="preserve">konkrečius notarinius veiksmus </w:t>
      </w:r>
      <w:r w:rsidR="004D51C1" w:rsidRPr="004D51C1">
        <w:rPr>
          <w:rFonts w:ascii="Times New Roman" w:eastAsia="Times New Roman" w:hAnsi="Times New Roman" w:cs="Times New Roman"/>
          <w:sz w:val="24"/>
          <w:szCs w:val="24"/>
          <w:lang w:val="lt-LT"/>
        </w:rPr>
        <w:t>(žr. šio procesinio sprendimo 88 p.)</w:t>
      </w:r>
      <w:r w:rsidR="004D51C1">
        <w:rPr>
          <w:rFonts w:ascii="Times New Roman" w:eastAsia="Times New Roman" w:hAnsi="Times New Roman" w:cs="Times New Roman"/>
          <w:sz w:val="24"/>
          <w:szCs w:val="24"/>
          <w:lang w:val="lt-LT"/>
        </w:rPr>
        <w:t xml:space="preserve"> </w:t>
      </w:r>
      <w:r w:rsidR="00920EC6" w:rsidRPr="004D51C1">
        <w:rPr>
          <w:rFonts w:ascii="Times New Roman" w:eastAsia="Times New Roman" w:hAnsi="Times New Roman" w:cs="Times New Roman"/>
          <w:sz w:val="24"/>
          <w:szCs w:val="24"/>
          <w:lang w:val="lt-LT"/>
        </w:rPr>
        <w:t>viešosios valdžios įgaliojimų vykdym</w:t>
      </w:r>
      <w:r w:rsidR="0022668D" w:rsidRPr="004D51C1">
        <w:rPr>
          <w:rFonts w:ascii="Times New Roman" w:eastAsia="Times New Roman" w:hAnsi="Times New Roman" w:cs="Times New Roman"/>
          <w:sz w:val="24"/>
          <w:szCs w:val="24"/>
          <w:lang w:val="lt-LT"/>
        </w:rPr>
        <w:t xml:space="preserve">o </w:t>
      </w:r>
      <w:r w:rsidR="00E00893" w:rsidRPr="004D51C1">
        <w:rPr>
          <w:rFonts w:ascii="Times New Roman" w:eastAsia="Times New Roman" w:hAnsi="Times New Roman" w:cs="Times New Roman"/>
          <w:sz w:val="24"/>
          <w:szCs w:val="24"/>
          <w:lang w:val="lt-LT"/>
        </w:rPr>
        <w:t>aspektu</w:t>
      </w:r>
      <w:r w:rsidR="00600025" w:rsidRPr="004D51C1">
        <w:rPr>
          <w:rFonts w:ascii="Times New Roman" w:eastAsia="Times New Roman" w:hAnsi="Times New Roman" w:cs="Times New Roman"/>
          <w:sz w:val="24"/>
          <w:szCs w:val="24"/>
          <w:lang w:val="lt-LT"/>
        </w:rPr>
        <w:t xml:space="preserve">. </w:t>
      </w:r>
    </w:p>
    <w:p w14:paraId="6CD0ACAD" w14:textId="6257A29E" w:rsidR="00D92ECB" w:rsidRPr="003B6630" w:rsidRDefault="0040400C" w:rsidP="003B6630">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4D51C1">
        <w:rPr>
          <w:rFonts w:ascii="Times New Roman" w:eastAsia="Times New Roman" w:hAnsi="Times New Roman" w:cs="Times New Roman"/>
          <w:sz w:val="24"/>
          <w:szCs w:val="24"/>
          <w:lang w:val="lt-LT"/>
        </w:rPr>
        <w:t>Vadovaudamasi tuo, kas išdėstyta</w:t>
      </w:r>
      <w:r w:rsidR="00600025" w:rsidRPr="004D51C1">
        <w:rPr>
          <w:rFonts w:ascii="Times New Roman" w:eastAsia="Times New Roman" w:hAnsi="Times New Roman" w:cs="Times New Roman"/>
          <w:sz w:val="24"/>
          <w:szCs w:val="24"/>
          <w:lang w:val="lt-LT"/>
        </w:rPr>
        <w:t xml:space="preserve">, </w:t>
      </w:r>
      <w:r w:rsidR="00804D40" w:rsidRPr="004D51C1">
        <w:rPr>
          <w:rFonts w:ascii="Times New Roman" w:eastAsia="Times New Roman" w:hAnsi="Times New Roman" w:cs="Times New Roman"/>
          <w:sz w:val="24"/>
          <w:szCs w:val="24"/>
          <w:lang w:val="lt-LT"/>
        </w:rPr>
        <w:t xml:space="preserve">išplėstinė teisėjų kolegija konstatuoja, kad </w:t>
      </w:r>
      <w:r w:rsidR="00930CD3" w:rsidRPr="004D51C1">
        <w:rPr>
          <w:rFonts w:ascii="Times New Roman" w:eastAsia="Times New Roman" w:hAnsi="Times New Roman" w:cs="Times New Roman"/>
          <w:sz w:val="24"/>
          <w:szCs w:val="24"/>
          <w:lang w:val="lt-LT"/>
        </w:rPr>
        <w:t>su nagrinėjamoje</w:t>
      </w:r>
      <w:r w:rsidR="00930CD3">
        <w:rPr>
          <w:rFonts w:ascii="Times New Roman" w:eastAsia="Times New Roman" w:hAnsi="Times New Roman" w:cs="Times New Roman"/>
          <w:sz w:val="24"/>
          <w:szCs w:val="24"/>
          <w:lang w:val="lt-LT"/>
        </w:rPr>
        <w:t xml:space="preserve"> byloje vertinamais Išaiškinimais</w:t>
      </w:r>
      <w:r w:rsidR="00930CD3" w:rsidRPr="009C64EB">
        <w:rPr>
          <w:rFonts w:ascii="Times New Roman" w:eastAsia="Times New Roman" w:hAnsi="Times New Roman" w:cs="Times New Roman"/>
          <w:sz w:val="24"/>
          <w:szCs w:val="24"/>
          <w:lang w:val="lt-LT"/>
        </w:rPr>
        <w:t xml:space="preserve"> </w:t>
      </w:r>
      <w:r w:rsidR="0054207E">
        <w:rPr>
          <w:rFonts w:ascii="Times New Roman" w:eastAsia="Times New Roman" w:hAnsi="Times New Roman" w:cs="Times New Roman"/>
          <w:sz w:val="24"/>
          <w:szCs w:val="24"/>
          <w:lang w:val="lt-LT"/>
        </w:rPr>
        <w:t xml:space="preserve">susijusi </w:t>
      </w:r>
      <w:r w:rsidR="00471784">
        <w:rPr>
          <w:rFonts w:ascii="Times New Roman" w:eastAsia="Times New Roman" w:hAnsi="Times New Roman" w:cs="Times New Roman"/>
          <w:sz w:val="24"/>
          <w:szCs w:val="24"/>
          <w:lang w:val="lt-LT"/>
        </w:rPr>
        <w:t xml:space="preserve">sandorių, sudarytų </w:t>
      </w:r>
      <w:r w:rsidR="003124A0">
        <w:rPr>
          <w:rFonts w:ascii="Times New Roman" w:eastAsia="Times New Roman" w:hAnsi="Times New Roman" w:cs="Times New Roman"/>
          <w:sz w:val="24"/>
          <w:szCs w:val="24"/>
          <w:lang w:val="lt-LT"/>
        </w:rPr>
        <w:t xml:space="preserve">esant </w:t>
      </w:r>
      <w:r w:rsidR="00FA481F" w:rsidRPr="002F50D2">
        <w:rPr>
          <w:rFonts w:ascii="Times New Roman" w:eastAsia="Times New Roman" w:hAnsi="Times New Roman" w:cs="Times New Roman"/>
          <w:sz w:val="24"/>
          <w:szCs w:val="24"/>
          <w:lang w:val="lt-LT"/>
        </w:rPr>
        <w:t>išankstin</w:t>
      </w:r>
      <w:r w:rsidR="003124A0">
        <w:rPr>
          <w:rFonts w:ascii="Times New Roman" w:eastAsia="Times New Roman" w:hAnsi="Times New Roman" w:cs="Times New Roman"/>
          <w:sz w:val="24"/>
          <w:szCs w:val="24"/>
          <w:lang w:val="lt-LT"/>
        </w:rPr>
        <w:t>iam</w:t>
      </w:r>
      <w:r w:rsidR="00FA481F" w:rsidRPr="002F50D2">
        <w:rPr>
          <w:rFonts w:ascii="Times New Roman" w:eastAsia="Times New Roman" w:hAnsi="Times New Roman" w:cs="Times New Roman"/>
          <w:sz w:val="24"/>
          <w:szCs w:val="24"/>
          <w:lang w:val="lt-LT"/>
        </w:rPr>
        <w:t xml:space="preserve"> </w:t>
      </w:r>
      <w:r w:rsidR="00FA481F" w:rsidRPr="00F04846">
        <w:rPr>
          <w:rFonts w:ascii="Times New Roman" w:eastAsia="Times New Roman" w:hAnsi="Times New Roman" w:cs="Times New Roman"/>
          <w:sz w:val="24"/>
          <w:szCs w:val="24"/>
          <w:lang w:val="lt-LT"/>
        </w:rPr>
        <w:t>šalių sutikim</w:t>
      </w:r>
      <w:r w:rsidR="003124A0" w:rsidRPr="00F04846">
        <w:rPr>
          <w:rFonts w:ascii="Times New Roman" w:eastAsia="Times New Roman" w:hAnsi="Times New Roman" w:cs="Times New Roman"/>
          <w:sz w:val="24"/>
          <w:szCs w:val="24"/>
          <w:lang w:val="lt-LT"/>
        </w:rPr>
        <w:t>ui</w:t>
      </w:r>
      <w:r w:rsidR="00FA481F" w:rsidRPr="00F04846">
        <w:rPr>
          <w:rFonts w:ascii="Times New Roman" w:eastAsia="Times New Roman" w:hAnsi="Times New Roman" w:cs="Times New Roman"/>
          <w:sz w:val="24"/>
          <w:szCs w:val="24"/>
          <w:lang w:val="lt-LT"/>
        </w:rPr>
        <w:t xml:space="preserve"> arba jų suderint</w:t>
      </w:r>
      <w:r w:rsidR="003124A0" w:rsidRPr="00F04846">
        <w:rPr>
          <w:rFonts w:ascii="Times New Roman" w:eastAsia="Times New Roman" w:hAnsi="Times New Roman" w:cs="Times New Roman"/>
          <w:sz w:val="24"/>
          <w:szCs w:val="24"/>
          <w:lang w:val="lt-LT"/>
        </w:rPr>
        <w:t>ai valiai</w:t>
      </w:r>
      <w:r w:rsidR="00A94DDA" w:rsidRPr="00F04846">
        <w:rPr>
          <w:rFonts w:ascii="Times New Roman" w:eastAsia="Times New Roman" w:hAnsi="Times New Roman" w:cs="Times New Roman"/>
          <w:sz w:val="24"/>
          <w:szCs w:val="24"/>
          <w:lang w:val="lt-LT"/>
        </w:rPr>
        <w:t>,</w:t>
      </w:r>
      <w:r w:rsidR="00FA481F" w:rsidRPr="00F04846">
        <w:rPr>
          <w:rFonts w:ascii="Times New Roman" w:eastAsia="Times New Roman" w:hAnsi="Times New Roman" w:cs="Times New Roman"/>
          <w:sz w:val="24"/>
          <w:szCs w:val="24"/>
          <w:lang w:val="lt-LT"/>
        </w:rPr>
        <w:t xml:space="preserve"> </w:t>
      </w:r>
      <w:r w:rsidR="00B7657C" w:rsidRPr="00F04846">
        <w:rPr>
          <w:rFonts w:ascii="Times New Roman" w:eastAsia="Times New Roman" w:hAnsi="Times New Roman" w:cs="Times New Roman"/>
          <w:sz w:val="24"/>
          <w:szCs w:val="24"/>
          <w:lang w:val="lt-LT"/>
        </w:rPr>
        <w:t xml:space="preserve">notarų atliekama </w:t>
      </w:r>
      <w:r w:rsidR="00A94DDA" w:rsidRPr="00F04846">
        <w:rPr>
          <w:rFonts w:ascii="Times New Roman" w:eastAsia="Times New Roman" w:hAnsi="Times New Roman" w:cs="Times New Roman"/>
          <w:sz w:val="24"/>
          <w:szCs w:val="24"/>
          <w:lang w:val="lt-LT"/>
        </w:rPr>
        <w:t>autentiškumo patvirtinimo veikla</w:t>
      </w:r>
      <w:r w:rsidR="001C2D1A" w:rsidRPr="00F04846">
        <w:rPr>
          <w:rFonts w:ascii="Times New Roman" w:eastAsia="Times New Roman" w:hAnsi="Times New Roman" w:cs="Times New Roman"/>
          <w:sz w:val="24"/>
          <w:szCs w:val="24"/>
          <w:lang w:val="lt-LT"/>
        </w:rPr>
        <w:t xml:space="preserve"> </w:t>
      </w:r>
      <w:r w:rsidR="000F69FA" w:rsidRPr="00F04846">
        <w:rPr>
          <w:rFonts w:ascii="Times New Roman" w:eastAsia="Times New Roman" w:hAnsi="Times New Roman" w:cs="Times New Roman"/>
          <w:sz w:val="24"/>
          <w:szCs w:val="24"/>
          <w:lang w:val="lt-LT"/>
        </w:rPr>
        <w:t>nelaikytina</w:t>
      </w:r>
      <w:r w:rsidR="00780D4C" w:rsidRPr="00F04846">
        <w:rPr>
          <w:rFonts w:ascii="Times New Roman" w:eastAsia="Times New Roman" w:hAnsi="Times New Roman" w:cs="Times New Roman"/>
          <w:sz w:val="24"/>
          <w:szCs w:val="24"/>
          <w:lang w:val="lt-LT"/>
        </w:rPr>
        <w:t xml:space="preserve"> viešosios valdžios įgaliojimų vykdymu</w:t>
      </w:r>
      <w:r w:rsidR="00190253" w:rsidRPr="00F04846">
        <w:rPr>
          <w:rFonts w:ascii="Times New Roman" w:eastAsia="Times New Roman" w:hAnsi="Times New Roman" w:cs="Times New Roman"/>
          <w:sz w:val="24"/>
          <w:szCs w:val="24"/>
          <w:lang w:val="lt-LT"/>
        </w:rPr>
        <w:t xml:space="preserve">. </w:t>
      </w:r>
      <w:r w:rsidR="00047DA0" w:rsidRPr="00F04846">
        <w:rPr>
          <w:rFonts w:ascii="Times New Roman" w:eastAsia="Times New Roman" w:hAnsi="Times New Roman" w:cs="Times New Roman"/>
          <w:sz w:val="24"/>
          <w:szCs w:val="24"/>
          <w:lang w:val="lt-LT"/>
        </w:rPr>
        <w:t xml:space="preserve">Be </w:t>
      </w:r>
      <w:r w:rsidR="002853B2" w:rsidRPr="00F04846">
        <w:rPr>
          <w:rFonts w:ascii="Times New Roman" w:eastAsia="Times New Roman" w:hAnsi="Times New Roman" w:cs="Times New Roman"/>
          <w:sz w:val="24"/>
          <w:szCs w:val="24"/>
          <w:lang w:val="lt-LT"/>
        </w:rPr>
        <w:t>to</w:t>
      </w:r>
      <w:r w:rsidR="00047DA0" w:rsidRPr="00F04846">
        <w:rPr>
          <w:rFonts w:ascii="Times New Roman" w:eastAsia="Times New Roman" w:hAnsi="Times New Roman" w:cs="Times New Roman"/>
          <w:sz w:val="24"/>
          <w:szCs w:val="24"/>
          <w:lang w:val="lt-LT"/>
        </w:rPr>
        <w:t xml:space="preserve">, </w:t>
      </w:r>
      <w:r w:rsidR="00D23944">
        <w:rPr>
          <w:rFonts w:ascii="Times New Roman" w:eastAsia="Times New Roman" w:hAnsi="Times New Roman" w:cs="Times New Roman"/>
          <w:sz w:val="24"/>
          <w:szCs w:val="24"/>
          <w:lang w:val="lt-LT"/>
        </w:rPr>
        <w:t xml:space="preserve">nagrinėjamoje byloje nenustatytos reikšmingos aplinkybės, </w:t>
      </w:r>
      <w:r w:rsidR="00BC723C">
        <w:rPr>
          <w:rFonts w:ascii="Times New Roman" w:eastAsia="Times New Roman" w:hAnsi="Times New Roman" w:cs="Times New Roman"/>
          <w:sz w:val="24"/>
          <w:szCs w:val="24"/>
          <w:lang w:val="lt-LT"/>
        </w:rPr>
        <w:t>kurios</w:t>
      </w:r>
      <w:r w:rsidR="00C976A5">
        <w:rPr>
          <w:rFonts w:ascii="Times New Roman" w:eastAsia="Times New Roman" w:hAnsi="Times New Roman" w:cs="Times New Roman"/>
          <w:sz w:val="24"/>
          <w:szCs w:val="24"/>
          <w:lang w:val="lt-LT"/>
        </w:rPr>
        <w:t xml:space="preserve"> pagrįstų, jog </w:t>
      </w:r>
      <w:r w:rsidR="00774D75" w:rsidRPr="00F04846">
        <w:rPr>
          <w:rFonts w:ascii="Times New Roman" w:eastAsia="Times New Roman" w:hAnsi="Times New Roman" w:cs="Times New Roman"/>
          <w:sz w:val="24"/>
          <w:szCs w:val="24"/>
          <w:lang w:val="lt-LT"/>
        </w:rPr>
        <w:t>tok</w:t>
      </w:r>
      <w:r w:rsidR="00A810AF" w:rsidRPr="00F04846">
        <w:rPr>
          <w:rFonts w:ascii="Times New Roman" w:eastAsia="Times New Roman" w:hAnsi="Times New Roman" w:cs="Times New Roman"/>
          <w:sz w:val="24"/>
          <w:szCs w:val="24"/>
          <w:lang w:val="lt-LT"/>
        </w:rPr>
        <w:t>s</w:t>
      </w:r>
      <w:r w:rsidR="00774D75" w:rsidRPr="00F04846">
        <w:rPr>
          <w:rFonts w:ascii="Times New Roman" w:eastAsia="Times New Roman" w:hAnsi="Times New Roman" w:cs="Times New Roman"/>
          <w:sz w:val="24"/>
          <w:szCs w:val="24"/>
          <w:lang w:val="lt-LT"/>
        </w:rPr>
        <w:t xml:space="preserve"> sandorių autentiškumo patvirtinim</w:t>
      </w:r>
      <w:r w:rsidR="00A810AF" w:rsidRPr="00F04846">
        <w:rPr>
          <w:rFonts w:ascii="Times New Roman" w:eastAsia="Times New Roman" w:hAnsi="Times New Roman" w:cs="Times New Roman"/>
          <w:sz w:val="24"/>
          <w:szCs w:val="24"/>
          <w:lang w:val="lt-LT"/>
        </w:rPr>
        <w:t xml:space="preserve">as </w:t>
      </w:r>
      <w:r w:rsidR="00C976A5">
        <w:rPr>
          <w:rFonts w:ascii="Times New Roman" w:eastAsia="Times New Roman" w:hAnsi="Times New Roman" w:cs="Times New Roman"/>
          <w:sz w:val="24"/>
          <w:szCs w:val="24"/>
          <w:lang w:val="lt-LT"/>
        </w:rPr>
        <w:t>būtų</w:t>
      </w:r>
      <w:r w:rsidR="00D90896" w:rsidRPr="00F04846">
        <w:rPr>
          <w:rFonts w:ascii="Times New Roman" w:eastAsia="Times New Roman" w:hAnsi="Times New Roman" w:cs="Times New Roman"/>
          <w:sz w:val="24"/>
          <w:szCs w:val="24"/>
          <w:lang w:val="lt-LT"/>
        </w:rPr>
        <w:t xml:space="preserve"> neatskiriam</w:t>
      </w:r>
      <w:r w:rsidR="00F97D5B" w:rsidRPr="00F04846">
        <w:rPr>
          <w:rFonts w:ascii="Times New Roman" w:eastAsia="Times New Roman" w:hAnsi="Times New Roman" w:cs="Times New Roman"/>
          <w:sz w:val="24"/>
          <w:szCs w:val="24"/>
          <w:lang w:val="lt-LT"/>
        </w:rPr>
        <w:t>ai</w:t>
      </w:r>
      <w:r w:rsidR="00A810AF" w:rsidRPr="00F04846">
        <w:rPr>
          <w:rFonts w:ascii="Times New Roman" w:eastAsia="Times New Roman" w:hAnsi="Times New Roman" w:cs="Times New Roman"/>
          <w:sz w:val="24"/>
          <w:szCs w:val="24"/>
          <w:lang w:val="lt-LT"/>
        </w:rPr>
        <w:t xml:space="preserve"> susijęs</w:t>
      </w:r>
      <w:r w:rsidR="00A810AF">
        <w:rPr>
          <w:rFonts w:ascii="Times New Roman" w:eastAsia="Times New Roman" w:hAnsi="Times New Roman" w:cs="Times New Roman"/>
          <w:sz w:val="24"/>
          <w:szCs w:val="24"/>
          <w:lang w:val="lt-LT"/>
        </w:rPr>
        <w:t xml:space="preserve"> su</w:t>
      </w:r>
      <w:r w:rsidR="00D90896" w:rsidRPr="00047DA0">
        <w:rPr>
          <w:rFonts w:ascii="Times New Roman" w:eastAsia="Times New Roman" w:hAnsi="Times New Roman" w:cs="Times New Roman"/>
          <w:sz w:val="24"/>
          <w:szCs w:val="24"/>
          <w:lang w:val="lt-LT"/>
        </w:rPr>
        <w:t xml:space="preserve"> </w:t>
      </w:r>
      <w:r w:rsidR="009D1F0C">
        <w:rPr>
          <w:rFonts w:ascii="Times New Roman" w:eastAsia="Times New Roman" w:hAnsi="Times New Roman" w:cs="Times New Roman"/>
          <w:sz w:val="24"/>
          <w:szCs w:val="24"/>
          <w:lang w:val="lt-LT"/>
        </w:rPr>
        <w:t xml:space="preserve">kita – </w:t>
      </w:r>
      <w:r w:rsidR="00B875DB" w:rsidRPr="00047DA0">
        <w:rPr>
          <w:rFonts w:ascii="Times New Roman" w:eastAsia="Times New Roman" w:hAnsi="Times New Roman" w:cs="Times New Roman"/>
          <w:sz w:val="24"/>
          <w:szCs w:val="24"/>
          <w:lang w:val="lt-LT"/>
        </w:rPr>
        <w:t>viešosios valdžios įgaliojimų vykdym</w:t>
      </w:r>
      <w:r w:rsidR="00B875DB">
        <w:rPr>
          <w:rFonts w:ascii="Times New Roman" w:eastAsia="Times New Roman" w:hAnsi="Times New Roman" w:cs="Times New Roman"/>
          <w:sz w:val="24"/>
          <w:szCs w:val="24"/>
          <w:lang w:val="lt-LT"/>
        </w:rPr>
        <w:t>o</w:t>
      </w:r>
      <w:r w:rsidR="00E0387F">
        <w:rPr>
          <w:rFonts w:ascii="Times New Roman" w:eastAsia="Times New Roman" w:hAnsi="Times New Roman" w:cs="Times New Roman"/>
          <w:sz w:val="24"/>
          <w:szCs w:val="24"/>
          <w:lang w:val="lt-LT"/>
        </w:rPr>
        <w:t xml:space="preserve"> – </w:t>
      </w:r>
      <w:r w:rsidR="00D90896" w:rsidRPr="00047DA0">
        <w:rPr>
          <w:rFonts w:ascii="Times New Roman" w:eastAsia="Times New Roman" w:hAnsi="Times New Roman" w:cs="Times New Roman"/>
          <w:sz w:val="24"/>
          <w:szCs w:val="24"/>
          <w:lang w:val="lt-LT"/>
        </w:rPr>
        <w:t>veikl</w:t>
      </w:r>
      <w:r w:rsidR="00B875DB">
        <w:rPr>
          <w:rFonts w:ascii="Times New Roman" w:eastAsia="Times New Roman" w:hAnsi="Times New Roman" w:cs="Times New Roman"/>
          <w:sz w:val="24"/>
          <w:szCs w:val="24"/>
          <w:lang w:val="lt-LT"/>
        </w:rPr>
        <w:t>a</w:t>
      </w:r>
      <w:r w:rsidR="00DF2D51">
        <w:rPr>
          <w:rFonts w:ascii="Times New Roman" w:eastAsia="Times New Roman" w:hAnsi="Times New Roman" w:cs="Times New Roman"/>
          <w:sz w:val="24"/>
          <w:szCs w:val="24"/>
          <w:lang w:val="lt-LT"/>
        </w:rPr>
        <w:t>, kuri</w:t>
      </w:r>
      <w:r w:rsidR="00FA7BBC">
        <w:rPr>
          <w:rFonts w:ascii="Times New Roman" w:eastAsia="Times New Roman" w:hAnsi="Times New Roman" w:cs="Times New Roman"/>
          <w:sz w:val="24"/>
          <w:szCs w:val="24"/>
          <w:lang w:val="lt-LT"/>
        </w:rPr>
        <w:t xml:space="preserve">ą pareiškėjai ir trečiasis suinteresuotas asmuo Teisingumo ministerija </w:t>
      </w:r>
      <w:r w:rsidR="0031528C">
        <w:rPr>
          <w:rFonts w:ascii="Times New Roman" w:eastAsia="Times New Roman" w:hAnsi="Times New Roman" w:cs="Times New Roman"/>
          <w:sz w:val="24"/>
          <w:szCs w:val="24"/>
          <w:lang w:val="lt-LT"/>
        </w:rPr>
        <w:t xml:space="preserve">savo procesiniuose dokumentuose </w:t>
      </w:r>
      <w:r w:rsidR="00FA7BBC">
        <w:rPr>
          <w:rFonts w:ascii="Times New Roman" w:eastAsia="Times New Roman" w:hAnsi="Times New Roman" w:cs="Times New Roman"/>
          <w:sz w:val="24"/>
          <w:szCs w:val="24"/>
          <w:lang w:val="lt-LT"/>
        </w:rPr>
        <w:t xml:space="preserve">nurodo kaip </w:t>
      </w:r>
      <w:r w:rsidR="00A62E5A">
        <w:rPr>
          <w:rFonts w:ascii="Times New Roman" w:eastAsia="Times New Roman" w:hAnsi="Times New Roman" w:cs="Times New Roman"/>
          <w:sz w:val="24"/>
          <w:szCs w:val="24"/>
          <w:lang w:val="lt-LT"/>
        </w:rPr>
        <w:t>Lietuvoje</w:t>
      </w:r>
      <w:r w:rsidR="008A1BAA">
        <w:rPr>
          <w:rFonts w:ascii="Times New Roman" w:eastAsia="Times New Roman" w:hAnsi="Times New Roman" w:cs="Times New Roman"/>
          <w:sz w:val="24"/>
          <w:szCs w:val="24"/>
          <w:lang w:val="lt-LT"/>
        </w:rPr>
        <w:t xml:space="preserve"> </w:t>
      </w:r>
      <w:r w:rsidR="00AA39F7">
        <w:rPr>
          <w:rFonts w:ascii="Times New Roman" w:eastAsia="Times New Roman" w:hAnsi="Times New Roman" w:cs="Times New Roman"/>
          <w:sz w:val="24"/>
          <w:szCs w:val="24"/>
          <w:lang w:val="lt-LT"/>
        </w:rPr>
        <w:t>notarų atliekam</w:t>
      </w:r>
      <w:r w:rsidR="0031528C">
        <w:rPr>
          <w:rFonts w:ascii="Times New Roman" w:eastAsia="Times New Roman" w:hAnsi="Times New Roman" w:cs="Times New Roman"/>
          <w:sz w:val="24"/>
          <w:szCs w:val="24"/>
          <w:lang w:val="lt-LT"/>
        </w:rPr>
        <w:t>ų funkcijų dalį</w:t>
      </w:r>
      <w:r w:rsidR="00B875DB">
        <w:rPr>
          <w:rFonts w:ascii="Times New Roman" w:eastAsia="Times New Roman" w:hAnsi="Times New Roman" w:cs="Times New Roman"/>
          <w:sz w:val="24"/>
          <w:szCs w:val="24"/>
          <w:lang w:val="lt-LT"/>
        </w:rPr>
        <w:t>.</w:t>
      </w:r>
      <w:r w:rsidR="00987305">
        <w:rPr>
          <w:rFonts w:ascii="Times New Roman" w:eastAsia="Times New Roman" w:hAnsi="Times New Roman" w:cs="Times New Roman"/>
          <w:sz w:val="24"/>
          <w:szCs w:val="24"/>
          <w:lang w:val="lt-LT"/>
        </w:rPr>
        <w:t xml:space="preserve"> </w:t>
      </w:r>
    </w:p>
    <w:p w14:paraId="7FA6AA51" w14:textId="5B471DF1" w:rsidR="00FF5531" w:rsidRPr="00F272C6" w:rsidRDefault="00F45A25" w:rsidP="00DA3150">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F272C6">
        <w:rPr>
          <w:rFonts w:ascii="Times New Roman" w:eastAsia="Times New Roman" w:hAnsi="Times New Roman" w:cs="Times New Roman"/>
          <w:sz w:val="24"/>
          <w:szCs w:val="24"/>
          <w:lang w:val="lt-LT"/>
        </w:rPr>
        <w:t xml:space="preserve">Šiame kontekste </w:t>
      </w:r>
      <w:r w:rsidR="009C1630" w:rsidRPr="00F272C6">
        <w:rPr>
          <w:rFonts w:ascii="Times New Roman" w:eastAsia="Times New Roman" w:hAnsi="Times New Roman" w:cs="Times New Roman"/>
          <w:sz w:val="24"/>
          <w:szCs w:val="24"/>
          <w:lang w:val="lt-LT"/>
        </w:rPr>
        <w:t xml:space="preserve">pažymėtina, kad </w:t>
      </w:r>
      <w:r w:rsidR="00C72746" w:rsidRPr="00F272C6">
        <w:rPr>
          <w:rFonts w:ascii="Times New Roman" w:eastAsia="Times New Roman" w:hAnsi="Times New Roman" w:cs="Times New Roman"/>
          <w:sz w:val="24"/>
          <w:szCs w:val="24"/>
          <w:lang w:val="lt-LT"/>
        </w:rPr>
        <w:t xml:space="preserve">pagal </w:t>
      </w:r>
      <w:r w:rsidR="00FF5531" w:rsidRPr="00F272C6">
        <w:rPr>
          <w:rFonts w:ascii="Times New Roman" w:eastAsia="Times New Roman" w:hAnsi="Times New Roman" w:cs="Times New Roman"/>
          <w:sz w:val="24"/>
          <w:szCs w:val="24"/>
          <w:lang w:val="lt-LT"/>
        </w:rPr>
        <w:t>Teisingumo Teism</w:t>
      </w:r>
      <w:r w:rsidR="00507A9F" w:rsidRPr="00F272C6">
        <w:rPr>
          <w:rFonts w:ascii="Times New Roman" w:eastAsia="Times New Roman" w:hAnsi="Times New Roman" w:cs="Times New Roman"/>
          <w:sz w:val="24"/>
          <w:szCs w:val="24"/>
          <w:lang w:val="lt-LT"/>
        </w:rPr>
        <w:t>o</w:t>
      </w:r>
      <w:r w:rsidR="00FF5531" w:rsidRPr="00F272C6">
        <w:rPr>
          <w:rFonts w:ascii="Times New Roman" w:eastAsia="Times New Roman" w:hAnsi="Times New Roman" w:cs="Times New Roman"/>
          <w:sz w:val="24"/>
          <w:szCs w:val="24"/>
          <w:lang w:val="lt-LT"/>
        </w:rPr>
        <w:t xml:space="preserve"> </w:t>
      </w:r>
      <w:r w:rsidR="00C72746" w:rsidRPr="00F272C6">
        <w:rPr>
          <w:rFonts w:ascii="Times New Roman" w:eastAsia="Times New Roman" w:hAnsi="Times New Roman" w:cs="Times New Roman"/>
          <w:sz w:val="24"/>
          <w:szCs w:val="24"/>
          <w:lang w:val="lt-LT"/>
        </w:rPr>
        <w:t xml:space="preserve">išaiškinimą, </w:t>
      </w:r>
      <w:r w:rsidR="009C1630" w:rsidRPr="00F272C6">
        <w:rPr>
          <w:rFonts w:ascii="Times New Roman" w:eastAsia="Times New Roman" w:hAnsi="Times New Roman" w:cs="Times New Roman"/>
          <w:sz w:val="24"/>
          <w:szCs w:val="24"/>
          <w:lang w:val="lt-LT"/>
        </w:rPr>
        <w:t xml:space="preserve">jei </w:t>
      </w:r>
      <w:r w:rsidR="00A657B4" w:rsidRPr="00F272C6">
        <w:rPr>
          <w:rFonts w:ascii="Times New Roman" w:eastAsia="Times New Roman" w:hAnsi="Times New Roman" w:cs="Times New Roman"/>
          <w:sz w:val="24"/>
          <w:szCs w:val="24"/>
          <w:lang w:val="lt-LT"/>
        </w:rPr>
        <w:t>hipotekos (įkeitimo) sandori</w:t>
      </w:r>
      <w:r w:rsidR="003441DB" w:rsidRPr="00F272C6">
        <w:rPr>
          <w:rFonts w:ascii="Times New Roman" w:eastAsia="Times New Roman" w:hAnsi="Times New Roman" w:cs="Times New Roman"/>
          <w:sz w:val="24"/>
          <w:szCs w:val="24"/>
          <w:lang w:val="lt-LT"/>
        </w:rPr>
        <w:t xml:space="preserve">ų tvirtinimas ir </w:t>
      </w:r>
      <w:r w:rsidR="00A657B4" w:rsidRPr="00F272C6">
        <w:rPr>
          <w:rFonts w:ascii="Times New Roman" w:eastAsia="Times New Roman" w:hAnsi="Times New Roman" w:cs="Times New Roman"/>
          <w:sz w:val="24"/>
          <w:szCs w:val="24"/>
          <w:lang w:val="lt-LT"/>
        </w:rPr>
        <w:t>vykdom</w:t>
      </w:r>
      <w:r w:rsidR="003441DB" w:rsidRPr="00F272C6">
        <w:rPr>
          <w:rFonts w:ascii="Times New Roman" w:eastAsia="Times New Roman" w:hAnsi="Times New Roman" w:cs="Times New Roman"/>
          <w:sz w:val="24"/>
          <w:szCs w:val="24"/>
          <w:lang w:val="lt-LT"/>
        </w:rPr>
        <w:t>ųjų</w:t>
      </w:r>
      <w:r w:rsidR="00A657B4" w:rsidRPr="00F272C6">
        <w:rPr>
          <w:rFonts w:ascii="Times New Roman" w:eastAsia="Times New Roman" w:hAnsi="Times New Roman" w:cs="Times New Roman"/>
          <w:sz w:val="24"/>
          <w:szCs w:val="24"/>
          <w:lang w:val="lt-LT"/>
        </w:rPr>
        <w:t xml:space="preserve"> įraš</w:t>
      </w:r>
      <w:r w:rsidR="003441DB" w:rsidRPr="00F272C6">
        <w:rPr>
          <w:rFonts w:ascii="Times New Roman" w:eastAsia="Times New Roman" w:hAnsi="Times New Roman" w:cs="Times New Roman"/>
          <w:sz w:val="24"/>
          <w:szCs w:val="24"/>
          <w:lang w:val="lt-LT"/>
        </w:rPr>
        <w:t>ų atlikimas</w:t>
      </w:r>
      <w:r w:rsidR="00A657B4" w:rsidRPr="00F272C6">
        <w:rPr>
          <w:rFonts w:ascii="Times New Roman" w:eastAsia="Times New Roman" w:hAnsi="Times New Roman" w:cs="Times New Roman"/>
          <w:sz w:val="24"/>
          <w:szCs w:val="24"/>
          <w:lang w:val="lt-LT"/>
        </w:rPr>
        <w:t>, notarini</w:t>
      </w:r>
      <w:r w:rsidR="004B72F1">
        <w:rPr>
          <w:rFonts w:ascii="Times New Roman" w:eastAsia="Times New Roman" w:hAnsi="Times New Roman" w:cs="Times New Roman"/>
          <w:sz w:val="24"/>
          <w:szCs w:val="24"/>
          <w:lang w:val="lt-LT"/>
        </w:rPr>
        <w:t>ų</w:t>
      </w:r>
      <w:r w:rsidR="00A657B4" w:rsidRPr="00F272C6">
        <w:rPr>
          <w:rFonts w:ascii="Times New Roman" w:eastAsia="Times New Roman" w:hAnsi="Times New Roman" w:cs="Times New Roman"/>
          <w:sz w:val="24"/>
          <w:szCs w:val="24"/>
          <w:lang w:val="lt-LT"/>
        </w:rPr>
        <w:t xml:space="preserve"> veiksm</w:t>
      </w:r>
      <w:r w:rsidR="007F28D3" w:rsidRPr="00F272C6">
        <w:rPr>
          <w:rFonts w:ascii="Times New Roman" w:eastAsia="Times New Roman" w:hAnsi="Times New Roman" w:cs="Times New Roman"/>
          <w:sz w:val="24"/>
          <w:szCs w:val="24"/>
          <w:lang w:val="lt-LT"/>
        </w:rPr>
        <w:t>ų atlikimas</w:t>
      </w:r>
      <w:r w:rsidR="00A657B4" w:rsidRPr="00F272C6">
        <w:rPr>
          <w:rFonts w:ascii="Times New Roman" w:eastAsia="Times New Roman" w:hAnsi="Times New Roman" w:cs="Times New Roman"/>
          <w:sz w:val="24"/>
          <w:szCs w:val="24"/>
          <w:lang w:val="lt-LT"/>
        </w:rPr>
        <w:t>, sandorių projekt</w:t>
      </w:r>
      <w:r w:rsidR="007F28D3" w:rsidRPr="00F272C6">
        <w:rPr>
          <w:rFonts w:ascii="Times New Roman" w:eastAsia="Times New Roman" w:hAnsi="Times New Roman" w:cs="Times New Roman"/>
          <w:sz w:val="24"/>
          <w:szCs w:val="24"/>
          <w:lang w:val="lt-LT"/>
        </w:rPr>
        <w:t>ų rengimas</w:t>
      </w:r>
      <w:r w:rsidR="00A657B4" w:rsidRPr="00F272C6">
        <w:rPr>
          <w:rFonts w:ascii="Times New Roman" w:eastAsia="Times New Roman" w:hAnsi="Times New Roman" w:cs="Times New Roman"/>
          <w:sz w:val="24"/>
          <w:szCs w:val="24"/>
          <w:lang w:val="lt-LT"/>
        </w:rPr>
        <w:t>, konsultacij</w:t>
      </w:r>
      <w:r w:rsidR="007F28D3" w:rsidRPr="00F272C6">
        <w:rPr>
          <w:rFonts w:ascii="Times New Roman" w:eastAsia="Times New Roman" w:hAnsi="Times New Roman" w:cs="Times New Roman"/>
          <w:sz w:val="24"/>
          <w:szCs w:val="24"/>
          <w:lang w:val="lt-LT"/>
        </w:rPr>
        <w:t xml:space="preserve">ų </w:t>
      </w:r>
      <w:r w:rsidR="007B7DA4" w:rsidRPr="00F272C6">
        <w:rPr>
          <w:rFonts w:ascii="Times New Roman" w:eastAsia="Times New Roman" w:hAnsi="Times New Roman" w:cs="Times New Roman"/>
          <w:sz w:val="24"/>
          <w:szCs w:val="24"/>
          <w:lang w:val="lt-LT"/>
        </w:rPr>
        <w:t xml:space="preserve">ir techninių paslaugų </w:t>
      </w:r>
      <w:r w:rsidR="007F28D3" w:rsidRPr="00F272C6">
        <w:rPr>
          <w:rFonts w:ascii="Times New Roman" w:eastAsia="Times New Roman" w:hAnsi="Times New Roman" w:cs="Times New Roman"/>
          <w:sz w:val="24"/>
          <w:szCs w:val="24"/>
          <w:lang w:val="lt-LT"/>
        </w:rPr>
        <w:t>teikimas</w:t>
      </w:r>
      <w:r w:rsidR="007B7DA4" w:rsidRPr="00F272C6">
        <w:rPr>
          <w:rFonts w:ascii="Times New Roman" w:eastAsia="Times New Roman" w:hAnsi="Times New Roman" w:cs="Times New Roman"/>
          <w:sz w:val="24"/>
          <w:szCs w:val="24"/>
          <w:lang w:val="lt-LT"/>
        </w:rPr>
        <w:t xml:space="preserve"> bei </w:t>
      </w:r>
      <w:r w:rsidR="00A657B4" w:rsidRPr="00F272C6">
        <w:rPr>
          <w:rFonts w:ascii="Times New Roman" w:eastAsia="Times New Roman" w:hAnsi="Times New Roman" w:cs="Times New Roman"/>
          <w:sz w:val="24"/>
          <w:szCs w:val="24"/>
          <w:lang w:val="lt-LT"/>
        </w:rPr>
        <w:t>mainų sutar</w:t>
      </w:r>
      <w:r w:rsidR="007B7DA4" w:rsidRPr="00F272C6">
        <w:rPr>
          <w:rFonts w:ascii="Times New Roman" w:eastAsia="Times New Roman" w:hAnsi="Times New Roman" w:cs="Times New Roman"/>
          <w:sz w:val="24"/>
          <w:szCs w:val="24"/>
          <w:lang w:val="lt-LT"/>
        </w:rPr>
        <w:t>čių tvirtinimas</w:t>
      </w:r>
      <w:r w:rsidR="009C1630" w:rsidRPr="00F272C6">
        <w:rPr>
          <w:rFonts w:ascii="Times New Roman" w:eastAsia="Times New Roman" w:hAnsi="Times New Roman" w:cs="Times New Roman"/>
          <w:sz w:val="24"/>
          <w:szCs w:val="24"/>
          <w:lang w:val="lt-LT"/>
        </w:rPr>
        <w:t xml:space="preserve"> nesusij</w:t>
      </w:r>
      <w:r w:rsidR="007B7DA4" w:rsidRPr="00F272C6">
        <w:rPr>
          <w:rFonts w:ascii="Times New Roman" w:eastAsia="Times New Roman" w:hAnsi="Times New Roman" w:cs="Times New Roman"/>
          <w:sz w:val="24"/>
          <w:szCs w:val="24"/>
          <w:lang w:val="lt-LT"/>
        </w:rPr>
        <w:t>ęs</w:t>
      </w:r>
      <w:r w:rsidR="009C1630" w:rsidRPr="00F272C6">
        <w:rPr>
          <w:rFonts w:ascii="Times New Roman" w:eastAsia="Times New Roman" w:hAnsi="Times New Roman" w:cs="Times New Roman"/>
          <w:sz w:val="24"/>
          <w:szCs w:val="24"/>
          <w:lang w:val="lt-LT"/>
        </w:rPr>
        <w:t xml:space="preserve"> su viešosios valdžios įgaliojimų vykdymu</w:t>
      </w:r>
      <w:r w:rsidR="007B7DA4" w:rsidRPr="00F272C6">
        <w:rPr>
          <w:rFonts w:ascii="Times New Roman" w:eastAsia="Times New Roman" w:hAnsi="Times New Roman" w:cs="Times New Roman"/>
          <w:sz w:val="24"/>
          <w:szCs w:val="24"/>
          <w:lang w:val="lt-LT"/>
        </w:rPr>
        <w:t>,</w:t>
      </w:r>
      <w:r w:rsidR="009C1630" w:rsidRPr="00F272C6">
        <w:rPr>
          <w:rFonts w:ascii="Times New Roman" w:eastAsia="Times New Roman" w:hAnsi="Times New Roman" w:cs="Times New Roman"/>
          <w:sz w:val="24"/>
          <w:szCs w:val="24"/>
          <w:lang w:val="lt-LT"/>
        </w:rPr>
        <w:t xml:space="preserve"> </w:t>
      </w:r>
      <w:r w:rsidR="00F272C6" w:rsidRPr="00F272C6">
        <w:rPr>
          <w:rFonts w:ascii="Times New Roman" w:eastAsia="Times New Roman" w:hAnsi="Times New Roman" w:cs="Times New Roman"/>
          <w:sz w:val="24"/>
          <w:szCs w:val="24"/>
          <w:lang w:val="lt-LT"/>
        </w:rPr>
        <w:t xml:space="preserve">valstybėje narėje įsisteigę notarai turi būti laikomi „įmonėmis“, kaip jos suprantamos pagal SESV 101 straipsnį </w:t>
      </w:r>
      <w:r w:rsidR="00FF5531" w:rsidRPr="00F272C6">
        <w:rPr>
          <w:rFonts w:ascii="Times New Roman" w:eastAsia="Times New Roman" w:hAnsi="Times New Roman" w:cs="Times New Roman"/>
          <w:sz w:val="24"/>
          <w:szCs w:val="24"/>
          <w:lang w:val="lt-LT"/>
        </w:rPr>
        <w:t xml:space="preserve">(Sprendimo </w:t>
      </w:r>
      <w:r w:rsidR="00FF5531" w:rsidRPr="00F272C6">
        <w:rPr>
          <w:rFonts w:ascii="Times New Roman" w:eastAsia="Times New Roman" w:hAnsi="Times New Roman" w:cs="Times New Roman"/>
          <w:i/>
          <w:iCs/>
          <w:sz w:val="24"/>
          <w:szCs w:val="24"/>
          <w:lang w:val="lt-LT"/>
        </w:rPr>
        <w:t>Notarų rūmai</w:t>
      </w:r>
      <w:r w:rsidR="00FF5531" w:rsidRPr="00F272C6">
        <w:rPr>
          <w:rFonts w:ascii="Times New Roman" w:eastAsia="Times New Roman" w:hAnsi="Times New Roman" w:cs="Times New Roman"/>
          <w:sz w:val="24"/>
          <w:szCs w:val="24"/>
          <w:lang w:val="lt-LT"/>
        </w:rPr>
        <w:t xml:space="preserve"> 68 p.).</w:t>
      </w:r>
    </w:p>
    <w:p w14:paraId="60C93EF9" w14:textId="74271AB4" w:rsidR="00FF5531" w:rsidRPr="009C64EB" w:rsidRDefault="004B72F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Vadovaudamasi tuo, kas išdėstyta</w:t>
      </w:r>
      <w:r w:rsidR="00FF5531" w:rsidRPr="002F50D2">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išplėstinė teisėjų kolegija </w:t>
      </w:r>
      <w:r w:rsidR="00FF5531" w:rsidRPr="002F50D2">
        <w:rPr>
          <w:rFonts w:ascii="Times New Roman" w:eastAsia="Times New Roman" w:hAnsi="Times New Roman" w:cs="Times New Roman"/>
          <w:sz w:val="24"/>
          <w:szCs w:val="24"/>
          <w:lang w:val="lt-LT"/>
        </w:rPr>
        <w:t>konstatuo</w:t>
      </w:r>
      <w:r>
        <w:rPr>
          <w:rFonts w:ascii="Times New Roman" w:eastAsia="Times New Roman" w:hAnsi="Times New Roman" w:cs="Times New Roman"/>
          <w:sz w:val="24"/>
          <w:szCs w:val="24"/>
          <w:lang w:val="lt-LT"/>
        </w:rPr>
        <w:t>ja</w:t>
      </w:r>
      <w:r w:rsidR="00FF5531" w:rsidRPr="002F50D2">
        <w:rPr>
          <w:rFonts w:ascii="Times New Roman" w:eastAsia="Times New Roman" w:hAnsi="Times New Roman" w:cs="Times New Roman"/>
          <w:sz w:val="24"/>
          <w:szCs w:val="24"/>
          <w:lang w:val="lt-LT"/>
        </w:rPr>
        <w:t>, kad notariniai veiksmai, dėl kurių pateiktus Išaiškinimus Konkurencijos</w:t>
      </w:r>
      <w:r w:rsidR="00FF5531" w:rsidRPr="009C64EB">
        <w:rPr>
          <w:rFonts w:ascii="Times New Roman" w:eastAsia="Times New Roman" w:hAnsi="Times New Roman" w:cs="Times New Roman"/>
          <w:sz w:val="24"/>
          <w:szCs w:val="24"/>
          <w:lang w:val="lt-LT"/>
        </w:rPr>
        <w:t xml:space="preserve"> taryba Nutarime laikė draudžiamu susitarimu, nėra priskirtini viešosios valdžios funkcijoms, taigi notarų veikla, dėl kurios priimti minėti </w:t>
      </w:r>
      <w:r w:rsidR="00FF5531">
        <w:rPr>
          <w:rFonts w:ascii="Times New Roman" w:eastAsia="Times New Roman" w:hAnsi="Times New Roman" w:cs="Times New Roman"/>
          <w:sz w:val="24"/>
          <w:szCs w:val="24"/>
          <w:lang w:val="lt-LT"/>
        </w:rPr>
        <w:t>I</w:t>
      </w:r>
      <w:r w:rsidR="00FF5531" w:rsidRPr="009C64EB">
        <w:rPr>
          <w:rFonts w:ascii="Times New Roman" w:eastAsia="Times New Roman" w:hAnsi="Times New Roman" w:cs="Times New Roman"/>
          <w:sz w:val="24"/>
          <w:szCs w:val="24"/>
          <w:lang w:val="lt-LT"/>
        </w:rPr>
        <w:t xml:space="preserve">šaiškinimai, laikytina ekonomine veikla, o notarai, </w:t>
      </w:r>
      <w:r w:rsidR="00B11698" w:rsidRPr="00BB60C6">
        <w:rPr>
          <w:rFonts w:ascii="Times New Roman" w:eastAsia="Times New Roman" w:hAnsi="Times New Roman" w:cs="Times New Roman"/>
          <w:sz w:val="24"/>
          <w:szCs w:val="24"/>
          <w:lang w:val="lt-LT"/>
        </w:rPr>
        <w:t>užsiimdami šia veikla</w:t>
      </w:r>
      <w:r w:rsidR="00FF5531" w:rsidRPr="00BB60C6">
        <w:rPr>
          <w:rFonts w:ascii="Times New Roman" w:eastAsia="Times New Roman" w:hAnsi="Times New Roman" w:cs="Times New Roman"/>
          <w:sz w:val="24"/>
          <w:szCs w:val="24"/>
          <w:lang w:val="lt-LT"/>
        </w:rPr>
        <w:t>,</w:t>
      </w:r>
      <w:r w:rsidR="00FF5531" w:rsidRPr="009C64EB">
        <w:rPr>
          <w:rFonts w:ascii="Times New Roman" w:eastAsia="Times New Roman" w:hAnsi="Times New Roman" w:cs="Times New Roman"/>
          <w:sz w:val="24"/>
          <w:szCs w:val="24"/>
          <w:lang w:val="lt-LT"/>
        </w:rPr>
        <w:t xml:space="preserve"> laikytini įmonėmis SESV 101 straipsnio 1</w:t>
      </w:r>
      <w:r w:rsidR="00B11698">
        <w:rPr>
          <w:rFonts w:ascii="Times New Roman" w:eastAsia="Times New Roman" w:hAnsi="Times New Roman" w:cs="Times New Roman"/>
          <w:sz w:val="24"/>
          <w:szCs w:val="24"/>
          <w:lang w:val="lt-LT"/>
        </w:rPr>
        <w:t> </w:t>
      </w:r>
      <w:r w:rsidR="00FF5531" w:rsidRPr="009C64EB">
        <w:rPr>
          <w:rFonts w:ascii="Times New Roman" w:eastAsia="Times New Roman" w:hAnsi="Times New Roman" w:cs="Times New Roman"/>
          <w:sz w:val="24"/>
          <w:szCs w:val="24"/>
          <w:lang w:val="lt-LT"/>
        </w:rPr>
        <w:t>dalies prasme ir ūkio subjektais Konkurencijos įstatymo prasme.</w:t>
      </w:r>
    </w:p>
    <w:p w14:paraId="2381BC49" w14:textId="77777777" w:rsidR="00FF5531" w:rsidRPr="009C64EB" w:rsidRDefault="00FF5531" w:rsidP="00FF5531">
      <w:pPr>
        <w:tabs>
          <w:tab w:val="left" w:pos="567"/>
          <w:tab w:val="left" w:pos="1134"/>
        </w:tabs>
        <w:spacing w:after="0" w:line="240" w:lineRule="auto"/>
        <w:contextualSpacing/>
        <w:jc w:val="both"/>
        <w:rPr>
          <w:rFonts w:ascii="Times New Roman" w:eastAsia="Times New Roman" w:hAnsi="Times New Roman" w:cs="Times New Roman"/>
          <w:sz w:val="24"/>
          <w:szCs w:val="24"/>
          <w:lang w:val="lt-LT"/>
        </w:rPr>
      </w:pPr>
    </w:p>
    <w:p w14:paraId="43211097" w14:textId="12D3C8BA" w:rsidR="00FF5531" w:rsidRPr="009C64EB" w:rsidRDefault="00FF5531" w:rsidP="00FF5531">
      <w:pPr>
        <w:tabs>
          <w:tab w:val="left" w:pos="993"/>
          <w:tab w:val="left" w:pos="1276"/>
        </w:tabs>
        <w:spacing w:after="0" w:line="240" w:lineRule="auto"/>
        <w:ind w:firstLine="680"/>
        <w:jc w:val="both"/>
        <w:rPr>
          <w:rFonts w:ascii="Times New Roman" w:eastAsia="Times New Roman" w:hAnsi="Times New Roman" w:cs="Times New Roman"/>
          <w:i/>
          <w:iCs/>
          <w:sz w:val="24"/>
          <w:szCs w:val="24"/>
          <w:lang w:val="lt-LT"/>
        </w:rPr>
      </w:pPr>
      <w:r w:rsidRPr="009C64EB">
        <w:rPr>
          <w:rFonts w:ascii="Times New Roman" w:eastAsia="Times New Roman" w:hAnsi="Times New Roman" w:cs="Times New Roman"/>
          <w:i/>
          <w:iCs/>
          <w:sz w:val="24"/>
          <w:szCs w:val="24"/>
          <w:lang w:val="lt-LT"/>
        </w:rPr>
        <w:t xml:space="preserve">Dėl </w:t>
      </w:r>
      <w:bookmarkStart w:id="95" w:name="_Hlk180410537"/>
      <w:r w:rsidR="00E8754A">
        <w:rPr>
          <w:rFonts w:ascii="Times New Roman" w:eastAsia="Times New Roman" w:hAnsi="Times New Roman" w:cs="Times New Roman"/>
          <w:i/>
          <w:iCs/>
          <w:sz w:val="24"/>
          <w:szCs w:val="24"/>
          <w:lang w:val="lt-LT"/>
        </w:rPr>
        <w:t>N</w:t>
      </w:r>
      <w:r w:rsidRPr="009C64EB">
        <w:rPr>
          <w:rFonts w:ascii="Times New Roman" w:eastAsia="Times New Roman" w:hAnsi="Times New Roman" w:cs="Times New Roman"/>
          <w:i/>
          <w:iCs/>
          <w:sz w:val="24"/>
          <w:szCs w:val="24"/>
          <w:lang w:val="lt-LT"/>
        </w:rPr>
        <w:t>otarų rūmų kaip asociacijos Konkurencijos įstatymo ir SESV 101 straipsnio prasme</w:t>
      </w:r>
      <w:bookmarkEnd w:id="95"/>
    </w:p>
    <w:p w14:paraId="6686430D" w14:textId="77777777" w:rsidR="00FF5531" w:rsidRPr="009C64EB" w:rsidRDefault="00FF5531" w:rsidP="00FF5531">
      <w:pPr>
        <w:tabs>
          <w:tab w:val="left" w:pos="567"/>
          <w:tab w:val="left" w:pos="1134"/>
        </w:tabs>
        <w:spacing w:after="0" w:line="240" w:lineRule="auto"/>
        <w:contextualSpacing/>
        <w:jc w:val="both"/>
        <w:rPr>
          <w:rFonts w:ascii="Times New Roman" w:eastAsia="Times New Roman" w:hAnsi="Times New Roman" w:cs="Times New Roman"/>
          <w:sz w:val="24"/>
          <w:szCs w:val="24"/>
          <w:lang w:val="lt-LT"/>
        </w:rPr>
      </w:pPr>
    </w:p>
    <w:p w14:paraId="3F2A6BC9" w14:textId="0845BC88" w:rsidR="00FF5531" w:rsidRDefault="00FF553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Ginčijamame Nutarime Konkurencijos taryba </w:t>
      </w:r>
      <w:r w:rsidR="00C70E3E">
        <w:rPr>
          <w:rFonts w:ascii="Times New Roman" w:eastAsia="Times New Roman" w:hAnsi="Times New Roman" w:cs="Times New Roman"/>
          <w:sz w:val="24"/>
          <w:szCs w:val="24"/>
          <w:lang w:val="lt-LT"/>
        </w:rPr>
        <w:t>laikėsi pozicijos</w:t>
      </w:r>
      <w:r w:rsidRPr="009C64EB">
        <w:rPr>
          <w:rFonts w:ascii="Times New Roman" w:eastAsia="Times New Roman" w:hAnsi="Times New Roman" w:cs="Times New Roman"/>
          <w:sz w:val="24"/>
          <w:szCs w:val="24"/>
          <w:lang w:val="lt-LT"/>
        </w:rPr>
        <w:t xml:space="preserve">, kad Notarų rūmai </w:t>
      </w:r>
      <w:r w:rsidR="00AC4432" w:rsidRPr="009C64EB">
        <w:rPr>
          <w:rFonts w:ascii="Times New Roman" w:eastAsia="Times New Roman" w:hAnsi="Times New Roman" w:cs="Times New Roman"/>
          <w:sz w:val="24"/>
          <w:szCs w:val="24"/>
          <w:lang w:val="lt-LT"/>
        </w:rPr>
        <w:t>laikytini asociacija konkurencijos teisės prasme.</w:t>
      </w:r>
    </w:p>
    <w:p w14:paraId="1EACE165" w14:textId="02C02A74" w:rsidR="00EC44D4" w:rsidRDefault="00EC44D4"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6B33C3">
        <w:rPr>
          <w:rFonts w:ascii="Times New Roman" w:eastAsia="Times New Roman" w:hAnsi="Times New Roman" w:cs="Times New Roman"/>
          <w:sz w:val="24"/>
          <w:szCs w:val="24"/>
          <w:lang w:val="lt-LT"/>
        </w:rPr>
        <w:t>Pirmosios instancijos teismas</w:t>
      </w:r>
      <w:r w:rsidR="00F25E95">
        <w:rPr>
          <w:rFonts w:ascii="Times New Roman" w:eastAsia="Times New Roman" w:hAnsi="Times New Roman" w:cs="Times New Roman"/>
          <w:sz w:val="24"/>
          <w:szCs w:val="24"/>
          <w:lang w:val="lt-LT"/>
        </w:rPr>
        <w:t xml:space="preserve"> </w:t>
      </w:r>
      <w:r w:rsidR="00D80E90">
        <w:rPr>
          <w:rFonts w:ascii="Times New Roman" w:eastAsia="Times New Roman" w:hAnsi="Times New Roman" w:cs="Times New Roman"/>
          <w:sz w:val="24"/>
          <w:szCs w:val="24"/>
          <w:lang w:val="lt-LT"/>
        </w:rPr>
        <w:t xml:space="preserve">šiuo aspektu nurodė, kad </w:t>
      </w:r>
      <w:r w:rsidR="00D80E90" w:rsidRPr="00D80E90">
        <w:rPr>
          <w:rFonts w:ascii="Times New Roman" w:eastAsia="Times New Roman" w:hAnsi="Times New Roman" w:cs="Times New Roman"/>
          <w:sz w:val="24"/>
          <w:szCs w:val="24"/>
          <w:lang w:val="lt-LT"/>
        </w:rPr>
        <w:t>Lietuvos Notarų rūmai, tai profesinę savivaldą įgyvendinanti asociacija, kurios nariai laikytini laisvosios profesijos atstovais</w:t>
      </w:r>
      <w:r w:rsidR="006B33C3" w:rsidRPr="006B33C3">
        <w:rPr>
          <w:rFonts w:ascii="Times New Roman" w:eastAsia="Times New Roman" w:hAnsi="Times New Roman" w:cs="Times New Roman"/>
          <w:sz w:val="24"/>
          <w:szCs w:val="24"/>
          <w:lang w:val="lt-LT"/>
        </w:rPr>
        <w:t>.</w:t>
      </w:r>
      <w:r w:rsidR="00D80E90">
        <w:rPr>
          <w:rFonts w:ascii="Times New Roman" w:eastAsia="Times New Roman" w:hAnsi="Times New Roman" w:cs="Times New Roman"/>
          <w:sz w:val="24"/>
          <w:szCs w:val="24"/>
          <w:lang w:val="lt-LT"/>
        </w:rPr>
        <w:t xml:space="preserve"> Anot teismo, </w:t>
      </w:r>
      <w:r w:rsidR="00D80E90" w:rsidRPr="00D80E90">
        <w:rPr>
          <w:rFonts w:ascii="Times New Roman" w:eastAsia="Times New Roman" w:hAnsi="Times New Roman" w:cs="Times New Roman"/>
          <w:sz w:val="24"/>
          <w:szCs w:val="24"/>
          <w:lang w:val="lt-LT"/>
        </w:rPr>
        <w:t>pateikdami Išaiškinimus</w:t>
      </w:r>
      <w:r w:rsidR="00D80E90">
        <w:rPr>
          <w:rFonts w:ascii="Times New Roman" w:eastAsia="Times New Roman" w:hAnsi="Times New Roman" w:cs="Times New Roman"/>
          <w:sz w:val="24"/>
          <w:szCs w:val="24"/>
          <w:lang w:val="lt-LT"/>
        </w:rPr>
        <w:t>,</w:t>
      </w:r>
      <w:r w:rsidR="00D80E90" w:rsidRPr="00D80E90">
        <w:rPr>
          <w:rFonts w:ascii="Times New Roman" w:eastAsia="Times New Roman" w:hAnsi="Times New Roman" w:cs="Times New Roman"/>
          <w:sz w:val="24"/>
          <w:szCs w:val="24"/>
          <w:lang w:val="lt-LT"/>
        </w:rPr>
        <w:t xml:space="preserve"> Notarų rūmai vykdė jiems tiesiogiai įstatyme nustatytą viešąją funkciją (uždavinį) – notarinės praktikos vienodinimą</w:t>
      </w:r>
      <w:r w:rsidR="0062472D">
        <w:rPr>
          <w:rFonts w:ascii="Times New Roman" w:eastAsia="Times New Roman" w:hAnsi="Times New Roman" w:cs="Times New Roman"/>
          <w:sz w:val="24"/>
          <w:szCs w:val="24"/>
          <w:lang w:val="lt-LT"/>
        </w:rPr>
        <w:t>, t</w:t>
      </w:r>
      <w:r w:rsidR="00D80E90" w:rsidRPr="00D80E90">
        <w:rPr>
          <w:rFonts w:ascii="Times New Roman" w:eastAsia="Times New Roman" w:hAnsi="Times New Roman" w:cs="Times New Roman"/>
          <w:sz w:val="24"/>
          <w:szCs w:val="24"/>
          <w:lang w:val="lt-LT"/>
        </w:rPr>
        <w:t>odėl nagrinėjamo ginčo kontekste, atsižvelgiant į tai, kad Notarų rūmai veikė teisės aktais jiems nustatytos kompetencijos ribose (Notariato įstatymo 9 straipsnio 5 dalis, Statuto 8 straipsnio 6, 7 punktai), Notarų rūmai negalėjo būti prilyginami ūkio subjektui, kaip jis apibrėžtas Konkurencijos įstatymo 3 straipsnio 22 dalyje.</w:t>
      </w:r>
      <w:r w:rsidR="00D80E90">
        <w:rPr>
          <w:rFonts w:ascii="Times New Roman" w:eastAsia="Times New Roman" w:hAnsi="Times New Roman" w:cs="Times New Roman"/>
          <w:sz w:val="24"/>
          <w:szCs w:val="24"/>
          <w:lang w:val="lt-LT"/>
        </w:rPr>
        <w:t xml:space="preserve"> </w:t>
      </w:r>
      <w:r w:rsidR="0062472D">
        <w:rPr>
          <w:rFonts w:ascii="Times New Roman" w:eastAsia="Times New Roman" w:hAnsi="Times New Roman" w:cs="Times New Roman"/>
          <w:sz w:val="24"/>
          <w:szCs w:val="24"/>
          <w:lang w:val="lt-LT"/>
        </w:rPr>
        <w:t xml:space="preserve">Nurodęs tam tikrą nagrinėjamu klausimu reikšmingą Teisingumo Teismo jurisprudenciją, </w:t>
      </w:r>
      <w:r w:rsidR="00D80E90">
        <w:rPr>
          <w:rFonts w:ascii="Times New Roman" w:eastAsia="Times New Roman" w:hAnsi="Times New Roman" w:cs="Times New Roman"/>
          <w:sz w:val="24"/>
          <w:szCs w:val="24"/>
          <w:lang w:val="lt-LT"/>
        </w:rPr>
        <w:t>pirmosios instancijos teismas</w:t>
      </w:r>
      <w:r w:rsidR="0062472D">
        <w:rPr>
          <w:rFonts w:ascii="Times New Roman" w:eastAsia="Times New Roman" w:hAnsi="Times New Roman" w:cs="Times New Roman"/>
          <w:sz w:val="24"/>
          <w:szCs w:val="24"/>
          <w:lang w:val="lt-LT"/>
        </w:rPr>
        <w:t xml:space="preserve"> vis dėlto nevertino ir nepasisakė dėl Notarų rūmų kaip asociacijos Konkurencijos įstatymo ir SESV 101 straipsnio prasme.</w:t>
      </w:r>
    </w:p>
    <w:p w14:paraId="33E6C375" w14:textId="613C2B8E" w:rsidR="00971B2C" w:rsidRDefault="00BE1045"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513775">
        <w:rPr>
          <w:rFonts w:ascii="Times New Roman" w:eastAsia="Times New Roman" w:hAnsi="Times New Roman" w:cs="Times New Roman"/>
          <w:sz w:val="24"/>
          <w:szCs w:val="24"/>
          <w:lang w:val="lt-LT"/>
        </w:rPr>
        <w:t xml:space="preserve">Atsakovas apeliaciniame skunde, </w:t>
      </w:r>
      <w:r w:rsidR="00D4018B">
        <w:rPr>
          <w:rFonts w:ascii="Times New Roman" w:eastAsia="Times New Roman" w:hAnsi="Times New Roman" w:cs="Times New Roman"/>
          <w:sz w:val="24"/>
          <w:szCs w:val="24"/>
          <w:lang w:val="lt-LT"/>
        </w:rPr>
        <w:t>grįsdamas Nutarim</w:t>
      </w:r>
      <w:r w:rsidR="004975E4">
        <w:rPr>
          <w:rFonts w:ascii="Times New Roman" w:eastAsia="Times New Roman" w:hAnsi="Times New Roman" w:cs="Times New Roman"/>
          <w:sz w:val="24"/>
          <w:szCs w:val="24"/>
          <w:lang w:val="lt-LT"/>
        </w:rPr>
        <w:t>o</w:t>
      </w:r>
      <w:r w:rsidR="00D4018B">
        <w:rPr>
          <w:rFonts w:ascii="Times New Roman" w:eastAsia="Times New Roman" w:hAnsi="Times New Roman" w:cs="Times New Roman"/>
          <w:sz w:val="24"/>
          <w:szCs w:val="24"/>
          <w:lang w:val="lt-LT"/>
        </w:rPr>
        <w:t xml:space="preserve"> išvadas dėl Notarų rūmų kaip asociacijos konkurencijos teisės prasme, </w:t>
      </w:r>
      <w:r w:rsidR="0053550A">
        <w:rPr>
          <w:rFonts w:ascii="Times New Roman" w:eastAsia="Times New Roman" w:hAnsi="Times New Roman" w:cs="Times New Roman"/>
          <w:sz w:val="24"/>
          <w:szCs w:val="24"/>
          <w:lang w:val="lt-LT"/>
        </w:rPr>
        <w:t xml:space="preserve">iš esmės pakartoja </w:t>
      </w:r>
      <w:r w:rsidR="00956C0F">
        <w:rPr>
          <w:rFonts w:ascii="Times New Roman" w:eastAsia="Times New Roman" w:hAnsi="Times New Roman" w:cs="Times New Roman"/>
          <w:sz w:val="24"/>
          <w:szCs w:val="24"/>
          <w:lang w:val="lt-LT"/>
        </w:rPr>
        <w:t xml:space="preserve">argumentus, kad </w:t>
      </w:r>
      <w:r w:rsidR="00971B2C" w:rsidRPr="009C64EB">
        <w:rPr>
          <w:rFonts w:ascii="Times New Roman" w:eastAsia="Times New Roman" w:hAnsi="Times New Roman" w:cs="Times New Roman"/>
          <w:sz w:val="24"/>
          <w:szCs w:val="24"/>
          <w:lang w:val="lt-LT"/>
        </w:rPr>
        <w:t xml:space="preserve">Lietuvos notarų rūmai </w:t>
      </w:r>
      <w:r w:rsidR="00971B2C" w:rsidRPr="009C64EB">
        <w:rPr>
          <w:rFonts w:ascii="Times New Roman" w:eastAsia="Times New Roman" w:hAnsi="Times New Roman" w:cs="Times New Roman"/>
          <w:sz w:val="24"/>
          <w:szCs w:val="24"/>
          <w:lang w:val="lt-LT"/>
        </w:rPr>
        <w:lastRenderedPageBreak/>
        <w:t>koordinuoja notarų veiklą</w:t>
      </w:r>
      <w:r w:rsidR="00472CAC">
        <w:rPr>
          <w:rFonts w:ascii="Times New Roman" w:eastAsia="Times New Roman" w:hAnsi="Times New Roman" w:cs="Times New Roman"/>
          <w:sz w:val="24"/>
          <w:szCs w:val="24"/>
          <w:lang w:val="lt-LT"/>
        </w:rPr>
        <w:t xml:space="preserve">, </w:t>
      </w:r>
      <w:r w:rsidR="00971B2C" w:rsidRPr="009C64EB">
        <w:rPr>
          <w:rFonts w:ascii="Times New Roman" w:eastAsia="Times New Roman" w:hAnsi="Times New Roman" w:cs="Times New Roman"/>
          <w:sz w:val="24"/>
          <w:szCs w:val="24"/>
          <w:lang w:val="lt-LT"/>
        </w:rPr>
        <w:t xml:space="preserve">atstovauja notarų interesams. Notarų valdymo organų narius renka patys notarai, </w:t>
      </w:r>
      <w:r w:rsidR="0061182F" w:rsidRPr="009C64EB">
        <w:rPr>
          <w:rFonts w:ascii="Times New Roman" w:eastAsia="Times New Roman" w:hAnsi="Times New Roman" w:cs="Times New Roman"/>
          <w:sz w:val="24"/>
          <w:szCs w:val="24"/>
          <w:lang w:val="lt-LT"/>
        </w:rPr>
        <w:t>Prezidiumo nariai yra atskaitingi jų kandidatūrą iškėlusios apygardos notarams</w:t>
      </w:r>
      <w:r w:rsidR="0061182F">
        <w:rPr>
          <w:rFonts w:ascii="Times New Roman" w:eastAsia="Times New Roman" w:hAnsi="Times New Roman" w:cs="Times New Roman"/>
          <w:sz w:val="24"/>
          <w:szCs w:val="24"/>
          <w:lang w:val="lt-LT"/>
        </w:rPr>
        <w:t>,</w:t>
      </w:r>
      <w:r w:rsidR="0061182F" w:rsidRPr="009C64EB">
        <w:rPr>
          <w:rFonts w:ascii="Times New Roman" w:eastAsia="Times New Roman" w:hAnsi="Times New Roman" w:cs="Times New Roman"/>
          <w:sz w:val="24"/>
          <w:szCs w:val="24"/>
          <w:lang w:val="lt-LT"/>
        </w:rPr>
        <w:t xml:space="preserve"> </w:t>
      </w:r>
      <w:r w:rsidR="00971B2C" w:rsidRPr="009C64EB">
        <w:rPr>
          <w:rFonts w:ascii="Times New Roman" w:eastAsia="Times New Roman" w:hAnsi="Times New Roman" w:cs="Times New Roman"/>
          <w:sz w:val="24"/>
          <w:szCs w:val="24"/>
          <w:lang w:val="lt-LT"/>
        </w:rPr>
        <w:t>o valstybės institucijos neturi galimybių daryti įtak</w:t>
      </w:r>
      <w:r w:rsidR="00971B2C">
        <w:rPr>
          <w:rFonts w:ascii="Times New Roman" w:eastAsia="Times New Roman" w:hAnsi="Times New Roman" w:cs="Times New Roman"/>
          <w:sz w:val="24"/>
          <w:szCs w:val="24"/>
          <w:lang w:val="lt-LT"/>
        </w:rPr>
        <w:t>ą</w:t>
      </w:r>
      <w:r w:rsidR="00971B2C" w:rsidRPr="009C64EB">
        <w:rPr>
          <w:rFonts w:ascii="Times New Roman" w:eastAsia="Times New Roman" w:hAnsi="Times New Roman" w:cs="Times New Roman"/>
          <w:sz w:val="24"/>
          <w:szCs w:val="24"/>
          <w:lang w:val="lt-LT"/>
        </w:rPr>
        <w:t xml:space="preserve"> šių organų narių išrinkimui. Be to, </w:t>
      </w:r>
      <w:r w:rsidR="0061182F">
        <w:rPr>
          <w:rFonts w:ascii="Times New Roman" w:eastAsia="Times New Roman" w:hAnsi="Times New Roman" w:cs="Times New Roman"/>
          <w:sz w:val="24"/>
          <w:szCs w:val="24"/>
          <w:lang w:val="lt-LT"/>
        </w:rPr>
        <w:t>jokiuose teisės aktuose</w:t>
      </w:r>
      <w:r w:rsidR="00971B2C" w:rsidRPr="009C64EB">
        <w:rPr>
          <w:rFonts w:ascii="Times New Roman" w:eastAsia="Times New Roman" w:hAnsi="Times New Roman" w:cs="Times New Roman"/>
          <w:sz w:val="24"/>
          <w:szCs w:val="24"/>
          <w:lang w:val="lt-LT"/>
        </w:rPr>
        <w:t xml:space="preserve"> nėra įtvirtinta, jog Notarų rūmai, vykdydami pavestas funkcijas, privalėtų vadovautis viešuoju interesu, kitų ūkio subjektų ar vartotojų interesais.</w:t>
      </w:r>
      <w:r w:rsidR="00AB1B15">
        <w:rPr>
          <w:rFonts w:ascii="Times New Roman" w:eastAsia="Times New Roman" w:hAnsi="Times New Roman" w:cs="Times New Roman"/>
          <w:sz w:val="24"/>
          <w:szCs w:val="24"/>
          <w:lang w:val="lt-LT"/>
        </w:rPr>
        <w:t xml:space="preserve"> </w:t>
      </w:r>
    </w:p>
    <w:p w14:paraId="07F4A09B" w14:textId="6CFC3323" w:rsidR="005F4213" w:rsidRPr="002C0ED6" w:rsidRDefault="0061182F" w:rsidP="002C0ED6">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502050">
        <w:rPr>
          <w:rFonts w:ascii="Times New Roman" w:eastAsia="Times New Roman" w:hAnsi="Times New Roman" w:cs="Times New Roman"/>
          <w:sz w:val="24"/>
          <w:szCs w:val="24"/>
          <w:lang w:val="lt-LT"/>
        </w:rPr>
        <w:t>Pareiškėjai ir trečiasis suinte</w:t>
      </w:r>
      <w:r w:rsidR="005F4213">
        <w:rPr>
          <w:rFonts w:ascii="Times New Roman" w:eastAsia="Times New Roman" w:hAnsi="Times New Roman" w:cs="Times New Roman"/>
          <w:sz w:val="24"/>
          <w:szCs w:val="24"/>
          <w:lang w:val="lt-LT"/>
        </w:rPr>
        <w:t>resuotas asmuo Teisingumo ministerija</w:t>
      </w:r>
      <w:r w:rsidR="002C0ED6">
        <w:rPr>
          <w:rFonts w:ascii="Times New Roman" w:eastAsia="Times New Roman" w:hAnsi="Times New Roman" w:cs="Times New Roman"/>
          <w:sz w:val="24"/>
          <w:szCs w:val="24"/>
          <w:lang w:val="lt-LT"/>
        </w:rPr>
        <w:t xml:space="preserve"> su tokia pozicija nesutinka, </w:t>
      </w:r>
      <w:r w:rsidR="005F4213" w:rsidRPr="002C0ED6">
        <w:rPr>
          <w:rFonts w:ascii="Times New Roman" w:eastAsia="Times New Roman" w:hAnsi="Times New Roman" w:cs="Times New Roman"/>
          <w:sz w:val="24"/>
          <w:szCs w:val="24"/>
          <w:lang w:val="lt-LT"/>
        </w:rPr>
        <w:t>akcentuo</w:t>
      </w:r>
      <w:r w:rsidR="00FD52F6">
        <w:rPr>
          <w:rFonts w:ascii="Times New Roman" w:eastAsia="Times New Roman" w:hAnsi="Times New Roman" w:cs="Times New Roman"/>
          <w:sz w:val="24"/>
          <w:szCs w:val="24"/>
          <w:lang w:val="lt-LT"/>
        </w:rPr>
        <w:t>dami</w:t>
      </w:r>
      <w:r w:rsidR="005F4213" w:rsidRPr="002C0ED6">
        <w:rPr>
          <w:rFonts w:ascii="Times New Roman" w:eastAsia="Times New Roman" w:hAnsi="Times New Roman" w:cs="Times New Roman"/>
          <w:sz w:val="24"/>
          <w:szCs w:val="24"/>
          <w:lang w:val="lt-LT"/>
        </w:rPr>
        <w:t>, kad Prezidiumo nariai</w:t>
      </w:r>
      <w:r w:rsidR="005F4213" w:rsidRPr="00983A41">
        <w:rPr>
          <w:rFonts w:ascii="Times New Roman" w:eastAsia="Times New Roman" w:hAnsi="Times New Roman" w:cs="Times New Roman"/>
          <w:sz w:val="24"/>
          <w:szCs w:val="24"/>
          <w:lang w:val="lt-LT"/>
        </w:rPr>
        <w:t>, teikdami Išaiškinimus vykd</w:t>
      </w:r>
      <w:r w:rsidR="00AD2D49" w:rsidRPr="00983A41">
        <w:rPr>
          <w:rFonts w:ascii="Times New Roman" w:eastAsia="Times New Roman" w:hAnsi="Times New Roman" w:cs="Times New Roman"/>
          <w:sz w:val="24"/>
          <w:szCs w:val="24"/>
          <w:lang w:val="lt-LT"/>
        </w:rPr>
        <w:t>ė</w:t>
      </w:r>
      <w:r w:rsidR="005F4213" w:rsidRPr="00983A41">
        <w:rPr>
          <w:rFonts w:ascii="Times New Roman" w:eastAsia="Times New Roman" w:hAnsi="Times New Roman" w:cs="Times New Roman"/>
          <w:sz w:val="24"/>
          <w:szCs w:val="24"/>
          <w:lang w:val="lt-LT"/>
        </w:rPr>
        <w:t xml:space="preserve"> viešojo administravimo funkciją, kuri</w:t>
      </w:r>
      <w:r w:rsidR="00B755C1" w:rsidRPr="00983A41">
        <w:rPr>
          <w:rFonts w:ascii="Times New Roman" w:eastAsia="Times New Roman" w:hAnsi="Times New Roman" w:cs="Times New Roman"/>
          <w:sz w:val="24"/>
          <w:szCs w:val="24"/>
          <w:lang w:val="lt-LT"/>
        </w:rPr>
        <w:t xml:space="preserve"> </w:t>
      </w:r>
      <w:r w:rsidR="005F4213" w:rsidRPr="00983A41">
        <w:rPr>
          <w:rFonts w:ascii="Times New Roman" w:eastAsia="Times New Roman" w:hAnsi="Times New Roman" w:cs="Times New Roman"/>
          <w:sz w:val="24"/>
          <w:szCs w:val="24"/>
          <w:lang w:val="lt-LT"/>
        </w:rPr>
        <w:t xml:space="preserve">turėtų būti suprantama ir kaip viešojo intereso užtikrinimas konkrečioje srityje. Ta aplinkybė, kad Prezidiumo narius renka Lietuvos notarų rūmų susirinkimas pagal Statuto 20 punktą, </w:t>
      </w:r>
      <w:r w:rsidR="005D1081" w:rsidRPr="00983A41">
        <w:rPr>
          <w:rFonts w:ascii="Times New Roman" w:eastAsia="Times New Roman" w:hAnsi="Times New Roman" w:cs="Times New Roman"/>
          <w:sz w:val="24"/>
          <w:szCs w:val="24"/>
          <w:lang w:val="lt-LT"/>
        </w:rPr>
        <w:t xml:space="preserve">jų nuomone, </w:t>
      </w:r>
      <w:r w:rsidR="005F4213" w:rsidRPr="00983A41">
        <w:rPr>
          <w:rFonts w:ascii="Times New Roman" w:eastAsia="Times New Roman" w:hAnsi="Times New Roman" w:cs="Times New Roman"/>
          <w:sz w:val="24"/>
          <w:szCs w:val="24"/>
          <w:lang w:val="lt-LT"/>
        </w:rPr>
        <w:t xml:space="preserve">savaime nepaneigia išvados, kad Prezidiumo kompetencija yra susijusi su Lietuvos notarų rūmų veikla, vykdant jiems suteiktas viešojo administravimo funkcijas, kurių iš esmės negalima atsisakyti vykdyti. </w:t>
      </w:r>
      <w:r w:rsidR="001913DE">
        <w:rPr>
          <w:rFonts w:ascii="Times New Roman" w:eastAsia="Times New Roman" w:hAnsi="Times New Roman" w:cs="Times New Roman"/>
          <w:sz w:val="24"/>
          <w:szCs w:val="24"/>
          <w:lang w:val="lt-LT"/>
        </w:rPr>
        <w:t>V</w:t>
      </w:r>
      <w:r w:rsidR="005F4213" w:rsidRPr="00983A41">
        <w:rPr>
          <w:rFonts w:ascii="Times New Roman" w:eastAsia="Times New Roman" w:hAnsi="Times New Roman" w:cs="Times New Roman"/>
          <w:sz w:val="24"/>
          <w:szCs w:val="24"/>
          <w:lang w:val="lt-LT"/>
        </w:rPr>
        <w:t>iešasis interesas yra ir tai, kad notarų paslaugų įkainiai būtų aiškūs, skaidriai nustatomi ir teisės aktai būtų taikomi visiems vienodai,</w:t>
      </w:r>
      <w:r w:rsidR="005F4213" w:rsidRPr="002C0ED6">
        <w:rPr>
          <w:rFonts w:ascii="Times New Roman" w:eastAsia="Times New Roman" w:hAnsi="Times New Roman" w:cs="Times New Roman"/>
          <w:sz w:val="24"/>
          <w:szCs w:val="24"/>
          <w:lang w:val="lt-LT"/>
        </w:rPr>
        <w:t xml:space="preserve"> o šie aspektai iš esmės atitinka Teisingumo Teismo praktiką vertinant asociacijos priimto sprendimo teisėtumą (Teisingumo Teismo 2002 m. vasario 19 d. sprendimas byloje Nr. C-35/99, </w:t>
      </w:r>
      <w:proofErr w:type="spellStart"/>
      <w:r w:rsidR="005F4213" w:rsidRPr="00E23F0D">
        <w:rPr>
          <w:rFonts w:ascii="Times New Roman" w:eastAsia="Times New Roman" w:hAnsi="Times New Roman" w:cs="Times New Roman"/>
          <w:i/>
          <w:iCs/>
          <w:sz w:val="24"/>
          <w:szCs w:val="24"/>
          <w:lang w:val="lt-LT"/>
        </w:rPr>
        <w:t>Maunele</w:t>
      </w:r>
      <w:proofErr w:type="spellEnd"/>
      <w:r w:rsidR="005F4213" w:rsidRPr="00E23F0D">
        <w:rPr>
          <w:rFonts w:ascii="Times New Roman" w:eastAsia="Times New Roman" w:hAnsi="Times New Roman" w:cs="Times New Roman"/>
          <w:i/>
          <w:iCs/>
          <w:sz w:val="24"/>
          <w:szCs w:val="24"/>
          <w:lang w:val="lt-LT"/>
        </w:rPr>
        <w:t xml:space="preserve"> </w:t>
      </w:r>
      <w:proofErr w:type="spellStart"/>
      <w:r w:rsidR="005F4213" w:rsidRPr="00E23F0D">
        <w:rPr>
          <w:rFonts w:ascii="Times New Roman" w:eastAsia="Times New Roman" w:hAnsi="Times New Roman" w:cs="Times New Roman"/>
          <w:i/>
          <w:iCs/>
          <w:sz w:val="24"/>
          <w:szCs w:val="24"/>
          <w:lang w:val="lt-LT"/>
        </w:rPr>
        <w:t>Arfuiono</w:t>
      </w:r>
      <w:proofErr w:type="spellEnd"/>
      <w:r w:rsidR="005F4213" w:rsidRPr="00E23F0D">
        <w:rPr>
          <w:rFonts w:ascii="Times New Roman" w:eastAsia="Times New Roman" w:hAnsi="Times New Roman" w:cs="Times New Roman"/>
          <w:i/>
          <w:iCs/>
          <w:sz w:val="24"/>
          <w:szCs w:val="24"/>
          <w:lang w:val="lt-LT"/>
        </w:rPr>
        <w:t xml:space="preserve"> prieš </w:t>
      </w:r>
      <w:proofErr w:type="spellStart"/>
      <w:r w:rsidR="005F4213" w:rsidRPr="00E23F0D">
        <w:rPr>
          <w:rFonts w:ascii="Times New Roman" w:eastAsia="Times New Roman" w:hAnsi="Times New Roman" w:cs="Times New Roman"/>
          <w:i/>
          <w:iCs/>
          <w:sz w:val="24"/>
          <w:szCs w:val="24"/>
          <w:lang w:val="lt-LT"/>
        </w:rPr>
        <w:t>Compagnia</w:t>
      </w:r>
      <w:proofErr w:type="spellEnd"/>
      <w:r w:rsidR="005F4213" w:rsidRPr="00E23F0D">
        <w:rPr>
          <w:rFonts w:ascii="Times New Roman" w:eastAsia="Times New Roman" w:hAnsi="Times New Roman" w:cs="Times New Roman"/>
          <w:i/>
          <w:iCs/>
          <w:sz w:val="24"/>
          <w:szCs w:val="24"/>
          <w:lang w:val="lt-LT"/>
        </w:rPr>
        <w:t xml:space="preserve"> </w:t>
      </w:r>
      <w:proofErr w:type="spellStart"/>
      <w:r w:rsidR="005F4213" w:rsidRPr="00E23F0D">
        <w:rPr>
          <w:rFonts w:ascii="Times New Roman" w:eastAsia="Times New Roman" w:hAnsi="Times New Roman" w:cs="Times New Roman"/>
          <w:i/>
          <w:iCs/>
          <w:sz w:val="24"/>
          <w:szCs w:val="24"/>
          <w:lang w:val="lt-LT"/>
        </w:rPr>
        <w:t>Assicuratrice</w:t>
      </w:r>
      <w:proofErr w:type="spellEnd"/>
      <w:r w:rsidR="005F4213" w:rsidRPr="00E23F0D">
        <w:rPr>
          <w:rFonts w:ascii="Times New Roman" w:eastAsia="Times New Roman" w:hAnsi="Times New Roman" w:cs="Times New Roman"/>
          <w:i/>
          <w:iCs/>
          <w:sz w:val="24"/>
          <w:szCs w:val="24"/>
          <w:lang w:val="lt-LT"/>
        </w:rPr>
        <w:t xml:space="preserve"> RAS </w:t>
      </w:r>
      <w:proofErr w:type="spellStart"/>
      <w:r w:rsidR="005F4213" w:rsidRPr="00E23F0D">
        <w:rPr>
          <w:rFonts w:ascii="Times New Roman" w:eastAsia="Times New Roman" w:hAnsi="Times New Roman" w:cs="Times New Roman"/>
          <w:i/>
          <w:iCs/>
          <w:sz w:val="24"/>
          <w:szCs w:val="24"/>
          <w:lang w:val="lt-LT"/>
        </w:rPr>
        <w:t>spA</w:t>
      </w:r>
      <w:proofErr w:type="spellEnd"/>
      <w:r w:rsidR="005F4213" w:rsidRPr="002C0ED6">
        <w:rPr>
          <w:rFonts w:ascii="Times New Roman" w:eastAsia="Times New Roman" w:hAnsi="Times New Roman" w:cs="Times New Roman"/>
          <w:sz w:val="24"/>
          <w:szCs w:val="24"/>
          <w:lang w:val="lt-LT"/>
        </w:rPr>
        <w:t>, 37</w:t>
      </w:r>
      <w:r w:rsidR="009759EC">
        <w:rPr>
          <w:rFonts w:ascii="Times New Roman" w:eastAsia="Times New Roman" w:hAnsi="Times New Roman" w:cs="Times New Roman"/>
          <w:sz w:val="24"/>
          <w:szCs w:val="24"/>
          <w:lang w:val="lt-LT"/>
        </w:rPr>
        <w:t> </w:t>
      </w:r>
      <w:r w:rsidR="005F4213" w:rsidRPr="002C0ED6">
        <w:rPr>
          <w:rFonts w:ascii="Times New Roman" w:eastAsia="Times New Roman" w:hAnsi="Times New Roman" w:cs="Times New Roman"/>
          <w:sz w:val="24"/>
          <w:szCs w:val="24"/>
          <w:lang w:val="lt-LT"/>
        </w:rPr>
        <w:t>p</w:t>
      </w:r>
      <w:r w:rsidR="009759EC">
        <w:rPr>
          <w:rFonts w:ascii="Times New Roman" w:eastAsia="Times New Roman" w:hAnsi="Times New Roman" w:cs="Times New Roman"/>
          <w:sz w:val="24"/>
          <w:szCs w:val="24"/>
          <w:lang w:val="lt-LT"/>
        </w:rPr>
        <w:t>.</w:t>
      </w:r>
      <w:r w:rsidR="005F4213" w:rsidRPr="002C0ED6">
        <w:rPr>
          <w:rFonts w:ascii="Times New Roman" w:eastAsia="Times New Roman" w:hAnsi="Times New Roman" w:cs="Times New Roman"/>
          <w:sz w:val="24"/>
          <w:szCs w:val="24"/>
          <w:lang w:val="lt-LT"/>
        </w:rPr>
        <w:t>)</w:t>
      </w:r>
      <w:r w:rsidR="00E23F0D">
        <w:rPr>
          <w:rFonts w:ascii="Times New Roman" w:eastAsia="Times New Roman" w:hAnsi="Times New Roman" w:cs="Times New Roman"/>
          <w:sz w:val="24"/>
          <w:szCs w:val="24"/>
          <w:lang w:val="lt-LT"/>
        </w:rPr>
        <w:t>.</w:t>
      </w:r>
    </w:p>
    <w:p w14:paraId="146AEA8C" w14:textId="05192426" w:rsidR="00A54564" w:rsidRPr="009E76C9" w:rsidRDefault="00FF5531" w:rsidP="00FF6E57">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C64EB">
        <w:rPr>
          <w:rFonts w:ascii="Times New Roman" w:eastAsia="Times New Roman" w:hAnsi="Times New Roman" w:cs="Times New Roman"/>
          <w:sz w:val="24"/>
          <w:szCs w:val="24"/>
          <w:lang w:val="lt-LT"/>
        </w:rPr>
        <w:t xml:space="preserve"> </w:t>
      </w:r>
      <w:r w:rsidR="00442DF5">
        <w:rPr>
          <w:rFonts w:ascii="Times New Roman" w:eastAsia="Times New Roman" w:hAnsi="Times New Roman" w:cs="Times New Roman"/>
          <w:sz w:val="24"/>
          <w:szCs w:val="24"/>
          <w:lang w:val="lt-LT"/>
        </w:rPr>
        <w:t>Nagrinė</w:t>
      </w:r>
      <w:r w:rsidR="00B0503A">
        <w:rPr>
          <w:rFonts w:ascii="Times New Roman" w:eastAsia="Times New Roman" w:hAnsi="Times New Roman" w:cs="Times New Roman"/>
          <w:sz w:val="24"/>
          <w:szCs w:val="24"/>
          <w:lang w:val="lt-LT"/>
        </w:rPr>
        <w:t>dama klausimą dėl</w:t>
      </w:r>
      <w:r w:rsidR="00442DF5" w:rsidRPr="00442DF5">
        <w:rPr>
          <w:lang w:val="lt-LT"/>
        </w:rPr>
        <w:t xml:space="preserve"> </w:t>
      </w:r>
      <w:r w:rsidR="00442DF5" w:rsidRPr="00442DF5">
        <w:rPr>
          <w:rFonts w:ascii="Times New Roman" w:eastAsia="Times New Roman" w:hAnsi="Times New Roman" w:cs="Times New Roman"/>
          <w:sz w:val="24"/>
          <w:szCs w:val="24"/>
          <w:lang w:val="lt-LT"/>
        </w:rPr>
        <w:t>Notarų rūmų kaip asociacijos Konkurencijos įstatymo ir SESV 101 straipsnio prasme</w:t>
      </w:r>
      <w:r w:rsidR="00B0503A">
        <w:rPr>
          <w:rFonts w:ascii="Times New Roman" w:eastAsia="Times New Roman" w:hAnsi="Times New Roman" w:cs="Times New Roman"/>
          <w:sz w:val="24"/>
          <w:szCs w:val="24"/>
          <w:lang w:val="lt-LT"/>
        </w:rPr>
        <w:t xml:space="preserve"> vertinimo, išplėstinė teisėjų kolegija </w:t>
      </w:r>
      <w:r w:rsidR="00B0503A" w:rsidRPr="00470BB4">
        <w:rPr>
          <w:rFonts w:ascii="Times New Roman" w:eastAsia="Times New Roman" w:hAnsi="Times New Roman" w:cs="Times New Roman"/>
          <w:sz w:val="24"/>
          <w:szCs w:val="24"/>
          <w:lang w:val="lt-LT"/>
        </w:rPr>
        <w:t>pirmiausia atkreipia dėmesį</w:t>
      </w:r>
      <w:r w:rsidR="007B40BA" w:rsidRPr="00470BB4">
        <w:rPr>
          <w:rFonts w:ascii="Times New Roman" w:eastAsia="Times New Roman" w:hAnsi="Times New Roman" w:cs="Times New Roman"/>
          <w:sz w:val="24"/>
          <w:szCs w:val="24"/>
          <w:lang w:val="lt-LT"/>
        </w:rPr>
        <w:t xml:space="preserve">, kad </w:t>
      </w:r>
      <w:r w:rsidR="005C2A9E" w:rsidRPr="00470BB4">
        <w:rPr>
          <w:rFonts w:ascii="Times New Roman" w:eastAsia="Times New Roman" w:hAnsi="Times New Roman" w:cs="Times New Roman"/>
          <w:sz w:val="24"/>
          <w:szCs w:val="24"/>
          <w:lang w:val="lt-LT"/>
        </w:rPr>
        <w:t xml:space="preserve">pagal </w:t>
      </w:r>
      <w:r w:rsidR="004857CF" w:rsidRPr="00470BB4">
        <w:rPr>
          <w:rFonts w:ascii="Times New Roman" w:eastAsia="Times New Roman" w:hAnsi="Times New Roman" w:cs="Times New Roman"/>
          <w:sz w:val="24"/>
          <w:szCs w:val="24"/>
          <w:lang w:val="lt-LT"/>
        </w:rPr>
        <w:t>Sprendim</w:t>
      </w:r>
      <w:r w:rsidR="005C2A9E" w:rsidRPr="00470BB4">
        <w:rPr>
          <w:rFonts w:ascii="Times New Roman" w:eastAsia="Times New Roman" w:hAnsi="Times New Roman" w:cs="Times New Roman"/>
          <w:sz w:val="24"/>
          <w:szCs w:val="24"/>
          <w:lang w:val="lt-LT"/>
        </w:rPr>
        <w:t>e</w:t>
      </w:r>
      <w:r w:rsidR="004857CF" w:rsidRPr="00470BB4">
        <w:rPr>
          <w:rFonts w:ascii="Times New Roman" w:eastAsia="Times New Roman" w:hAnsi="Times New Roman" w:cs="Times New Roman"/>
          <w:sz w:val="24"/>
          <w:szCs w:val="24"/>
          <w:lang w:val="lt-LT"/>
        </w:rPr>
        <w:t xml:space="preserve"> </w:t>
      </w:r>
      <w:r w:rsidR="004857CF" w:rsidRPr="00470BB4">
        <w:rPr>
          <w:rFonts w:ascii="Times New Roman" w:eastAsia="Times New Roman" w:hAnsi="Times New Roman" w:cs="Times New Roman"/>
          <w:i/>
          <w:iCs/>
          <w:sz w:val="24"/>
          <w:szCs w:val="24"/>
          <w:lang w:val="lt-LT"/>
        </w:rPr>
        <w:t>Notarų rūmai</w:t>
      </w:r>
      <w:r w:rsidR="004857CF" w:rsidRPr="00470BB4">
        <w:rPr>
          <w:rFonts w:ascii="Times New Roman" w:eastAsia="Times New Roman" w:hAnsi="Times New Roman" w:cs="Times New Roman"/>
          <w:sz w:val="24"/>
          <w:szCs w:val="24"/>
          <w:lang w:val="lt-LT"/>
        </w:rPr>
        <w:t xml:space="preserve"> </w:t>
      </w:r>
      <w:r w:rsidR="007B40BA" w:rsidRPr="00470BB4">
        <w:rPr>
          <w:rFonts w:ascii="Times New Roman" w:eastAsia="Times New Roman" w:hAnsi="Times New Roman" w:cs="Times New Roman"/>
          <w:sz w:val="24"/>
          <w:szCs w:val="24"/>
          <w:lang w:val="lt-LT"/>
        </w:rPr>
        <w:t>Teisingumo Teismo pateiktą išaiškinimą</w:t>
      </w:r>
      <w:r w:rsidR="000B0865" w:rsidRPr="00470BB4">
        <w:rPr>
          <w:rFonts w:ascii="Times New Roman" w:eastAsia="Times New Roman" w:hAnsi="Times New Roman" w:cs="Times New Roman"/>
          <w:sz w:val="24"/>
          <w:szCs w:val="24"/>
          <w:lang w:val="lt-LT"/>
        </w:rPr>
        <w:t>, s</w:t>
      </w:r>
      <w:r w:rsidR="00B20B30" w:rsidRPr="00470BB4">
        <w:rPr>
          <w:rFonts w:ascii="Times New Roman" w:eastAsia="Times New Roman" w:hAnsi="Times New Roman" w:cs="Times New Roman"/>
          <w:sz w:val="24"/>
          <w:szCs w:val="24"/>
          <w:lang w:val="lt-LT"/>
        </w:rPr>
        <w:t>i</w:t>
      </w:r>
      <w:r w:rsidR="000A47A0" w:rsidRPr="00470BB4">
        <w:rPr>
          <w:rFonts w:ascii="Times New Roman" w:eastAsia="Times New Roman" w:hAnsi="Times New Roman" w:cs="Times New Roman"/>
          <w:sz w:val="24"/>
          <w:szCs w:val="24"/>
          <w:lang w:val="lt-LT"/>
        </w:rPr>
        <w:t xml:space="preserve">ekiant nustatyti, ar tokia organizacija turi būti laikoma įmonių asociacija, kaip ji suprantama pagal SESV 101 straipsnį, ar viešosios valdžios institucija, atsižvelgiama į kitus požymius, pavyzdžiui, į atitinkamos profesinės </w:t>
      </w:r>
      <w:r w:rsidR="000A47A0" w:rsidRPr="009E76C9">
        <w:rPr>
          <w:rFonts w:ascii="Times New Roman" w:eastAsia="Times New Roman" w:hAnsi="Times New Roman" w:cs="Times New Roman"/>
          <w:sz w:val="24"/>
          <w:szCs w:val="24"/>
          <w:lang w:val="lt-LT"/>
        </w:rPr>
        <w:t>organizacijos valdymo organų sudėtį, jos veikimo būdą, santykius su viešosios valdžios institucijomis ir įgaliojimų priimti teisės aktus arba sprendimų priėmimo įgaliojimų reglamentavimą</w:t>
      </w:r>
      <w:r w:rsidR="00FC08A7" w:rsidRPr="009E76C9">
        <w:rPr>
          <w:rFonts w:ascii="Times New Roman" w:eastAsia="Times New Roman" w:hAnsi="Times New Roman" w:cs="Times New Roman"/>
          <w:sz w:val="24"/>
          <w:szCs w:val="24"/>
          <w:lang w:val="lt-LT"/>
        </w:rPr>
        <w:t xml:space="preserve"> (</w:t>
      </w:r>
      <w:r w:rsidR="00FF55F1" w:rsidRPr="009E76C9">
        <w:rPr>
          <w:rFonts w:ascii="Times New Roman" w:eastAsia="Times New Roman" w:hAnsi="Times New Roman" w:cs="Times New Roman"/>
          <w:sz w:val="24"/>
          <w:szCs w:val="24"/>
          <w:lang w:val="lt-LT"/>
        </w:rPr>
        <w:t xml:space="preserve">Sprendimo </w:t>
      </w:r>
      <w:r w:rsidR="00FF55F1" w:rsidRPr="009E76C9">
        <w:rPr>
          <w:rFonts w:ascii="Times New Roman" w:eastAsia="Times New Roman" w:hAnsi="Times New Roman" w:cs="Times New Roman"/>
          <w:i/>
          <w:iCs/>
          <w:sz w:val="24"/>
          <w:szCs w:val="24"/>
          <w:lang w:val="lt-LT"/>
        </w:rPr>
        <w:t>Notarų rūmai</w:t>
      </w:r>
      <w:r w:rsidR="00FF55F1" w:rsidRPr="009E76C9">
        <w:rPr>
          <w:rFonts w:ascii="Times New Roman" w:eastAsia="Times New Roman" w:hAnsi="Times New Roman" w:cs="Times New Roman"/>
          <w:sz w:val="24"/>
          <w:szCs w:val="24"/>
          <w:lang w:val="lt-LT"/>
        </w:rPr>
        <w:t xml:space="preserve"> 72 punktas</w:t>
      </w:r>
      <w:r w:rsidR="00FC08A7" w:rsidRPr="009E76C9">
        <w:rPr>
          <w:rFonts w:ascii="Times New Roman" w:eastAsia="Times New Roman" w:hAnsi="Times New Roman" w:cs="Times New Roman"/>
          <w:sz w:val="24"/>
          <w:szCs w:val="24"/>
          <w:lang w:val="lt-LT"/>
        </w:rPr>
        <w:t>)</w:t>
      </w:r>
      <w:r w:rsidR="005C2A9E" w:rsidRPr="009E76C9">
        <w:rPr>
          <w:rFonts w:ascii="Times New Roman" w:eastAsia="Times New Roman" w:hAnsi="Times New Roman" w:cs="Times New Roman"/>
          <w:sz w:val="24"/>
          <w:szCs w:val="24"/>
          <w:lang w:val="lt-LT"/>
        </w:rPr>
        <w:t xml:space="preserve">. </w:t>
      </w:r>
    </w:p>
    <w:p w14:paraId="132439C7" w14:textId="59EB0037" w:rsidR="003F6052" w:rsidRDefault="006F0C77" w:rsidP="00FF6E57">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E76C9">
        <w:rPr>
          <w:rFonts w:ascii="Times New Roman" w:eastAsia="Times New Roman" w:hAnsi="Times New Roman" w:cs="Times New Roman"/>
          <w:sz w:val="24"/>
          <w:szCs w:val="24"/>
          <w:lang w:val="lt-LT"/>
        </w:rPr>
        <w:t xml:space="preserve"> </w:t>
      </w:r>
      <w:r w:rsidR="00981B20" w:rsidRPr="009E76C9">
        <w:rPr>
          <w:rFonts w:ascii="Times New Roman" w:eastAsia="Times New Roman" w:hAnsi="Times New Roman" w:cs="Times New Roman"/>
          <w:sz w:val="24"/>
          <w:szCs w:val="24"/>
          <w:lang w:val="lt-LT"/>
        </w:rPr>
        <w:t>Įvertinęs</w:t>
      </w:r>
      <w:r w:rsidR="00981B20" w:rsidRPr="00470BB4">
        <w:rPr>
          <w:rFonts w:ascii="Times New Roman" w:eastAsia="Times New Roman" w:hAnsi="Times New Roman" w:cs="Times New Roman"/>
          <w:sz w:val="24"/>
          <w:szCs w:val="24"/>
          <w:lang w:val="lt-LT"/>
        </w:rPr>
        <w:t xml:space="preserve"> atitinkamas šiam klausimui reikšmingas aplinkybes, </w:t>
      </w:r>
      <w:r w:rsidR="002C06E9" w:rsidRPr="00470BB4">
        <w:rPr>
          <w:rFonts w:ascii="Times New Roman" w:eastAsia="Times New Roman" w:hAnsi="Times New Roman" w:cs="Times New Roman"/>
          <w:sz w:val="24"/>
          <w:szCs w:val="24"/>
          <w:lang w:val="lt-LT"/>
        </w:rPr>
        <w:t xml:space="preserve">Teisingumo Teismas </w:t>
      </w:r>
      <w:r w:rsidR="00981B20" w:rsidRPr="00470BB4">
        <w:rPr>
          <w:rFonts w:ascii="Times New Roman" w:eastAsia="Times New Roman" w:hAnsi="Times New Roman" w:cs="Times New Roman"/>
          <w:sz w:val="24"/>
          <w:szCs w:val="24"/>
          <w:lang w:val="lt-LT"/>
        </w:rPr>
        <w:t>konstatavo, kad</w:t>
      </w:r>
      <w:r w:rsidR="008E4789" w:rsidRPr="00470BB4">
        <w:rPr>
          <w:rFonts w:ascii="Times New Roman" w:eastAsia="Times New Roman" w:hAnsi="Times New Roman" w:cs="Times New Roman"/>
          <w:sz w:val="24"/>
          <w:szCs w:val="24"/>
          <w:lang w:val="lt-LT"/>
        </w:rPr>
        <w:t xml:space="preserve"> </w:t>
      </w:r>
      <w:r w:rsidR="008A4128" w:rsidRPr="00470BB4">
        <w:rPr>
          <w:rFonts w:ascii="Times New Roman" w:eastAsia="Times New Roman" w:hAnsi="Times New Roman" w:cs="Times New Roman"/>
          <w:sz w:val="24"/>
          <w:szCs w:val="24"/>
          <w:lang w:val="lt-LT"/>
        </w:rPr>
        <w:t>Notarų rūmai atitinka Lietuvos notaro profesijos</w:t>
      </w:r>
      <w:r w:rsidR="008A4128" w:rsidRPr="00FF6E57">
        <w:rPr>
          <w:rFonts w:ascii="Times New Roman" w:eastAsia="Times New Roman" w:hAnsi="Times New Roman" w:cs="Times New Roman"/>
          <w:sz w:val="24"/>
          <w:szCs w:val="24"/>
          <w:lang w:val="lt-LT"/>
        </w:rPr>
        <w:t xml:space="preserve"> reguliavimo organizacijos požymius</w:t>
      </w:r>
      <w:r w:rsidR="007A2D35">
        <w:rPr>
          <w:rFonts w:ascii="Times New Roman" w:eastAsia="Times New Roman" w:hAnsi="Times New Roman" w:cs="Times New Roman"/>
          <w:sz w:val="24"/>
          <w:szCs w:val="24"/>
          <w:lang w:val="lt-LT"/>
        </w:rPr>
        <w:t>. Šiuo aspektu</w:t>
      </w:r>
      <w:r w:rsidR="003F6052">
        <w:rPr>
          <w:rFonts w:ascii="Times New Roman" w:eastAsia="Times New Roman" w:hAnsi="Times New Roman" w:cs="Times New Roman"/>
          <w:sz w:val="24"/>
          <w:szCs w:val="24"/>
          <w:lang w:val="lt-LT"/>
        </w:rPr>
        <w:t xml:space="preserve"> atsižvelgta</w:t>
      </w:r>
      <w:r w:rsidR="00914914">
        <w:rPr>
          <w:rFonts w:ascii="Times New Roman" w:eastAsia="Times New Roman" w:hAnsi="Times New Roman" w:cs="Times New Roman"/>
          <w:sz w:val="24"/>
          <w:szCs w:val="24"/>
          <w:lang w:val="lt-LT"/>
        </w:rPr>
        <w:t xml:space="preserve">, kad </w:t>
      </w:r>
      <w:r w:rsidR="00914914" w:rsidRPr="00914914">
        <w:rPr>
          <w:rFonts w:ascii="Times New Roman" w:eastAsia="Times New Roman" w:hAnsi="Times New Roman" w:cs="Times New Roman"/>
          <w:sz w:val="24"/>
          <w:szCs w:val="24"/>
          <w:lang w:val="lt-LT"/>
        </w:rPr>
        <w:t>pagal Notariato įstatymo 8 straipsnį Notarų rūmai Lietuvoje vienija visus notarus ir jie yra tų rūmų nariai. Pagrindiniai šių rūmų uždaviniai, numatyti šio įstatymo 9 straipsnyje, yra, be kita ko, koordinuoti notarų veiklą, rūpintis jų kvalifikacijos kėlimu, ginti jų interesus ir jiems atstovauti valstybinės valdžios ir valdymo institucijose, suvienodinti notarinę praktiką, prižiūrėti, kaip notarai atlieka savo funkcijas ir laikosi profesinės etikos reikalavimų.</w:t>
      </w:r>
      <w:r w:rsidR="008A31DA" w:rsidRPr="008A31DA">
        <w:rPr>
          <w:rFonts w:ascii="Open Sans" w:hAnsi="Open Sans" w:cs="Open Sans"/>
          <w:color w:val="000000"/>
          <w:sz w:val="18"/>
          <w:szCs w:val="18"/>
          <w:lang w:val="lt-LT"/>
        </w:rPr>
        <w:t xml:space="preserve"> </w:t>
      </w:r>
      <w:r w:rsidR="008A31DA" w:rsidRPr="008A31DA">
        <w:rPr>
          <w:rFonts w:ascii="Times New Roman" w:eastAsia="Times New Roman" w:hAnsi="Times New Roman" w:cs="Times New Roman"/>
          <w:sz w:val="24"/>
          <w:szCs w:val="24"/>
          <w:lang w:val="lt-LT"/>
        </w:rPr>
        <w:t>Notarų rūmų statuto 18 ir 19 straipsni</w:t>
      </w:r>
      <w:r w:rsidR="00643015">
        <w:rPr>
          <w:rFonts w:ascii="Times New Roman" w:eastAsia="Times New Roman" w:hAnsi="Times New Roman" w:cs="Times New Roman"/>
          <w:sz w:val="24"/>
          <w:szCs w:val="24"/>
          <w:lang w:val="lt-LT"/>
        </w:rPr>
        <w:t>ai</w:t>
      </w:r>
      <w:r w:rsidR="00B05BAA">
        <w:rPr>
          <w:rFonts w:ascii="Times New Roman" w:eastAsia="Times New Roman" w:hAnsi="Times New Roman" w:cs="Times New Roman"/>
          <w:sz w:val="24"/>
          <w:szCs w:val="24"/>
          <w:lang w:val="lt-LT"/>
        </w:rPr>
        <w:t xml:space="preserve"> reglamentuoja, kad </w:t>
      </w:r>
      <w:r w:rsidR="008A31DA" w:rsidRPr="008A31DA">
        <w:rPr>
          <w:rFonts w:ascii="Times New Roman" w:eastAsia="Times New Roman" w:hAnsi="Times New Roman" w:cs="Times New Roman"/>
          <w:sz w:val="24"/>
          <w:szCs w:val="24"/>
          <w:lang w:val="lt-LT"/>
        </w:rPr>
        <w:t xml:space="preserve">Prezidiumą, kuris yra kolegialus šių rūmų valdymo organas, sudaro aštuoni nariai, kuriuos šių rūmų susirinkimas skiria iš kandidatų, išrinktų notarų susirinkimuose, o šio organo nutarimai, kaip numatyta šio statuto 23 straipsnyje, priimami paprasta balsų dauguma atviru </w:t>
      </w:r>
      <w:r w:rsidR="008A31DA" w:rsidRPr="00F363C1">
        <w:rPr>
          <w:rFonts w:ascii="Times New Roman" w:eastAsia="Times New Roman" w:hAnsi="Times New Roman" w:cs="Times New Roman"/>
          <w:sz w:val="24"/>
          <w:szCs w:val="24"/>
          <w:lang w:val="lt-LT"/>
        </w:rPr>
        <w:t>balsavimu.</w:t>
      </w:r>
      <w:r w:rsidR="00E11D2C" w:rsidRPr="00F363C1">
        <w:rPr>
          <w:rFonts w:ascii="Times New Roman" w:hAnsi="Times New Roman" w:cs="Times New Roman"/>
          <w:color w:val="000000"/>
          <w:sz w:val="24"/>
          <w:szCs w:val="24"/>
          <w:lang w:val="lt-LT"/>
        </w:rPr>
        <w:t xml:space="preserve"> </w:t>
      </w:r>
      <w:r w:rsidR="00F363C1" w:rsidRPr="00F363C1">
        <w:rPr>
          <w:rFonts w:ascii="Times New Roman" w:hAnsi="Times New Roman" w:cs="Times New Roman"/>
          <w:color w:val="000000"/>
          <w:sz w:val="24"/>
          <w:szCs w:val="24"/>
          <w:lang w:val="lt-LT"/>
        </w:rPr>
        <w:t xml:space="preserve">Taigi, </w:t>
      </w:r>
      <w:r w:rsidR="00F363C1">
        <w:rPr>
          <w:rFonts w:ascii="Times New Roman" w:hAnsi="Times New Roman" w:cs="Times New Roman"/>
          <w:color w:val="000000"/>
          <w:sz w:val="24"/>
          <w:szCs w:val="24"/>
          <w:lang w:val="lt-LT"/>
        </w:rPr>
        <w:t xml:space="preserve">Notarų rūmų </w:t>
      </w:r>
      <w:r w:rsidR="00F363C1" w:rsidRPr="00F363C1">
        <w:rPr>
          <w:rFonts w:ascii="Times New Roman" w:hAnsi="Times New Roman" w:cs="Times New Roman"/>
          <w:color w:val="000000"/>
          <w:sz w:val="24"/>
          <w:szCs w:val="24"/>
          <w:lang w:val="lt-LT"/>
        </w:rPr>
        <w:t>valdymo organą, t. y. Prezidiumą, sudaro nariai, kurie patys yra notarai ir kuriuos renka tik notarai, o Lietuvos valstybė nesikiša nei į minėtų narių skyrimą, nei į Prezidiumo sprendimų priėmimą.</w:t>
      </w:r>
      <w:r w:rsidR="005D2477">
        <w:rPr>
          <w:rFonts w:ascii="Times New Roman" w:hAnsi="Times New Roman" w:cs="Times New Roman"/>
          <w:color w:val="000000"/>
          <w:sz w:val="24"/>
          <w:szCs w:val="24"/>
          <w:lang w:val="lt-LT"/>
        </w:rPr>
        <w:t xml:space="preserve"> </w:t>
      </w:r>
      <w:r w:rsidR="00E11D2C" w:rsidRPr="00F363C1">
        <w:rPr>
          <w:rFonts w:ascii="Times New Roman" w:eastAsia="Times New Roman" w:hAnsi="Times New Roman" w:cs="Times New Roman"/>
          <w:sz w:val="24"/>
          <w:szCs w:val="24"/>
          <w:lang w:val="lt-LT"/>
        </w:rPr>
        <w:t>Galiausiai, Lietuvos Respublikos</w:t>
      </w:r>
      <w:r w:rsidR="00E11D2C" w:rsidRPr="00E11D2C">
        <w:rPr>
          <w:rFonts w:ascii="Times New Roman" w:eastAsia="Times New Roman" w:hAnsi="Times New Roman" w:cs="Times New Roman"/>
          <w:sz w:val="24"/>
          <w:szCs w:val="24"/>
          <w:lang w:val="lt-LT"/>
        </w:rPr>
        <w:t xml:space="preserve"> teisingumo ministras, manydamas, kad Notarų rūmų nutarimai ar sprendimai neatitinka Lietuvos Respublikos įstatymų, gali, remdamasis Notariato įstatymo 11 straipsniu, pateikti skundą Vilniaus apygardos teismui dėl tų nutarimų ar sprendimų panaikinimo.</w:t>
      </w:r>
      <w:r w:rsidR="008615E8">
        <w:rPr>
          <w:rFonts w:ascii="Times New Roman" w:eastAsia="Times New Roman" w:hAnsi="Times New Roman" w:cs="Times New Roman"/>
          <w:sz w:val="24"/>
          <w:szCs w:val="24"/>
          <w:lang w:val="lt-LT"/>
        </w:rPr>
        <w:t xml:space="preserve"> Vis dėlto, anot Teisingumo Teismo, </w:t>
      </w:r>
      <w:r w:rsidR="008615E8" w:rsidRPr="008615E8">
        <w:rPr>
          <w:rFonts w:ascii="Times New Roman" w:eastAsia="Times New Roman" w:hAnsi="Times New Roman" w:cs="Times New Roman"/>
          <w:sz w:val="24"/>
          <w:szCs w:val="24"/>
          <w:lang w:val="lt-LT"/>
        </w:rPr>
        <w:t>vien tai, kad Lietuvos teismai gali tikrinti Notarų rūmų nutarimų ar sprendimų teisėtumą, nereiškia, kad šie rūmai veikia veiksmingai kontroliuojami valstybės</w:t>
      </w:r>
      <w:r w:rsidR="00FF55F1">
        <w:rPr>
          <w:rFonts w:ascii="Times New Roman" w:eastAsia="Times New Roman" w:hAnsi="Times New Roman" w:cs="Times New Roman"/>
          <w:sz w:val="24"/>
          <w:szCs w:val="24"/>
          <w:lang w:val="lt-LT"/>
        </w:rPr>
        <w:t xml:space="preserve"> (Sprendimo </w:t>
      </w:r>
      <w:r w:rsidR="00FF55F1" w:rsidRPr="002C462C">
        <w:rPr>
          <w:rFonts w:ascii="Times New Roman" w:eastAsia="Times New Roman" w:hAnsi="Times New Roman" w:cs="Times New Roman"/>
          <w:i/>
          <w:iCs/>
          <w:sz w:val="24"/>
          <w:szCs w:val="24"/>
          <w:lang w:val="lt-LT"/>
        </w:rPr>
        <w:t>Notarų rūmai</w:t>
      </w:r>
      <w:r w:rsidR="00FF55F1">
        <w:rPr>
          <w:rFonts w:ascii="Times New Roman" w:eastAsia="Times New Roman" w:hAnsi="Times New Roman" w:cs="Times New Roman"/>
          <w:sz w:val="24"/>
          <w:szCs w:val="24"/>
          <w:lang w:val="lt-LT"/>
        </w:rPr>
        <w:t xml:space="preserve"> </w:t>
      </w:r>
      <w:r w:rsidR="002C462C">
        <w:rPr>
          <w:rFonts w:ascii="Times New Roman" w:eastAsia="Times New Roman" w:hAnsi="Times New Roman" w:cs="Times New Roman"/>
          <w:sz w:val="24"/>
          <w:szCs w:val="24"/>
          <w:lang w:val="lt-LT"/>
        </w:rPr>
        <w:t>76–81 punktai</w:t>
      </w:r>
      <w:r w:rsidR="00FF55F1">
        <w:rPr>
          <w:rFonts w:ascii="Times New Roman" w:eastAsia="Times New Roman" w:hAnsi="Times New Roman" w:cs="Times New Roman"/>
          <w:sz w:val="24"/>
          <w:szCs w:val="24"/>
          <w:lang w:val="lt-LT"/>
        </w:rPr>
        <w:t>)</w:t>
      </w:r>
      <w:r w:rsidR="003654FC">
        <w:rPr>
          <w:rFonts w:ascii="Times New Roman" w:eastAsia="Times New Roman" w:hAnsi="Times New Roman" w:cs="Times New Roman"/>
          <w:sz w:val="24"/>
          <w:szCs w:val="24"/>
          <w:lang w:val="lt-LT"/>
        </w:rPr>
        <w:t>.</w:t>
      </w:r>
    </w:p>
    <w:p w14:paraId="400EF6E7" w14:textId="70B09D42" w:rsidR="003654FC" w:rsidRDefault="00CA095D" w:rsidP="00FF6E57">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3654FC">
        <w:rPr>
          <w:rFonts w:ascii="Times New Roman" w:eastAsia="Times New Roman" w:hAnsi="Times New Roman" w:cs="Times New Roman"/>
          <w:sz w:val="24"/>
          <w:szCs w:val="24"/>
          <w:lang w:val="lt-LT"/>
        </w:rPr>
        <w:t xml:space="preserve">Šios aplinkybės Teisingumo Teismui leido </w:t>
      </w:r>
      <w:r w:rsidR="00345811">
        <w:rPr>
          <w:rFonts w:ascii="Times New Roman" w:eastAsia="Times New Roman" w:hAnsi="Times New Roman" w:cs="Times New Roman"/>
          <w:sz w:val="24"/>
          <w:szCs w:val="24"/>
          <w:lang w:val="lt-LT"/>
        </w:rPr>
        <w:t xml:space="preserve">spręsti, kad </w:t>
      </w:r>
      <w:r w:rsidR="00345811" w:rsidRPr="00345811">
        <w:rPr>
          <w:rFonts w:ascii="Times New Roman" w:eastAsia="Times New Roman" w:hAnsi="Times New Roman" w:cs="Times New Roman"/>
          <w:sz w:val="24"/>
          <w:szCs w:val="24"/>
          <w:lang w:val="lt-LT"/>
        </w:rPr>
        <w:t>profesinė organizacija, kaip antai Notarų rūmai, turi būti laikoma įmonių asociacija, kaip ji suprantama pagal SESV 101 straipsnio 1 dalį, o ne viešosios valdžios institucija</w:t>
      </w:r>
      <w:r w:rsidR="009A3D07">
        <w:rPr>
          <w:rFonts w:ascii="Times New Roman" w:eastAsia="Times New Roman" w:hAnsi="Times New Roman" w:cs="Times New Roman"/>
          <w:sz w:val="24"/>
          <w:szCs w:val="24"/>
          <w:lang w:val="lt-LT"/>
        </w:rPr>
        <w:t xml:space="preserve"> (Sprendimo </w:t>
      </w:r>
      <w:r w:rsidR="009A3D07" w:rsidRPr="002C462C">
        <w:rPr>
          <w:rFonts w:ascii="Times New Roman" w:eastAsia="Times New Roman" w:hAnsi="Times New Roman" w:cs="Times New Roman"/>
          <w:i/>
          <w:iCs/>
          <w:sz w:val="24"/>
          <w:szCs w:val="24"/>
          <w:lang w:val="lt-LT"/>
        </w:rPr>
        <w:t>Notarų rūmai</w:t>
      </w:r>
      <w:r w:rsidR="009A3D07">
        <w:rPr>
          <w:rFonts w:ascii="Times New Roman" w:eastAsia="Times New Roman" w:hAnsi="Times New Roman" w:cs="Times New Roman"/>
          <w:sz w:val="24"/>
          <w:szCs w:val="24"/>
          <w:lang w:val="lt-LT"/>
        </w:rPr>
        <w:t xml:space="preserve"> 8</w:t>
      </w:r>
      <w:r w:rsidR="00864E45">
        <w:rPr>
          <w:rFonts w:ascii="Times New Roman" w:eastAsia="Times New Roman" w:hAnsi="Times New Roman" w:cs="Times New Roman"/>
          <w:sz w:val="24"/>
          <w:szCs w:val="24"/>
          <w:lang w:val="lt-LT"/>
        </w:rPr>
        <w:t>2</w:t>
      </w:r>
      <w:r w:rsidR="009A3D07">
        <w:rPr>
          <w:rFonts w:ascii="Times New Roman" w:eastAsia="Times New Roman" w:hAnsi="Times New Roman" w:cs="Times New Roman"/>
          <w:sz w:val="24"/>
          <w:szCs w:val="24"/>
          <w:lang w:val="lt-LT"/>
        </w:rPr>
        <w:t xml:space="preserve"> punkta</w:t>
      </w:r>
      <w:r w:rsidR="00864E45">
        <w:rPr>
          <w:rFonts w:ascii="Times New Roman" w:eastAsia="Times New Roman" w:hAnsi="Times New Roman" w:cs="Times New Roman"/>
          <w:sz w:val="24"/>
          <w:szCs w:val="24"/>
          <w:lang w:val="lt-LT"/>
        </w:rPr>
        <w:t>s</w:t>
      </w:r>
      <w:r w:rsidR="009A3D07">
        <w:rPr>
          <w:rFonts w:ascii="Times New Roman" w:eastAsia="Times New Roman" w:hAnsi="Times New Roman" w:cs="Times New Roman"/>
          <w:sz w:val="24"/>
          <w:szCs w:val="24"/>
          <w:lang w:val="lt-LT"/>
        </w:rPr>
        <w:t>)</w:t>
      </w:r>
      <w:r w:rsidR="00345811" w:rsidRPr="00345811">
        <w:rPr>
          <w:rFonts w:ascii="Times New Roman" w:eastAsia="Times New Roman" w:hAnsi="Times New Roman" w:cs="Times New Roman"/>
          <w:sz w:val="24"/>
          <w:szCs w:val="24"/>
          <w:lang w:val="lt-LT"/>
        </w:rPr>
        <w:t>.</w:t>
      </w:r>
    </w:p>
    <w:p w14:paraId="094E06F7" w14:textId="22CF96CC" w:rsidR="00FF5531" w:rsidRPr="00991EBF" w:rsidRDefault="000A1C1E" w:rsidP="00B314CD">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41151E">
        <w:rPr>
          <w:rFonts w:ascii="Times New Roman" w:eastAsia="Times New Roman" w:hAnsi="Times New Roman" w:cs="Times New Roman"/>
          <w:sz w:val="24"/>
          <w:szCs w:val="24"/>
          <w:lang w:val="lt-LT"/>
        </w:rPr>
        <w:t xml:space="preserve"> </w:t>
      </w:r>
      <w:r w:rsidR="00E45126" w:rsidRPr="0041151E">
        <w:rPr>
          <w:rFonts w:ascii="Times New Roman" w:eastAsia="Times New Roman" w:hAnsi="Times New Roman" w:cs="Times New Roman"/>
          <w:sz w:val="24"/>
          <w:szCs w:val="24"/>
          <w:lang w:val="lt-LT"/>
        </w:rPr>
        <w:t xml:space="preserve">Tiesa, </w:t>
      </w:r>
      <w:r w:rsidR="00F90FCD" w:rsidRPr="0041151E">
        <w:rPr>
          <w:rFonts w:ascii="Times New Roman" w:eastAsia="Times New Roman" w:hAnsi="Times New Roman" w:cs="Times New Roman"/>
          <w:sz w:val="24"/>
          <w:szCs w:val="24"/>
          <w:lang w:val="lt-LT"/>
        </w:rPr>
        <w:t>reikšminga aplinkybė</w:t>
      </w:r>
      <w:r w:rsidR="00D57894" w:rsidRPr="0041151E">
        <w:rPr>
          <w:rFonts w:ascii="Times New Roman" w:eastAsia="Times New Roman" w:hAnsi="Times New Roman" w:cs="Times New Roman"/>
          <w:sz w:val="24"/>
          <w:szCs w:val="24"/>
          <w:lang w:val="lt-LT"/>
        </w:rPr>
        <w:t>, leidusi Teisingumo Teismui prieiti minėtos išvados</w:t>
      </w:r>
      <w:r w:rsidR="0041151E" w:rsidRPr="0041151E">
        <w:rPr>
          <w:rFonts w:ascii="Times New Roman" w:eastAsia="Times New Roman" w:hAnsi="Times New Roman" w:cs="Times New Roman"/>
          <w:sz w:val="24"/>
          <w:szCs w:val="24"/>
          <w:lang w:val="lt-LT"/>
        </w:rPr>
        <w:t xml:space="preserve">, buvo ir ta, kad </w:t>
      </w:r>
      <w:r w:rsidR="0041151E">
        <w:rPr>
          <w:rFonts w:ascii="Times New Roman" w:eastAsia="Times New Roman" w:hAnsi="Times New Roman" w:cs="Times New Roman"/>
          <w:sz w:val="24"/>
          <w:szCs w:val="24"/>
          <w:lang w:val="lt-LT"/>
        </w:rPr>
        <w:t>„</w:t>
      </w:r>
      <w:r w:rsidR="00FF5531" w:rsidRPr="0041151E">
        <w:rPr>
          <w:rFonts w:ascii="Times New Roman" w:eastAsia="Times New Roman" w:hAnsi="Times New Roman" w:cs="Times New Roman"/>
          <w:sz w:val="24"/>
          <w:szCs w:val="24"/>
          <w:lang w:val="lt-LT"/>
        </w:rPr>
        <w:t xml:space="preserve">prašymą priimti </w:t>
      </w:r>
      <w:proofErr w:type="spellStart"/>
      <w:r w:rsidR="00FF5531" w:rsidRPr="0041151E">
        <w:rPr>
          <w:rFonts w:ascii="Times New Roman" w:eastAsia="Times New Roman" w:hAnsi="Times New Roman" w:cs="Times New Roman"/>
          <w:sz w:val="24"/>
          <w:szCs w:val="24"/>
          <w:lang w:val="lt-LT"/>
        </w:rPr>
        <w:t>prejudicinį</w:t>
      </w:r>
      <w:proofErr w:type="spellEnd"/>
      <w:r w:rsidR="00FF5531" w:rsidRPr="0041151E">
        <w:rPr>
          <w:rFonts w:ascii="Times New Roman" w:eastAsia="Times New Roman" w:hAnsi="Times New Roman" w:cs="Times New Roman"/>
          <w:sz w:val="24"/>
          <w:szCs w:val="24"/>
          <w:lang w:val="lt-LT"/>
        </w:rPr>
        <w:t xml:space="preserve"> sprendimą pateikęs </w:t>
      </w:r>
      <w:r w:rsidR="00FF5531" w:rsidRPr="009E76C9">
        <w:rPr>
          <w:rFonts w:ascii="Times New Roman" w:eastAsia="Times New Roman" w:hAnsi="Times New Roman" w:cs="Times New Roman"/>
          <w:sz w:val="24"/>
          <w:szCs w:val="24"/>
          <w:lang w:val="lt-LT"/>
        </w:rPr>
        <w:t xml:space="preserve">teismas nenurodė jokios nuostatos, pakankamai tiksliai apibrėžiančios sąlygas ar kriterijus, kurie užtikrintų, kad Notarų rūmai ir jų prezidiumas, </w:t>
      </w:r>
      <w:r w:rsidR="00FF5531" w:rsidRPr="009E76C9">
        <w:rPr>
          <w:rFonts w:ascii="Times New Roman" w:eastAsia="Times New Roman" w:hAnsi="Times New Roman" w:cs="Times New Roman"/>
          <w:sz w:val="24"/>
          <w:szCs w:val="24"/>
          <w:lang w:val="lt-LT"/>
        </w:rPr>
        <w:lastRenderedPageBreak/>
        <w:t>vykdydami savo įgaliojimus priimti nutarimus ar sprendimus, iš tikrųjų veikia paisydami bendrojo viešojo intereso</w:t>
      </w:r>
      <w:r w:rsidR="0041151E" w:rsidRPr="009E76C9">
        <w:rPr>
          <w:rFonts w:ascii="Times New Roman" w:eastAsia="Times New Roman" w:hAnsi="Times New Roman" w:cs="Times New Roman"/>
          <w:sz w:val="24"/>
          <w:szCs w:val="24"/>
          <w:lang w:val="lt-LT"/>
        </w:rPr>
        <w:t xml:space="preserve">“ (Sprendimo </w:t>
      </w:r>
      <w:r w:rsidR="0041151E" w:rsidRPr="009E76C9">
        <w:rPr>
          <w:rFonts w:ascii="Times New Roman" w:eastAsia="Times New Roman" w:hAnsi="Times New Roman" w:cs="Times New Roman"/>
          <w:i/>
          <w:iCs/>
          <w:sz w:val="24"/>
          <w:szCs w:val="24"/>
          <w:lang w:val="lt-LT"/>
        </w:rPr>
        <w:t>Notarų rūmai</w:t>
      </w:r>
      <w:r w:rsidR="0041151E" w:rsidRPr="009E76C9">
        <w:rPr>
          <w:rFonts w:ascii="Times New Roman" w:eastAsia="Times New Roman" w:hAnsi="Times New Roman" w:cs="Times New Roman"/>
          <w:sz w:val="24"/>
          <w:szCs w:val="24"/>
          <w:lang w:val="lt-LT"/>
        </w:rPr>
        <w:t xml:space="preserve"> </w:t>
      </w:r>
      <w:r w:rsidR="00E91BCE" w:rsidRPr="009E76C9">
        <w:rPr>
          <w:rFonts w:ascii="Times New Roman" w:eastAsia="Times New Roman" w:hAnsi="Times New Roman" w:cs="Times New Roman"/>
          <w:sz w:val="24"/>
          <w:szCs w:val="24"/>
          <w:lang w:val="lt-LT"/>
        </w:rPr>
        <w:t>80 p.</w:t>
      </w:r>
      <w:r w:rsidR="0041151E" w:rsidRPr="009E76C9">
        <w:rPr>
          <w:rFonts w:ascii="Times New Roman" w:eastAsia="Times New Roman" w:hAnsi="Times New Roman" w:cs="Times New Roman"/>
          <w:sz w:val="24"/>
          <w:szCs w:val="24"/>
          <w:lang w:val="lt-LT"/>
        </w:rPr>
        <w:t>)</w:t>
      </w:r>
      <w:r w:rsidR="00FF5531" w:rsidRPr="009E76C9">
        <w:rPr>
          <w:rFonts w:ascii="Times New Roman" w:eastAsia="Times New Roman" w:hAnsi="Times New Roman" w:cs="Times New Roman"/>
          <w:sz w:val="24"/>
          <w:szCs w:val="24"/>
          <w:lang w:val="lt-LT"/>
        </w:rPr>
        <w:t xml:space="preserve">. </w:t>
      </w:r>
    </w:p>
    <w:p w14:paraId="61493E8E" w14:textId="66ED66BC" w:rsidR="00627226" w:rsidRDefault="00FF5531" w:rsidP="006B5145">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351BF8">
        <w:rPr>
          <w:rFonts w:ascii="Times New Roman" w:eastAsia="Times New Roman" w:hAnsi="Times New Roman" w:cs="Times New Roman"/>
          <w:sz w:val="24"/>
          <w:szCs w:val="24"/>
          <w:lang w:val="lt-LT"/>
        </w:rPr>
        <w:t xml:space="preserve"> </w:t>
      </w:r>
      <w:r w:rsidR="00E45896">
        <w:rPr>
          <w:rFonts w:ascii="Times New Roman" w:eastAsia="Times New Roman" w:hAnsi="Times New Roman" w:cs="Times New Roman"/>
          <w:sz w:val="24"/>
          <w:szCs w:val="24"/>
          <w:lang w:val="lt-LT"/>
        </w:rPr>
        <w:t>Dėl veiklos</w:t>
      </w:r>
      <w:r w:rsidR="00EC729C">
        <w:rPr>
          <w:rFonts w:ascii="Times New Roman" w:eastAsia="Times New Roman" w:hAnsi="Times New Roman" w:cs="Times New Roman"/>
          <w:sz w:val="24"/>
          <w:szCs w:val="24"/>
          <w:lang w:val="lt-LT"/>
        </w:rPr>
        <w:t>,</w:t>
      </w:r>
      <w:r w:rsidR="00E45896">
        <w:rPr>
          <w:rFonts w:ascii="Times New Roman" w:eastAsia="Times New Roman" w:hAnsi="Times New Roman" w:cs="Times New Roman"/>
          <w:sz w:val="24"/>
          <w:szCs w:val="24"/>
          <w:lang w:val="lt-LT"/>
        </w:rPr>
        <w:t xml:space="preserve"> paisant </w:t>
      </w:r>
      <w:r w:rsidR="00696298">
        <w:rPr>
          <w:rFonts w:ascii="Times New Roman" w:eastAsia="Times New Roman" w:hAnsi="Times New Roman" w:cs="Times New Roman"/>
          <w:sz w:val="24"/>
          <w:szCs w:val="24"/>
          <w:lang w:val="lt-LT"/>
        </w:rPr>
        <w:t>bendrojo viešo intereso</w:t>
      </w:r>
      <w:r w:rsidR="00EC729C">
        <w:rPr>
          <w:rFonts w:ascii="Times New Roman" w:eastAsia="Times New Roman" w:hAnsi="Times New Roman" w:cs="Times New Roman"/>
          <w:sz w:val="24"/>
          <w:szCs w:val="24"/>
          <w:lang w:val="lt-LT"/>
        </w:rPr>
        <w:t>,</w:t>
      </w:r>
      <w:r w:rsidR="00570300">
        <w:rPr>
          <w:rFonts w:ascii="Times New Roman" w:eastAsia="Times New Roman" w:hAnsi="Times New Roman" w:cs="Times New Roman"/>
          <w:sz w:val="24"/>
          <w:szCs w:val="24"/>
          <w:lang w:val="lt-LT"/>
        </w:rPr>
        <w:t xml:space="preserve"> aspekto</w:t>
      </w:r>
      <w:r w:rsidR="00696298">
        <w:rPr>
          <w:rFonts w:ascii="Times New Roman" w:eastAsia="Times New Roman" w:hAnsi="Times New Roman" w:cs="Times New Roman"/>
          <w:sz w:val="24"/>
          <w:szCs w:val="24"/>
          <w:lang w:val="lt-LT"/>
        </w:rPr>
        <w:t xml:space="preserve"> </w:t>
      </w:r>
      <w:r w:rsidR="00800ACC" w:rsidRPr="00351BF8">
        <w:rPr>
          <w:rFonts w:ascii="Times New Roman" w:eastAsia="Times New Roman" w:hAnsi="Times New Roman" w:cs="Times New Roman"/>
          <w:sz w:val="24"/>
          <w:szCs w:val="24"/>
          <w:lang w:val="lt-LT"/>
        </w:rPr>
        <w:t>išplėstinė teisėjų kolegija</w:t>
      </w:r>
      <w:r w:rsidR="00C11AE3" w:rsidRPr="00351BF8">
        <w:rPr>
          <w:rFonts w:ascii="Times New Roman" w:eastAsia="Times New Roman" w:hAnsi="Times New Roman" w:cs="Times New Roman"/>
          <w:sz w:val="24"/>
          <w:szCs w:val="24"/>
          <w:lang w:val="lt-LT"/>
        </w:rPr>
        <w:t xml:space="preserve"> </w:t>
      </w:r>
      <w:r w:rsidR="00696298">
        <w:rPr>
          <w:rFonts w:ascii="Times New Roman" w:eastAsia="Times New Roman" w:hAnsi="Times New Roman" w:cs="Times New Roman"/>
          <w:sz w:val="24"/>
          <w:szCs w:val="24"/>
          <w:lang w:val="lt-LT"/>
        </w:rPr>
        <w:t xml:space="preserve">atkreipia dėmesį, jog </w:t>
      </w:r>
      <w:r w:rsidR="00C11AE3" w:rsidRPr="00351BF8">
        <w:rPr>
          <w:rFonts w:ascii="Times New Roman" w:eastAsia="Times New Roman" w:hAnsi="Times New Roman" w:cs="Times New Roman"/>
          <w:sz w:val="24"/>
          <w:szCs w:val="24"/>
          <w:lang w:val="lt-LT"/>
        </w:rPr>
        <w:t>Teisingumo Teism</w:t>
      </w:r>
      <w:r w:rsidR="00EC729C">
        <w:rPr>
          <w:rFonts w:ascii="Times New Roman" w:eastAsia="Times New Roman" w:hAnsi="Times New Roman" w:cs="Times New Roman"/>
          <w:sz w:val="24"/>
          <w:szCs w:val="24"/>
          <w:lang w:val="lt-LT"/>
        </w:rPr>
        <w:t xml:space="preserve">as yra </w:t>
      </w:r>
      <w:r w:rsidR="00570300">
        <w:rPr>
          <w:rFonts w:ascii="Times New Roman" w:eastAsia="Times New Roman" w:hAnsi="Times New Roman" w:cs="Times New Roman"/>
          <w:sz w:val="24"/>
          <w:szCs w:val="24"/>
          <w:lang w:val="lt-LT"/>
        </w:rPr>
        <w:t xml:space="preserve">išaiškinęs, </w:t>
      </w:r>
      <w:r w:rsidR="001944E7">
        <w:rPr>
          <w:rFonts w:ascii="Times New Roman" w:eastAsia="Times New Roman" w:hAnsi="Times New Roman" w:cs="Times New Roman"/>
          <w:sz w:val="24"/>
          <w:szCs w:val="24"/>
          <w:lang w:val="lt-LT"/>
        </w:rPr>
        <w:t xml:space="preserve">pavyzdžiui, </w:t>
      </w:r>
      <w:r w:rsidR="00570300">
        <w:rPr>
          <w:rFonts w:ascii="Times New Roman" w:eastAsia="Times New Roman" w:hAnsi="Times New Roman" w:cs="Times New Roman"/>
          <w:sz w:val="24"/>
          <w:szCs w:val="24"/>
          <w:lang w:val="lt-LT"/>
        </w:rPr>
        <w:t xml:space="preserve">kad </w:t>
      </w:r>
      <w:r w:rsidR="00981213" w:rsidRPr="00351BF8">
        <w:rPr>
          <w:rFonts w:ascii="Times New Roman" w:hAnsi="Times New Roman" w:cs="Times New Roman"/>
          <w:color w:val="000000"/>
          <w:sz w:val="24"/>
          <w:szCs w:val="24"/>
          <w:lang w:val="lt-LT"/>
        </w:rPr>
        <w:t xml:space="preserve">profesinės organizacijos patvirtintas tarifas </w:t>
      </w:r>
      <w:r w:rsidR="00991EBF">
        <w:rPr>
          <w:rFonts w:ascii="Times New Roman" w:hAnsi="Times New Roman" w:cs="Times New Roman"/>
          <w:color w:val="000000"/>
          <w:sz w:val="24"/>
          <w:szCs w:val="24"/>
          <w:lang w:val="lt-LT"/>
        </w:rPr>
        <w:t xml:space="preserve">iš tiesų </w:t>
      </w:r>
      <w:r w:rsidR="00981213" w:rsidRPr="00351BF8">
        <w:rPr>
          <w:rFonts w:ascii="Times New Roman" w:hAnsi="Times New Roman" w:cs="Times New Roman"/>
          <w:color w:val="000000"/>
          <w:sz w:val="24"/>
          <w:szCs w:val="24"/>
          <w:lang w:val="lt-LT"/>
        </w:rPr>
        <w:t>gali būti valstybinio pobūdžio, be kita ko, kai šios organizacijos nariai yra nuo atitinkamų ūkio subjektų nepriklausomi ekspertai ir pagal įstatymą privalo nustatyti tarifus, atsižvelgdami ne tik į juos paskyrusių sektoriaus įmonių ar įmonių asociacijų interesus, bet ir į bendrąjį interesą, ir kitų sektorių įmonių ar atitinkamų paslaugų naudotojų interesus</w:t>
      </w:r>
      <w:r w:rsidR="007A701D">
        <w:rPr>
          <w:rFonts w:ascii="Times New Roman" w:hAnsi="Times New Roman" w:cs="Times New Roman"/>
          <w:color w:val="000000"/>
          <w:sz w:val="24"/>
          <w:szCs w:val="24"/>
          <w:lang w:val="lt-LT"/>
        </w:rPr>
        <w:t xml:space="preserve"> (</w:t>
      </w:r>
      <w:r w:rsidR="00A65A2F" w:rsidRPr="00A65A2F">
        <w:rPr>
          <w:rFonts w:ascii="Times New Roman" w:hAnsi="Times New Roman" w:cs="Times New Roman"/>
          <w:color w:val="000000"/>
          <w:sz w:val="24"/>
          <w:szCs w:val="24"/>
          <w:lang w:val="lt-LT"/>
        </w:rPr>
        <w:t>2017 m. lapkričio 23 d.</w:t>
      </w:r>
      <w:r w:rsidR="00A05C31">
        <w:rPr>
          <w:rFonts w:ascii="Times New Roman" w:hAnsi="Times New Roman" w:cs="Times New Roman"/>
          <w:color w:val="000000"/>
          <w:sz w:val="24"/>
          <w:szCs w:val="24"/>
          <w:lang w:val="lt-LT"/>
        </w:rPr>
        <w:t xml:space="preserve"> Teisingumo Teismo sprendimas </w:t>
      </w:r>
      <w:r w:rsidR="00A05C31" w:rsidRPr="00A05C31">
        <w:rPr>
          <w:rFonts w:ascii="Times New Roman" w:hAnsi="Times New Roman" w:cs="Times New Roman"/>
          <w:color w:val="000000"/>
          <w:sz w:val="24"/>
          <w:szCs w:val="24"/>
          <w:lang w:val="lt-LT"/>
        </w:rPr>
        <w:t>Sujungtose bylose C‑427/16 ir C‑428/16</w:t>
      </w:r>
      <w:r w:rsidR="00A05C31">
        <w:rPr>
          <w:rFonts w:ascii="Times New Roman" w:hAnsi="Times New Roman" w:cs="Times New Roman"/>
          <w:color w:val="000000"/>
          <w:sz w:val="24"/>
          <w:szCs w:val="24"/>
          <w:lang w:val="lt-LT"/>
        </w:rPr>
        <w:t xml:space="preserve">, </w:t>
      </w:r>
      <w:r w:rsidR="000B5422" w:rsidRPr="006B5145">
        <w:rPr>
          <w:rFonts w:ascii="Times New Roman" w:hAnsi="Times New Roman" w:cs="Times New Roman"/>
          <w:i/>
          <w:iCs/>
          <w:color w:val="000000"/>
          <w:sz w:val="24"/>
          <w:szCs w:val="24"/>
          <w:lang w:val="lt-LT"/>
        </w:rPr>
        <w:t xml:space="preserve">CHEZ </w:t>
      </w:r>
      <w:proofErr w:type="spellStart"/>
      <w:r w:rsidR="000B5422" w:rsidRPr="006B5145">
        <w:rPr>
          <w:rFonts w:ascii="Times New Roman" w:hAnsi="Times New Roman" w:cs="Times New Roman"/>
          <w:i/>
          <w:iCs/>
          <w:color w:val="000000"/>
          <w:sz w:val="24"/>
          <w:szCs w:val="24"/>
          <w:lang w:val="lt-LT"/>
        </w:rPr>
        <w:t>Elektro</w:t>
      </w:r>
      <w:proofErr w:type="spellEnd"/>
      <w:r w:rsidR="000B5422" w:rsidRPr="006B5145">
        <w:rPr>
          <w:rFonts w:ascii="Times New Roman" w:hAnsi="Times New Roman" w:cs="Times New Roman"/>
          <w:i/>
          <w:iCs/>
          <w:color w:val="000000"/>
          <w:sz w:val="24"/>
          <w:szCs w:val="24"/>
          <w:lang w:val="lt-LT"/>
        </w:rPr>
        <w:t xml:space="preserve"> </w:t>
      </w:r>
      <w:proofErr w:type="spellStart"/>
      <w:r w:rsidR="000B5422" w:rsidRPr="006B5145">
        <w:rPr>
          <w:rFonts w:ascii="Times New Roman" w:hAnsi="Times New Roman" w:cs="Times New Roman"/>
          <w:i/>
          <w:iCs/>
          <w:color w:val="000000"/>
          <w:sz w:val="24"/>
          <w:szCs w:val="24"/>
          <w:lang w:val="lt-LT"/>
        </w:rPr>
        <w:t>Bulgaria</w:t>
      </w:r>
      <w:proofErr w:type="spellEnd"/>
      <w:r w:rsidR="000B5422">
        <w:rPr>
          <w:rFonts w:ascii="Times New Roman" w:hAnsi="Times New Roman" w:cs="Times New Roman"/>
          <w:color w:val="000000"/>
          <w:sz w:val="24"/>
          <w:szCs w:val="24"/>
          <w:lang w:val="lt-LT"/>
        </w:rPr>
        <w:t xml:space="preserve">, </w:t>
      </w:r>
      <w:r w:rsidR="00A05C31" w:rsidRPr="00A05C31">
        <w:rPr>
          <w:rFonts w:ascii="Times New Roman" w:hAnsi="Times New Roman" w:cs="Times New Roman"/>
          <w:color w:val="000000"/>
          <w:sz w:val="24"/>
          <w:szCs w:val="24"/>
          <w:lang w:val="lt-LT"/>
        </w:rPr>
        <w:t>EU:C:2017:890</w:t>
      </w:r>
      <w:r w:rsidR="00A05C31">
        <w:rPr>
          <w:rFonts w:ascii="Times New Roman" w:hAnsi="Times New Roman" w:cs="Times New Roman"/>
          <w:color w:val="000000"/>
          <w:sz w:val="24"/>
          <w:szCs w:val="24"/>
          <w:lang w:val="lt-LT"/>
        </w:rPr>
        <w:t xml:space="preserve">, </w:t>
      </w:r>
      <w:r w:rsidR="007A701D">
        <w:rPr>
          <w:rFonts w:ascii="Times New Roman" w:hAnsi="Times New Roman" w:cs="Times New Roman"/>
          <w:color w:val="000000"/>
          <w:sz w:val="24"/>
          <w:szCs w:val="24"/>
          <w:lang w:val="lt-LT"/>
        </w:rPr>
        <w:t>45</w:t>
      </w:r>
      <w:r w:rsidR="004B3697">
        <w:rPr>
          <w:rFonts w:ascii="Times New Roman" w:hAnsi="Times New Roman" w:cs="Times New Roman"/>
          <w:color w:val="000000"/>
          <w:sz w:val="24"/>
          <w:szCs w:val="24"/>
          <w:lang w:val="lt-LT"/>
        </w:rPr>
        <w:t> </w:t>
      </w:r>
      <w:r w:rsidR="007A701D">
        <w:rPr>
          <w:rFonts w:ascii="Times New Roman" w:hAnsi="Times New Roman" w:cs="Times New Roman"/>
          <w:color w:val="000000"/>
          <w:sz w:val="24"/>
          <w:szCs w:val="24"/>
          <w:lang w:val="lt-LT"/>
        </w:rPr>
        <w:t>p</w:t>
      </w:r>
      <w:r w:rsidR="000F5BC3">
        <w:rPr>
          <w:rFonts w:ascii="Times New Roman" w:hAnsi="Times New Roman" w:cs="Times New Roman"/>
          <w:color w:val="000000"/>
          <w:sz w:val="24"/>
          <w:szCs w:val="24"/>
          <w:lang w:val="lt-LT"/>
        </w:rPr>
        <w:t>unktas ir jame nurodyta jurisprudencija</w:t>
      </w:r>
      <w:r w:rsidR="007A701D">
        <w:rPr>
          <w:rFonts w:ascii="Times New Roman" w:hAnsi="Times New Roman" w:cs="Times New Roman"/>
          <w:color w:val="000000"/>
          <w:sz w:val="24"/>
          <w:szCs w:val="24"/>
          <w:lang w:val="lt-LT"/>
        </w:rPr>
        <w:t>)</w:t>
      </w:r>
      <w:r w:rsidR="008B1AED">
        <w:rPr>
          <w:rFonts w:ascii="Times New Roman" w:hAnsi="Times New Roman" w:cs="Times New Roman"/>
          <w:color w:val="000000"/>
          <w:sz w:val="24"/>
          <w:szCs w:val="24"/>
          <w:lang w:val="lt-LT"/>
        </w:rPr>
        <w:t xml:space="preserve">. </w:t>
      </w:r>
    </w:p>
    <w:p w14:paraId="2EAEE262" w14:textId="428DCE9C" w:rsidR="005436E9" w:rsidRPr="005436E9" w:rsidRDefault="00CA095D" w:rsidP="005436E9">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hAnsi="Times New Roman" w:cs="Times New Roman"/>
          <w:color w:val="000000"/>
          <w:sz w:val="24"/>
          <w:szCs w:val="24"/>
          <w:lang w:val="lt-LT"/>
        </w:rPr>
        <w:t xml:space="preserve"> </w:t>
      </w:r>
      <w:r w:rsidR="005417CC" w:rsidRPr="00627226">
        <w:rPr>
          <w:rFonts w:ascii="Times New Roman" w:hAnsi="Times New Roman" w:cs="Times New Roman"/>
          <w:color w:val="000000"/>
          <w:sz w:val="24"/>
          <w:szCs w:val="24"/>
          <w:lang w:val="lt-LT"/>
        </w:rPr>
        <w:t>Pareiškėjai</w:t>
      </w:r>
      <w:r w:rsidR="00627226">
        <w:rPr>
          <w:rFonts w:ascii="Times New Roman" w:hAnsi="Times New Roman" w:cs="Times New Roman"/>
          <w:color w:val="000000"/>
          <w:sz w:val="24"/>
          <w:szCs w:val="24"/>
          <w:lang w:val="lt-LT"/>
        </w:rPr>
        <w:t xml:space="preserve"> savo pateiktuose </w:t>
      </w:r>
      <w:r w:rsidR="00627226" w:rsidRPr="005436E9">
        <w:rPr>
          <w:rFonts w:ascii="Times New Roman" w:hAnsi="Times New Roman" w:cs="Times New Roman"/>
          <w:color w:val="000000"/>
          <w:sz w:val="24"/>
          <w:szCs w:val="24"/>
          <w:lang w:val="lt-LT"/>
        </w:rPr>
        <w:t>procesiniuose dokumentuose laik</w:t>
      </w:r>
      <w:r w:rsidR="00036DDD">
        <w:rPr>
          <w:rFonts w:ascii="Times New Roman" w:hAnsi="Times New Roman" w:cs="Times New Roman"/>
          <w:color w:val="000000"/>
          <w:sz w:val="24"/>
          <w:szCs w:val="24"/>
          <w:lang w:val="lt-LT"/>
        </w:rPr>
        <w:t>o</w:t>
      </w:r>
      <w:r w:rsidR="00627226" w:rsidRPr="005436E9">
        <w:rPr>
          <w:rFonts w:ascii="Times New Roman" w:hAnsi="Times New Roman" w:cs="Times New Roman"/>
          <w:color w:val="000000"/>
          <w:sz w:val="24"/>
          <w:szCs w:val="24"/>
          <w:lang w:val="lt-LT"/>
        </w:rPr>
        <w:t xml:space="preserve">si pozicijos, kad </w:t>
      </w:r>
      <w:r w:rsidR="00CE44E4" w:rsidRPr="00983A41">
        <w:rPr>
          <w:rFonts w:ascii="Times New Roman" w:eastAsia="Times New Roman" w:hAnsi="Times New Roman" w:cs="Times New Roman"/>
          <w:sz w:val="24"/>
          <w:szCs w:val="24"/>
          <w:lang w:val="lt-LT"/>
        </w:rPr>
        <w:t>notarų paslaugų įkaini</w:t>
      </w:r>
      <w:r w:rsidR="00001892">
        <w:rPr>
          <w:rFonts w:ascii="Times New Roman" w:eastAsia="Times New Roman" w:hAnsi="Times New Roman" w:cs="Times New Roman"/>
          <w:sz w:val="24"/>
          <w:szCs w:val="24"/>
          <w:lang w:val="lt-LT"/>
        </w:rPr>
        <w:t>ų</w:t>
      </w:r>
      <w:r w:rsidR="00CE44E4" w:rsidRPr="00983A41">
        <w:rPr>
          <w:rFonts w:ascii="Times New Roman" w:eastAsia="Times New Roman" w:hAnsi="Times New Roman" w:cs="Times New Roman"/>
          <w:sz w:val="24"/>
          <w:szCs w:val="24"/>
          <w:lang w:val="lt-LT"/>
        </w:rPr>
        <w:t xml:space="preserve"> aišk</w:t>
      </w:r>
      <w:r w:rsidR="00F52E6A">
        <w:rPr>
          <w:rFonts w:ascii="Times New Roman" w:eastAsia="Times New Roman" w:hAnsi="Times New Roman" w:cs="Times New Roman"/>
          <w:sz w:val="24"/>
          <w:szCs w:val="24"/>
          <w:lang w:val="lt-LT"/>
        </w:rPr>
        <w:t>umas</w:t>
      </w:r>
      <w:r w:rsidR="00CE44E4" w:rsidRPr="00983A41">
        <w:rPr>
          <w:rFonts w:ascii="Times New Roman" w:eastAsia="Times New Roman" w:hAnsi="Times New Roman" w:cs="Times New Roman"/>
          <w:sz w:val="24"/>
          <w:szCs w:val="24"/>
          <w:lang w:val="lt-LT"/>
        </w:rPr>
        <w:t>, skaidr</w:t>
      </w:r>
      <w:r w:rsidR="00F52E6A">
        <w:rPr>
          <w:rFonts w:ascii="Times New Roman" w:eastAsia="Times New Roman" w:hAnsi="Times New Roman" w:cs="Times New Roman"/>
          <w:sz w:val="24"/>
          <w:szCs w:val="24"/>
          <w:lang w:val="lt-LT"/>
        </w:rPr>
        <w:t>umas</w:t>
      </w:r>
      <w:r w:rsidR="00001892">
        <w:rPr>
          <w:rFonts w:ascii="Times New Roman" w:eastAsia="Times New Roman" w:hAnsi="Times New Roman" w:cs="Times New Roman"/>
          <w:sz w:val="24"/>
          <w:szCs w:val="24"/>
          <w:lang w:val="lt-LT"/>
        </w:rPr>
        <w:t>,</w:t>
      </w:r>
      <w:r w:rsidR="00CE44E4" w:rsidRPr="00983A41">
        <w:rPr>
          <w:rFonts w:ascii="Times New Roman" w:eastAsia="Times New Roman" w:hAnsi="Times New Roman" w:cs="Times New Roman"/>
          <w:sz w:val="24"/>
          <w:szCs w:val="24"/>
          <w:lang w:val="lt-LT"/>
        </w:rPr>
        <w:t xml:space="preserve"> teisės akt</w:t>
      </w:r>
      <w:r w:rsidR="00001892">
        <w:rPr>
          <w:rFonts w:ascii="Times New Roman" w:eastAsia="Times New Roman" w:hAnsi="Times New Roman" w:cs="Times New Roman"/>
          <w:sz w:val="24"/>
          <w:szCs w:val="24"/>
          <w:lang w:val="lt-LT"/>
        </w:rPr>
        <w:t>ų</w:t>
      </w:r>
      <w:r w:rsidR="009A02F2">
        <w:rPr>
          <w:rFonts w:ascii="Times New Roman" w:eastAsia="Times New Roman" w:hAnsi="Times New Roman" w:cs="Times New Roman"/>
          <w:sz w:val="24"/>
          <w:szCs w:val="24"/>
          <w:lang w:val="lt-LT"/>
        </w:rPr>
        <w:t>, kuriais jie nustatomi, vienodas taikymas laikytinas viešuoju interesu</w:t>
      </w:r>
      <w:r w:rsidR="00E1288C">
        <w:rPr>
          <w:rFonts w:ascii="Times New Roman" w:eastAsia="Times New Roman" w:hAnsi="Times New Roman" w:cs="Times New Roman"/>
          <w:sz w:val="24"/>
          <w:szCs w:val="24"/>
          <w:lang w:val="lt-LT"/>
        </w:rPr>
        <w:t>, kurio siekdami veikė Notarų rūmai</w:t>
      </w:r>
      <w:r w:rsidR="00DD0C72">
        <w:rPr>
          <w:rFonts w:ascii="Times New Roman" w:eastAsia="Times New Roman" w:hAnsi="Times New Roman" w:cs="Times New Roman"/>
          <w:sz w:val="24"/>
          <w:szCs w:val="24"/>
          <w:lang w:val="lt-LT"/>
        </w:rPr>
        <w:t xml:space="preserve"> bei Prezidiumas</w:t>
      </w:r>
      <w:r w:rsidR="009A02F2">
        <w:rPr>
          <w:rFonts w:ascii="Times New Roman" w:eastAsia="Times New Roman" w:hAnsi="Times New Roman" w:cs="Times New Roman"/>
          <w:sz w:val="24"/>
          <w:szCs w:val="24"/>
          <w:lang w:val="lt-LT"/>
        </w:rPr>
        <w:t>.</w:t>
      </w:r>
    </w:p>
    <w:p w14:paraId="5E82E7B8" w14:textId="57067EFC" w:rsidR="00281AD7" w:rsidRPr="00281AD7" w:rsidRDefault="00CA095D" w:rsidP="00976C05">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hAnsi="Times New Roman" w:cs="Times New Roman"/>
          <w:color w:val="000000"/>
          <w:sz w:val="24"/>
          <w:szCs w:val="24"/>
          <w:lang w:val="lt-LT"/>
        </w:rPr>
        <w:t xml:space="preserve"> </w:t>
      </w:r>
      <w:r w:rsidR="000C0626" w:rsidRPr="005436E9">
        <w:rPr>
          <w:rFonts w:ascii="Times New Roman" w:hAnsi="Times New Roman" w:cs="Times New Roman"/>
          <w:color w:val="000000"/>
          <w:sz w:val="24"/>
          <w:szCs w:val="24"/>
          <w:lang w:val="lt-LT"/>
        </w:rPr>
        <w:t xml:space="preserve">Vis dėlto išplėstinė teisėjų kolegija </w:t>
      </w:r>
      <w:r w:rsidR="00A90E4B">
        <w:rPr>
          <w:rFonts w:ascii="Times New Roman" w:hAnsi="Times New Roman" w:cs="Times New Roman"/>
          <w:color w:val="000000"/>
          <w:sz w:val="24"/>
          <w:szCs w:val="24"/>
          <w:lang w:val="lt-LT"/>
        </w:rPr>
        <w:t>pabrėžia</w:t>
      </w:r>
      <w:r w:rsidR="000C0626" w:rsidRPr="005436E9">
        <w:rPr>
          <w:rFonts w:ascii="Times New Roman" w:hAnsi="Times New Roman" w:cs="Times New Roman"/>
          <w:color w:val="000000"/>
          <w:sz w:val="24"/>
          <w:szCs w:val="24"/>
          <w:lang w:val="lt-LT"/>
        </w:rPr>
        <w:t xml:space="preserve">, </w:t>
      </w:r>
      <w:r w:rsidR="0078176C">
        <w:rPr>
          <w:rFonts w:ascii="Times New Roman" w:hAnsi="Times New Roman" w:cs="Times New Roman"/>
          <w:color w:val="000000"/>
          <w:sz w:val="24"/>
          <w:szCs w:val="24"/>
          <w:lang w:val="lt-LT"/>
        </w:rPr>
        <w:t>jog</w:t>
      </w:r>
      <w:r w:rsidR="000C0626" w:rsidRPr="005436E9">
        <w:rPr>
          <w:rFonts w:ascii="Times New Roman" w:hAnsi="Times New Roman" w:cs="Times New Roman"/>
          <w:color w:val="000000"/>
          <w:sz w:val="24"/>
          <w:szCs w:val="24"/>
          <w:lang w:val="lt-LT"/>
        </w:rPr>
        <w:t xml:space="preserve"> </w:t>
      </w:r>
      <w:r w:rsidR="0078176C">
        <w:rPr>
          <w:rFonts w:ascii="Times New Roman" w:hAnsi="Times New Roman" w:cs="Times New Roman"/>
          <w:color w:val="000000"/>
          <w:sz w:val="24"/>
          <w:szCs w:val="24"/>
          <w:lang w:val="lt-LT"/>
        </w:rPr>
        <w:t>s</w:t>
      </w:r>
      <w:r w:rsidR="0078176C" w:rsidRPr="0078176C">
        <w:rPr>
          <w:rFonts w:ascii="Times New Roman" w:hAnsi="Times New Roman" w:cs="Times New Roman"/>
          <w:color w:val="000000"/>
          <w:sz w:val="24"/>
          <w:szCs w:val="24"/>
          <w:lang w:val="lt-LT"/>
        </w:rPr>
        <w:t>iekiant užtikrinti, kad profesinės organizacijos nariai veiksmingai veiktų laikydamiesi bendrojo intereso, šio intereso kriterijai turi būti pakankamai tiksliai apibrėžti įstatyme, o valstybė turi vykdyti veiksmingą kontrolę ir turėti įgaliojimų priimti galutinį sprendimą</w:t>
      </w:r>
      <w:r w:rsidR="005436E9" w:rsidRPr="005436E9">
        <w:rPr>
          <w:rFonts w:ascii="Times New Roman" w:hAnsi="Times New Roman" w:cs="Times New Roman"/>
          <w:color w:val="000000"/>
          <w:sz w:val="24"/>
          <w:szCs w:val="24"/>
          <w:lang w:val="lt-LT"/>
        </w:rPr>
        <w:t xml:space="preserve"> (</w:t>
      </w:r>
      <w:r w:rsidR="000364E6">
        <w:rPr>
          <w:rFonts w:ascii="Times New Roman" w:hAnsi="Times New Roman" w:cs="Times New Roman"/>
          <w:color w:val="000000"/>
          <w:sz w:val="24"/>
          <w:szCs w:val="24"/>
          <w:lang w:val="lt-LT"/>
        </w:rPr>
        <w:t xml:space="preserve">minėto sprendimo </w:t>
      </w:r>
      <w:r w:rsidR="000364E6" w:rsidRPr="006B5145">
        <w:rPr>
          <w:rFonts w:ascii="Times New Roman" w:hAnsi="Times New Roman" w:cs="Times New Roman"/>
          <w:i/>
          <w:iCs/>
          <w:color w:val="000000"/>
          <w:sz w:val="24"/>
          <w:szCs w:val="24"/>
          <w:lang w:val="lt-LT"/>
        </w:rPr>
        <w:t xml:space="preserve">CHEZ </w:t>
      </w:r>
      <w:proofErr w:type="spellStart"/>
      <w:r w:rsidR="000364E6" w:rsidRPr="006B5145">
        <w:rPr>
          <w:rFonts w:ascii="Times New Roman" w:hAnsi="Times New Roman" w:cs="Times New Roman"/>
          <w:i/>
          <w:iCs/>
          <w:color w:val="000000"/>
          <w:sz w:val="24"/>
          <w:szCs w:val="24"/>
          <w:lang w:val="lt-LT"/>
        </w:rPr>
        <w:t>Elektro</w:t>
      </w:r>
      <w:proofErr w:type="spellEnd"/>
      <w:r w:rsidR="000364E6" w:rsidRPr="006B5145">
        <w:rPr>
          <w:rFonts w:ascii="Times New Roman" w:hAnsi="Times New Roman" w:cs="Times New Roman"/>
          <w:i/>
          <w:iCs/>
          <w:color w:val="000000"/>
          <w:sz w:val="24"/>
          <w:szCs w:val="24"/>
          <w:lang w:val="lt-LT"/>
        </w:rPr>
        <w:t xml:space="preserve"> </w:t>
      </w:r>
      <w:proofErr w:type="spellStart"/>
      <w:r w:rsidR="000364E6" w:rsidRPr="006B5145">
        <w:rPr>
          <w:rFonts w:ascii="Times New Roman" w:hAnsi="Times New Roman" w:cs="Times New Roman"/>
          <w:i/>
          <w:iCs/>
          <w:color w:val="000000"/>
          <w:sz w:val="24"/>
          <w:szCs w:val="24"/>
          <w:lang w:val="lt-LT"/>
        </w:rPr>
        <w:t>Bulgaria</w:t>
      </w:r>
      <w:proofErr w:type="spellEnd"/>
      <w:r w:rsidR="000364E6">
        <w:rPr>
          <w:rFonts w:ascii="Times New Roman" w:hAnsi="Times New Roman" w:cs="Times New Roman"/>
          <w:color w:val="000000"/>
          <w:sz w:val="24"/>
          <w:szCs w:val="24"/>
          <w:lang w:val="lt-LT"/>
        </w:rPr>
        <w:t xml:space="preserve">, </w:t>
      </w:r>
      <w:r w:rsidR="00976C05">
        <w:rPr>
          <w:rFonts w:ascii="Times New Roman" w:hAnsi="Times New Roman" w:cs="Times New Roman"/>
          <w:color w:val="000000"/>
          <w:sz w:val="24"/>
          <w:szCs w:val="24"/>
          <w:lang w:val="lt-LT"/>
        </w:rPr>
        <w:t>46</w:t>
      </w:r>
      <w:r w:rsidR="000364E6">
        <w:rPr>
          <w:rFonts w:ascii="Times New Roman" w:hAnsi="Times New Roman" w:cs="Times New Roman"/>
          <w:color w:val="000000"/>
          <w:sz w:val="24"/>
          <w:szCs w:val="24"/>
          <w:lang w:val="lt-LT"/>
        </w:rPr>
        <w:t xml:space="preserve"> punktas ir jame nurodyta jurisprudencija</w:t>
      </w:r>
      <w:r w:rsidR="005436E9" w:rsidRPr="005436E9">
        <w:rPr>
          <w:rFonts w:ascii="Times New Roman" w:hAnsi="Times New Roman" w:cs="Times New Roman"/>
          <w:color w:val="000000"/>
          <w:sz w:val="24"/>
          <w:szCs w:val="24"/>
          <w:lang w:val="lt-LT"/>
        </w:rPr>
        <w:t>).</w:t>
      </w:r>
      <w:r w:rsidR="00976C05">
        <w:rPr>
          <w:rFonts w:ascii="Times New Roman" w:hAnsi="Times New Roman" w:cs="Times New Roman"/>
          <w:color w:val="000000"/>
          <w:sz w:val="24"/>
          <w:szCs w:val="24"/>
          <w:lang w:val="lt-LT"/>
        </w:rPr>
        <w:t xml:space="preserve"> </w:t>
      </w:r>
      <w:r w:rsidR="00552A46">
        <w:rPr>
          <w:rFonts w:ascii="Times New Roman" w:hAnsi="Times New Roman" w:cs="Times New Roman"/>
          <w:color w:val="000000"/>
          <w:sz w:val="24"/>
          <w:szCs w:val="24"/>
          <w:lang w:val="lt-LT"/>
        </w:rPr>
        <w:t xml:space="preserve">Kitaip tariant, </w:t>
      </w:r>
      <w:r w:rsidR="00C732D2">
        <w:rPr>
          <w:rFonts w:ascii="Times New Roman" w:hAnsi="Times New Roman" w:cs="Times New Roman"/>
          <w:color w:val="000000"/>
          <w:sz w:val="24"/>
          <w:szCs w:val="24"/>
          <w:lang w:val="lt-LT"/>
        </w:rPr>
        <w:t>siekiant pagrįstai konstatuoti</w:t>
      </w:r>
      <w:r w:rsidR="00667976">
        <w:rPr>
          <w:rFonts w:ascii="Times New Roman" w:hAnsi="Times New Roman" w:cs="Times New Roman"/>
          <w:color w:val="000000"/>
          <w:sz w:val="24"/>
          <w:szCs w:val="24"/>
          <w:lang w:val="lt-LT"/>
        </w:rPr>
        <w:t>, jog</w:t>
      </w:r>
      <w:r w:rsidR="00C732D2">
        <w:rPr>
          <w:rFonts w:ascii="Times New Roman" w:hAnsi="Times New Roman" w:cs="Times New Roman"/>
          <w:color w:val="000000"/>
          <w:sz w:val="24"/>
          <w:szCs w:val="24"/>
          <w:lang w:val="lt-LT"/>
        </w:rPr>
        <w:t xml:space="preserve"> </w:t>
      </w:r>
      <w:r w:rsidR="00D91F63">
        <w:rPr>
          <w:rFonts w:ascii="Times New Roman" w:hAnsi="Times New Roman" w:cs="Times New Roman"/>
          <w:color w:val="000000"/>
          <w:sz w:val="24"/>
          <w:szCs w:val="24"/>
          <w:lang w:val="lt-LT"/>
        </w:rPr>
        <w:t>profesinė organizacij</w:t>
      </w:r>
      <w:r w:rsidR="001B32EE">
        <w:rPr>
          <w:rFonts w:ascii="Times New Roman" w:hAnsi="Times New Roman" w:cs="Times New Roman"/>
          <w:color w:val="000000"/>
          <w:sz w:val="24"/>
          <w:szCs w:val="24"/>
          <w:lang w:val="lt-LT"/>
        </w:rPr>
        <w:t xml:space="preserve">a veikia paisydama bendrojo viešojo intereso, kaip jis aiškinamas Teisingumo Teismo praktikoje, </w:t>
      </w:r>
      <w:r w:rsidR="00DA3CB9">
        <w:rPr>
          <w:rFonts w:ascii="Times New Roman" w:hAnsi="Times New Roman" w:cs="Times New Roman"/>
          <w:color w:val="000000"/>
          <w:sz w:val="24"/>
          <w:szCs w:val="24"/>
          <w:lang w:val="lt-LT"/>
        </w:rPr>
        <w:t>nacionalinės</w:t>
      </w:r>
      <w:r w:rsidR="007E2547" w:rsidRPr="00351BF8">
        <w:rPr>
          <w:rFonts w:ascii="Times New Roman" w:hAnsi="Times New Roman" w:cs="Times New Roman"/>
          <w:color w:val="000000"/>
          <w:sz w:val="24"/>
          <w:szCs w:val="24"/>
          <w:lang w:val="lt-LT"/>
        </w:rPr>
        <w:t xml:space="preserve"> </w:t>
      </w:r>
      <w:r w:rsidR="00312C21">
        <w:rPr>
          <w:rFonts w:ascii="Times New Roman" w:hAnsi="Times New Roman" w:cs="Times New Roman"/>
          <w:color w:val="000000"/>
          <w:sz w:val="24"/>
          <w:szCs w:val="24"/>
          <w:lang w:val="lt-LT"/>
        </w:rPr>
        <w:t xml:space="preserve">teisės normose </w:t>
      </w:r>
      <w:r w:rsidR="00F47DCB">
        <w:rPr>
          <w:rFonts w:ascii="Times New Roman" w:hAnsi="Times New Roman" w:cs="Times New Roman"/>
          <w:color w:val="000000"/>
          <w:sz w:val="24"/>
          <w:szCs w:val="24"/>
          <w:lang w:val="lt-LT"/>
        </w:rPr>
        <w:t>turi būti pakankamai tiksliai apibrėžt</w:t>
      </w:r>
      <w:r w:rsidR="00EF1B46">
        <w:rPr>
          <w:rFonts w:ascii="Times New Roman" w:hAnsi="Times New Roman" w:cs="Times New Roman"/>
          <w:color w:val="000000"/>
          <w:sz w:val="24"/>
          <w:szCs w:val="24"/>
          <w:lang w:val="lt-LT"/>
        </w:rPr>
        <w:t>i bendrojo intereso kriterijai</w:t>
      </w:r>
      <w:r w:rsidR="00250410">
        <w:rPr>
          <w:rFonts w:ascii="Times New Roman" w:hAnsi="Times New Roman" w:cs="Times New Roman"/>
          <w:color w:val="000000"/>
          <w:sz w:val="24"/>
          <w:szCs w:val="24"/>
          <w:lang w:val="lt-LT"/>
        </w:rPr>
        <w:t xml:space="preserve">, </w:t>
      </w:r>
      <w:r w:rsidR="001711C9">
        <w:rPr>
          <w:rFonts w:ascii="Times New Roman" w:hAnsi="Times New Roman" w:cs="Times New Roman"/>
          <w:color w:val="000000"/>
          <w:sz w:val="24"/>
          <w:szCs w:val="24"/>
          <w:lang w:val="lt-LT"/>
        </w:rPr>
        <w:t xml:space="preserve">leidžiantys </w:t>
      </w:r>
      <w:r w:rsidR="00B713E0">
        <w:rPr>
          <w:rFonts w:ascii="Times New Roman" w:hAnsi="Times New Roman" w:cs="Times New Roman"/>
          <w:color w:val="000000"/>
          <w:sz w:val="24"/>
          <w:szCs w:val="24"/>
          <w:lang w:val="lt-LT"/>
        </w:rPr>
        <w:t xml:space="preserve">užtikrinti, kad </w:t>
      </w:r>
      <w:r w:rsidR="00E23066">
        <w:rPr>
          <w:rFonts w:ascii="Times New Roman" w:hAnsi="Times New Roman" w:cs="Times New Roman"/>
          <w:color w:val="000000"/>
          <w:sz w:val="24"/>
          <w:szCs w:val="24"/>
          <w:lang w:val="lt-LT"/>
        </w:rPr>
        <w:t>atitinkama veikla bus vykdoma</w:t>
      </w:r>
      <w:r w:rsidR="00BA6970">
        <w:rPr>
          <w:rFonts w:ascii="Times New Roman" w:hAnsi="Times New Roman" w:cs="Times New Roman"/>
          <w:color w:val="000000"/>
          <w:sz w:val="24"/>
          <w:szCs w:val="24"/>
          <w:lang w:val="lt-LT"/>
        </w:rPr>
        <w:t xml:space="preserve">, </w:t>
      </w:r>
      <w:r w:rsidR="00BD32EF" w:rsidRPr="00351BF8">
        <w:rPr>
          <w:rFonts w:ascii="Times New Roman" w:hAnsi="Times New Roman" w:cs="Times New Roman"/>
          <w:color w:val="000000"/>
          <w:sz w:val="24"/>
          <w:szCs w:val="24"/>
          <w:lang w:val="lt-LT"/>
        </w:rPr>
        <w:t>atsižvelg</w:t>
      </w:r>
      <w:r w:rsidR="00BA6970">
        <w:rPr>
          <w:rFonts w:ascii="Times New Roman" w:hAnsi="Times New Roman" w:cs="Times New Roman"/>
          <w:color w:val="000000"/>
          <w:sz w:val="24"/>
          <w:szCs w:val="24"/>
          <w:lang w:val="lt-LT"/>
        </w:rPr>
        <w:t>iant</w:t>
      </w:r>
      <w:r w:rsidR="00BD32EF" w:rsidRPr="00351BF8">
        <w:rPr>
          <w:rFonts w:ascii="Times New Roman" w:hAnsi="Times New Roman" w:cs="Times New Roman"/>
          <w:color w:val="000000"/>
          <w:sz w:val="24"/>
          <w:szCs w:val="24"/>
          <w:lang w:val="lt-LT"/>
        </w:rPr>
        <w:t xml:space="preserve"> ne tik į </w:t>
      </w:r>
      <w:r w:rsidR="00A2242E">
        <w:rPr>
          <w:rFonts w:ascii="Times New Roman" w:hAnsi="Times New Roman" w:cs="Times New Roman"/>
          <w:color w:val="000000"/>
          <w:sz w:val="24"/>
          <w:szCs w:val="24"/>
          <w:lang w:val="lt-LT"/>
        </w:rPr>
        <w:t xml:space="preserve">profesinės organizacijos narius </w:t>
      </w:r>
      <w:r w:rsidR="00BD32EF" w:rsidRPr="00351BF8">
        <w:rPr>
          <w:rFonts w:ascii="Times New Roman" w:hAnsi="Times New Roman" w:cs="Times New Roman"/>
          <w:color w:val="000000"/>
          <w:sz w:val="24"/>
          <w:szCs w:val="24"/>
          <w:lang w:val="lt-LT"/>
        </w:rPr>
        <w:t xml:space="preserve">paskyrusių </w:t>
      </w:r>
      <w:r w:rsidR="0072196F">
        <w:rPr>
          <w:rFonts w:ascii="Times New Roman" w:hAnsi="Times New Roman" w:cs="Times New Roman"/>
          <w:color w:val="000000"/>
          <w:sz w:val="24"/>
          <w:szCs w:val="24"/>
          <w:lang w:val="lt-LT"/>
        </w:rPr>
        <w:t xml:space="preserve">subjektų </w:t>
      </w:r>
      <w:r w:rsidR="00BD32EF" w:rsidRPr="00351BF8">
        <w:rPr>
          <w:rFonts w:ascii="Times New Roman" w:hAnsi="Times New Roman" w:cs="Times New Roman"/>
          <w:color w:val="000000"/>
          <w:sz w:val="24"/>
          <w:szCs w:val="24"/>
          <w:lang w:val="lt-LT"/>
        </w:rPr>
        <w:t xml:space="preserve">interesus, bet ir į bendrąjį interesą, </w:t>
      </w:r>
      <w:r w:rsidR="00E15FA2">
        <w:rPr>
          <w:rFonts w:ascii="Times New Roman" w:hAnsi="Times New Roman" w:cs="Times New Roman"/>
          <w:color w:val="000000"/>
          <w:sz w:val="24"/>
          <w:szCs w:val="24"/>
          <w:lang w:val="lt-LT"/>
        </w:rPr>
        <w:t>taip pat</w:t>
      </w:r>
      <w:r w:rsidR="00BD32EF" w:rsidRPr="00351BF8">
        <w:rPr>
          <w:rFonts w:ascii="Times New Roman" w:hAnsi="Times New Roman" w:cs="Times New Roman"/>
          <w:color w:val="000000"/>
          <w:sz w:val="24"/>
          <w:szCs w:val="24"/>
          <w:lang w:val="lt-LT"/>
        </w:rPr>
        <w:t xml:space="preserve"> kitų sektorių </w:t>
      </w:r>
      <w:r w:rsidR="00A82934">
        <w:rPr>
          <w:rFonts w:ascii="Times New Roman" w:hAnsi="Times New Roman" w:cs="Times New Roman"/>
          <w:color w:val="000000"/>
          <w:sz w:val="24"/>
          <w:szCs w:val="24"/>
          <w:lang w:val="lt-LT"/>
        </w:rPr>
        <w:t>subjektų</w:t>
      </w:r>
      <w:r w:rsidR="00BD32EF" w:rsidRPr="00351BF8">
        <w:rPr>
          <w:rFonts w:ascii="Times New Roman" w:hAnsi="Times New Roman" w:cs="Times New Roman"/>
          <w:color w:val="000000"/>
          <w:sz w:val="24"/>
          <w:szCs w:val="24"/>
          <w:lang w:val="lt-LT"/>
        </w:rPr>
        <w:t xml:space="preserve"> ar atitinkamų paslaugų naudotojų interesus</w:t>
      </w:r>
      <w:r w:rsidR="00E15FA2">
        <w:rPr>
          <w:rFonts w:ascii="Times New Roman" w:hAnsi="Times New Roman" w:cs="Times New Roman"/>
          <w:color w:val="000000"/>
          <w:sz w:val="24"/>
          <w:szCs w:val="24"/>
          <w:lang w:val="lt-LT"/>
        </w:rPr>
        <w:t xml:space="preserve">. </w:t>
      </w:r>
      <w:r w:rsidR="00950239">
        <w:rPr>
          <w:rFonts w:ascii="Times New Roman" w:hAnsi="Times New Roman" w:cs="Times New Roman"/>
          <w:color w:val="000000"/>
          <w:sz w:val="24"/>
          <w:szCs w:val="24"/>
          <w:lang w:val="lt-LT"/>
        </w:rPr>
        <w:t>Tai</w:t>
      </w:r>
      <w:r w:rsidR="006B298B">
        <w:rPr>
          <w:rFonts w:ascii="Times New Roman" w:hAnsi="Times New Roman" w:cs="Times New Roman"/>
          <w:color w:val="000000"/>
          <w:sz w:val="24"/>
          <w:szCs w:val="24"/>
          <w:lang w:val="lt-LT"/>
        </w:rPr>
        <w:t xml:space="preserve"> suponuoja išvadą, kad </w:t>
      </w:r>
      <w:r w:rsidR="00905028">
        <w:rPr>
          <w:rFonts w:ascii="Times New Roman" w:hAnsi="Times New Roman" w:cs="Times New Roman"/>
          <w:color w:val="000000"/>
          <w:sz w:val="24"/>
          <w:szCs w:val="24"/>
          <w:lang w:val="lt-LT"/>
        </w:rPr>
        <w:t xml:space="preserve">siekiant </w:t>
      </w:r>
      <w:r w:rsidR="00114A0E">
        <w:rPr>
          <w:rFonts w:ascii="Times New Roman" w:hAnsi="Times New Roman" w:cs="Times New Roman"/>
          <w:color w:val="000000"/>
          <w:sz w:val="24"/>
          <w:szCs w:val="24"/>
          <w:lang w:val="lt-LT"/>
        </w:rPr>
        <w:t xml:space="preserve">nagrinėjamu aspektu </w:t>
      </w:r>
      <w:r w:rsidR="00264D0D">
        <w:rPr>
          <w:rFonts w:ascii="Times New Roman" w:hAnsi="Times New Roman" w:cs="Times New Roman"/>
          <w:color w:val="000000"/>
          <w:sz w:val="24"/>
          <w:szCs w:val="24"/>
          <w:lang w:val="lt-LT"/>
        </w:rPr>
        <w:t>įvertinti</w:t>
      </w:r>
      <w:r w:rsidR="00905028">
        <w:rPr>
          <w:rFonts w:ascii="Times New Roman" w:hAnsi="Times New Roman" w:cs="Times New Roman"/>
          <w:color w:val="000000"/>
          <w:sz w:val="24"/>
          <w:szCs w:val="24"/>
          <w:lang w:val="lt-LT"/>
        </w:rPr>
        <w:t xml:space="preserve"> </w:t>
      </w:r>
      <w:r w:rsidR="00910165">
        <w:rPr>
          <w:rFonts w:ascii="Times New Roman" w:hAnsi="Times New Roman" w:cs="Times New Roman"/>
          <w:color w:val="000000"/>
          <w:sz w:val="24"/>
          <w:szCs w:val="24"/>
          <w:lang w:val="lt-LT"/>
        </w:rPr>
        <w:t>Prezidiumo</w:t>
      </w:r>
      <w:r w:rsidR="00905028" w:rsidRPr="00905028">
        <w:rPr>
          <w:rFonts w:ascii="Times New Roman" w:hAnsi="Times New Roman" w:cs="Times New Roman"/>
          <w:color w:val="000000"/>
          <w:sz w:val="24"/>
          <w:szCs w:val="24"/>
          <w:lang w:val="lt-LT"/>
        </w:rPr>
        <w:t xml:space="preserve"> veik</w:t>
      </w:r>
      <w:r w:rsidR="00910165">
        <w:rPr>
          <w:rFonts w:ascii="Times New Roman" w:hAnsi="Times New Roman" w:cs="Times New Roman"/>
          <w:color w:val="000000"/>
          <w:sz w:val="24"/>
          <w:szCs w:val="24"/>
          <w:lang w:val="lt-LT"/>
        </w:rPr>
        <w:t xml:space="preserve">lą </w:t>
      </w:r>
      <w:r w:rsidR="00905028" w:rsidRPr="00905028">
        <w:rPr>
          <w:rFonts w:ascii="Times New Roman" w:hAnsi="Times New Roman" w:cs="Times New Roman"/>
          <w:color w:val="000000"/>
          <w:sz w:val="24"/>
          <w:szCs w:val="24"/>
          <w:lang w:val="lt-LT"/>
        </w:rPr>
        <w:t>bendrojo viešojo intereso</w:t>
      </w:r>
      <w:r w:rsidR="00DB5F67">
        <w:rPr>
          <w:rFonts w:ascii="Times New Roman" w:hAnsi="Times New Roman" w:cs="Times New Roman"/>
          <w:color w:val="000000"/>
          <w:sz w:val="24"/>
          <w:szCs w:val="24"/>
          <w:lang w:val="lt-LT"/>
        </w:rPr>
        <w:t xml:space="preserve"> paisymo aspektu</w:t>
      </w:r>
      <w:r w:rsidR="006D6463">
        <w:rPr>
          <w:rFonts w:ascii="Times New Roman" w:hAnsi="Times New Roman" w:cs="Times New Roman"/>
          <w:color w:val="000000"/>
          <w:sz w:val="24"/>
          <w:szCs w:val="24"/>
          <w:lang w:val="lt-LT"/>
        </w:rPr>
        <w:t>, reikia</w:t>
      </w:r>
      <w:r w:rsidR="001D0720">
        <w:rPr>
          <w:rFonts w:ascii="Times New Roman" w:hAnsi="Times New Roman" w:cs="Times New Roman"/>
          <w:color w:val="000000"/>
          <w:sz w:val="24"/>
          <w:szCs w:val="24"/>
          <w:lang w:val="lt-LT"/>
        </w:rPr>
        <w:t xml:space="preserve"> identifikuoti Teisingumo Teismo praktikoje </w:t>
      </w:r>
      <w:r w:rsidR="00BF77CC">
        <w:rPr>
          <w:rFonts w:ascii="Times New Roman" w:hAnsi="Times New Roman" w:cs="Times New Roman"/>
          <w:color w:val="000000"/>
          <w:sz w:val="24"/>
          <w:szCs w:val="24"/>
          <w:lang w:val="lt-LT"/>
        </w:rPr>
        <w:t xml:space="preserve">nurodytus reikalavimus atitinkantį teisinį reguliavimą. </w:t>
      </w:r>
      <w:r w:rsidR="001D0720">
        <w:rPr>
          <w:rFonts w:ascii="Times New Roman" w:hAnsi="Times New Roman" w:cs="Times New Roman"/>
          <w:color w:val="000000"/>
          <w:sz w:val="24"/>
          <w:szCs w:val="24"/>
          <w:lang w:val="lt-LT"/>
        </w:rPr>
        <w:t xml:space="preserve"> </w:t>
      </w:r>
      <w:r w:rsidR="00B713E0">
        <w:rPr>
          <w:rFonts w:ascii="Times New Roman" w:hAnsi="Times New Roman" w:cs="Times New Roman"/>
          <w:color w:val="000000"/>
          <w:sz w:val="24"/>
          <w:szCs w:val="24"/>
          <w:lang w:val="lt-LT"/>
        </w:rPr>
        <w:t xml:space="preserve"> </w:t>
      </w:r>
    </w:p>
    <w:p w14:paraId="7D0BEB3C" w14:textId="0EE01705" w:rsidR="008225E9" w:rsidRDefault="003255FA" w:rsidP="000E49F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36065C">
        <w:rPr>
          <w:rFonts w:ascii="Times New Roman" w:eastAsia="Times New Roman" w:hAnsi="Times New Roman" w:cs="Times New Roman"/>
          <w:sz w:val="24"/>
          <w:szCs w:val="24"/>
          <w:lang w:val="lt-LT"/>
        </w:rPr>
        <w:t xml:space="preserve"> </w:t>
      </w:r>
      <w:r w:rsidR="00887243">
        <w:rPr>
          <w:rFonts w:ascii="Times New Roman" w:eastAsia="Times New Roman" w:hAnsi="Times New Roman" w:cs="Times New Roman"/>
          <w:sz w:val="24"/>
          <w:szCs w:val="24"/>
          <w:lang w:val="lt-LT"/>
        </w:rPr>
        <w:t xml:space="preserve">Pagal </w:t>
      </w:r>
      <w:r w:rsidR="008225E9" w:rsidRPr="002D2B87">
        <w:rPr>
          <w:rFonts w:ascii="Times New Roman" w:eastAsia="Times New Roman" w:hAnsi="Times New Roman" w:cs="Times New Roman"/>
          <w:sz w:val="24"/>
          <w:szCs w:val="24"/>
          <w:lang w:val="lt-LT"/>
        </w:rPr>
        <w:t>Statuto 1</w:t>
      </w:r>
      <w:r w:rsidR="00887243">
        <w:rPr>
          <w:rFonts w:ascii="Times New Roman" w:eastAsia="Times New Roman" w:hAnsi="Times New Roman" w:cs="Times New Roman"/>
          <w:sz w:val="24"/>
          <w:szCs w:val="24"/>
          <w:lang w:val="lt-LT"/>
        </w:rPr>
        <w:t xml:space="preserve">–3 </w:t>
      </w:r>
      <w:r w:rsidR="008225E9" w:rsidRPr="002D2B87">
        <w:rPr>
          <w:rFonts w:ascii="Times New Roman" w:eastAsia="Times New Roman" w:hAnsi="Times New Roman" w:cs="Times New Roman"/>
          <w:sz w:val="24"/>
          <w:szCs w:val="24"/>
          <w:lang w:val="lt-LT"/>
        </w:rPr>
        <w:t>straipsni</w:t>
      </w:r>
      <w:r w:rsidR="00887243">
        <w:rPr>
          <w:rFonts w:ascii="Times New Roman" w:eastAsia="Times New Roman" w:hAnsi="Times New Roman" w:cs="Times New Roman"/>
          <w:sz w:val="24"/>
          <w:szCs w:val="24"/>
          <w:lang w:val="lt-LT"/>
        </w:rPr>
        <w:t>us</w:t>
      </w:r>
      <w:r w:rsidR="008225E9" w:rsidRPr="009E76C9">
        <w:rPr>
          <w:rFonts w:ascii="Times New Roman" w:eastAsia="Times New Roman" w:hAnsi="Times New Roman" w:cs="Times New Roman"/>
          <w:sz w:val="24"/>
          <w:szCs w:val="24"/>
          <w:lang w:val="lt-LT"/>
        </w:rPr>
        <w:t xml:space="preserve">, </w:t>
      </w:r>
      <w:bookmarkStart w:id="96" w:name="part_571ab2ea4c174a81b46d8a4dabeb6192"/>
      <w:bookmarkEnd w:id="96"/>
      <w:r w:rsidR="008225E9" w:rsidRPr="009E76C9">
        <w:rPr>
          <w:rFonts w:ascii="Times New Roman" w:eastAsia="Times New Roman" w:hAnsi="Times New Roman" w:cs="Times New Roman"/>
          <w:sz w:val="24"/>
          <w:szCs w:val="24"/>
          <w:lang w:val="lt-LT"/>
        </w:rPr>
        <w:t xml:space="preserve">Notarų rūmai </w:t>
      </w:r>
      <w:r w:rsidR="00274B82" w:rsidRPr="009E76C9">
        <w:rPr>
          <w:rFonts w:ascii="Times New Roman" w:eastAsia="Times New Roman" w:hAnsi="Times New Roman" w:cs="Times New Roman"/>
          <w:sz w:val="24"/>
          <w:szCs w:val="24"/>
          <w:lang w:val="lt-LT"/>
        </w:rPr>
        <w:t xml:space="preserve">yra </w:t>
      </w:r>
      <w:r w:rsidR="00182DBE" w:rsidRPr="009E76C9">
        <w:rPr>
          <w:rFonts w:ascii="Times New Roman" w:eastAsia="Times New Roman" w:hAnsi="Times New Roman" w:cs="Times New Roman"/>
          <w:sz w:val="24"/>
          <w:szCs w:val="24"/>
          <w:lang w:val="lt-LT"/>
        </w:rPr>
        <w:t xml:space="preserve">visus Lietuvos notarus </w:t>
      </w:r>
      <w:r w:rsidR="00274B82" w:rsidRPr="009E76C9">
        <w:rPr>
          <w:rFonts w:ascii="Times New Roman" w:eastAsia="Times New Roman" w:hAnsi="Times New Roman" w:cs="Times New Roman"/>
          <w:sz w:val="24"/>
          <w:szCs w:val="24"/>
          <w:lang w:val="lt-LT"/>
        </w:rPr>
        <w:t>vienijanti notarų savivaldos institucija</w:t>
      </w:r>
      <w:r w:rsidR="00AB1222" w:rsidRPr="009E76C9">
        <w:rPr>
          <w:rFonts w:ascii="Times New Roman" w:eastAsia="Times New Roman" w:hAnsi="Times New Roman" w:cs="Times New Roman"/>
          <w:sz w:val="24"/>
          <w:szCs w:val="24"/>
          <w:lang w:val="lt-LT"/>
        </w:rPr>
        <w:t>,</w:t>
      </w:r>
      <w:r w:rsidR="00274B82" w:rsidRPr="009E76C9">
        <w:rPr>
          <w:rFonts w:ascii="Times New Roman" w:eastAsia="Times New Roman" w:hAnsi="Times New Roman" w:cs="Times New Roman"/>
          <w:sz w:val="24"/>
          <w:szCs w:val="24"/>
          <w:lang w:val="lt-LT"/>
        </w:rPr>
        <w:t xml:space="preserve"> turinti </w:t>
      </w:r>
      <w:r w:rsidR="00182DBE" w:rsidRPr="009E76C9">
        <w:rPr>
          <w:rFonts w:ascii="Times New Roman" w:eastAsia="Times New Roman" w:hAnsi="Times New Roman" w:cs="Times New Roman"/>
          <w:sz w:val="24"/>
          <w:szCs w:val="24"/>
          <w:lang w:val="lt-LT"/>
        </w:rPr>
        <w:t>asociacij</w:t>
      </w:r>
      <w:r w:rsidR="00274B82" w:rsidRPr="009E76C9">
        <w:rPr>
          <w:rFonts w:ascii="Times New Roman" w:eastAsia="Times New Roman" w:hAnsi="Times New Roman" w:cs="Times New Roman"/>
          <w:sz w:val="24"/>
          <w:szCs w:val="24"/>
          <w:lang w:val="lt-LT"/>
        </w:rPr>
        <w:t>o</w:t>
      </w:r>
      <w:r w:rsidR="00274B82">
        <w:rPr>
          <w:rFonts w:ascii="Times New Roman" w:eastAsia="Times New Roman" w:hAnsi="Times New Roman" w:cs="Times New Roman"/>
          <w:sz w:val="24"/>
          <w:szCs w:val="24"/>
          <w:lang w:val="lt-LT"/>
        </w:rPr>
        <w:t>s teisinę formą</w:t>
      </w:r>
      <w:r w:rsidR="008225E9" w:rsidRPr="00E4292E">
        <w:rPr>
          <w:rFonts w:ascii="Times New Roman" w:eastAsia="Times New Roman" w:hAnsi="Times New Roman" w:cs="Times New Roman"/>
          <w:sz w:val="24"/>
          <w:szCs w:val="24"/>
          <w:lang w:val="lt-LT"/>
        </w:rPr>
        <w:t xml:space="preserve">. </w:t>
      </w:r>
      <w:bookmarkStart w:id="97" w:name="part_aa9902de28234cc2bef066837bc3c758"/>
      <w:bookmarkEnd w:id="97"/>
      <w:r w:rsidR="008225E9" w:rsidRPr="00EE7E5F">
        <w:rPr>
          <w:rFonts w:ascii="Times New Roman" w:eastAsia="Times New Roman" w:hAnsi="Times New Roman" w:cs="Times New Roman"/>
          <w:sz w:val="24"/>
          <w:szCs w:val="24"/>
          <w:lang w:val="lt-LT"/>
        </w:rPr>
        <w:t>Notarų rūmai savo veikloje</w:t>
      </w:r>
      <w:r w:rsidR="00B976AC">
        <w:rPr>
          <w:rFonts w:ascii="Times New Roman" w:eastAsia="Times New Roman" w:hAnsi="Times New Roman" w:cs="Times New Roman"/>
          <w:sz w:val="24"/>
          <w:szCs w:val="24"/>
          <w:lang w:val="lt-LT"/>
        </w:rPr>
        <w:t xml:space="preserve">, kuri </w:t>
      </w:r>
      <w:r w:rsidR="00B976AC" w:rsidRPr="00E4292E">
        <w:rPr>
          <w:rFonts w:ascii="Times New Roman" w:eastAsia="Times New Roman" w:hAnsi="Times New Roman" w:cs="Times New Roman"/>
          <w:sz w:val="24"/>
          <w:szCs w:val="24"/>
          <w:lang w:val="lt-LT"/>
        </w:rPr>
        <w:t>grindžiama savivaldos, viešumo ir teisėtumo principais</w:t>
      </w:r>
      <w:r w:rsidR="00B976AC">
        <w:rPr>
          <w:rFonts w:ascii="Times New Roman" w:eastAsia="Times New Roman" w:hAnsi="Times New Roman" w:cs="Times New Roman"/>
          <w:sz w:val="24"/>
          <w:szCs w:val="24"/>
          <w:lang w:val="lt-LT"/>
        </w:rPr>
        <w:t>,</w:t>
      </w:r>
      <w:r w:rsidR="008225E9" w:rsidRPr="00EE7E5F">
        <w:rPr>
          <w:rFonts w:ascii="Times New Roman" w:eastAsia="Times New Roman" w:hAnsi="Times New Roman" w:cs="Times New Roman"/>
          <w:sz w:val="24"/>
          <w:szCs w:val="24"/>
          <w:lang w:val="lt-LT"/>
        </w:rPr>
        <w:t xml:space="preserve"> vadovaujasi Lietuvos Respublikos Konstitucija, Lietuvos Respublikos civiliniu kodeksu, Lietuvos Respublikos notariato įstatymu, Lietuvos Respublikos asociacijų įstatymu, kiek jis neprieštarauja Lietuvos Respublikos notariato įstatymui, kitais Lietuvos Respublikos įstatymais, Lietuvos Respublikos Vyriausybės nutarimais bei kitais norminiais teisės aktais ir Lietuvos notarų rūmų statutu</w:t>
      </w:r>
      <w:r w:rsidR="00B976AC">
        <w:rPr>
          <w:rFonts w:ascii="Times New Roman" w:eastAsia="Times New Roman" w:hAnsi="Times New Roman" w:cs="Times New Roman"/>
          <w:sz w:val="24"/>
          <w:szCs w:val="24"/>
          <w:lang w:val="lt-LT"/>
        </w:rPr>
        <w:t>.</w:t>
      </w:r>
    </w:p>
    <w:p w14:paraId="5FE345C1" w14:textId="5F1654AE" w:rsidR="00293863" w:rsidRDefault="005C7397" w:rsidP="00293863">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3255FA" w:rsidRPr="0036065C">
        <w:rPr>
          <w:rFonts w:ascii="Times New Roman" w:eastAsia="Times New Roman" w:hAnsi="Times New Roman" w:cs="Times New Roman"/>
          <w:sz w:val="24"/>
          <w:szCs w:val="24"/>
          <w:lang w:val="lt-LT"/>
        </w:rPr>
        <w:t xml:space="preserve">Pagal Notariato įstatymo </w:t>
      </w:r>
      <w:r w:rsidR="000D2B1C" w:rsidRPr="0036065C">
        <w:rPr>
          <w:rFonts w:ascii="Times New Roman" w:eastAsia="Times New Roman" w:hAnsi="Times New Roman" w:cs="Times New Roman"/>
          <w:sz w:val="24"/>
          <w:szCs w:val="24"/>
          <w:lang w:val="lt-LT"/>
        </w:rPr>
        <w:t>9</w:t>
      </w:r>
      <w:r w:rsidR="000A2534">
        <w:rPr>
          <w:rFonts w:ascii="Times New Roman" w:eastAsia="Times New Roman" w:hAnsi="Times New Roman" w:cs="Times New Roman"/>
          <w:sz w:val="24"/>
          <w:szCs w:val="24"/>
          <w:lang w:val="lt-LT"/>
        </w:rPr>
        <w:t>, 10</w:t>
      </w:r>
      <w:r w:rsidR="000D2B1C" w:rsidRPr="0036065C">
        <w:rPr>
          <w:rFonts w:ascii="Times New Roman" w:eastAsia="Times New Roman" w:hAnsi="Times New Roman" w:cs="Times New Roman"/>
          <w:sz w:val="24"/>
          <w:szCs w:val="24"/>
          <w:lang w:val="lt-LT"/>
        </w:rPr>
        <w:t xml:space="preserve"> straipsn</w:t>
      </w:r>
      <w:r w:rsidR="000A2534">
        <w:rPr>
          <w:rFonts w:ascii="Times New Roman" w:eastAsia="Times New Roman" w:hAnsi="Times New Roman" w:cs="Times New Roman"/>
          <w:sz w:val="24"/>
          <w:szCs w:val="24"/>
          <w:lang w:val="lt-LT"/>
        </w:rPr>
        <w:t>ius</w:t>
      </w:r>
      <w:r w:rsidR="000D2B1C" w:rsidRPr="0036065C">
        <w:rPr>
          <w:rFonts w:ascii="Times New Roman" w:eastAsia="Times New Roman" w:hAnsi="Times New Roman" w:cs="Times New Roman"/>
          <w:sz w:val="24"/>
          <w:szCs w:val="24"/>
          <w:lang w:val="lt-LT"/>
        </w:rPr>
        <w:t xml:space="preserve"> </w:t>
      </w:r>
      <w:r w:rsidR="00032ADF">
        <w:rPr>
          <w:rFonts w:ascii="Times New Roman" w:eastAsia="Times New Roman" w:hAnsi="Times New Roman" w:cs="Times New Roman"/>
          <w:sz w:val="24"/>
          <w:szCs w:val="24"/>
          <w:lang w:val="lt-LT"/>
        </w:rPr>
        <w:t>ir Statuto 7</w:t>
      </w:r>
      <w:r w:rsidR="000A2534">
        <w:rPr>
          <w:rFonts w:ascii="Times New Roman" w:eastAsia="Times New Roman" w:hAnsi="Times New Roman" w:cs="Times New Roman"/>
          <w:sz w:val="24"/>
          <w:szCs w:val="24"/>
          <w:lang w:val="lt-LT"/>
        </w:rPr>
        <w:t>, 8</w:t>
      </w:r>
      <w:r w:rsidR="00032ADF">
        <w:rPr>
          <w:rFonts w:ascii="Times New Roman" w:eastAsia="Times New Roman" w:hAnsi="Times New Roman" w:cs="Times New Roman"/>
          <w:sz w:val="24"/>
          <w:szCs w:val="24"/>
          <w:lang w:val="lt-LT"/>
        </w:rPr>
        <w:t xml:space="preserve"> straipsn</w:t>
      </w:r>
      <w:r w:rsidR="000A2534">
        <w:rPr>
          <w:rFonts w:ascii="Times New Roman" w:eastAsia="Times New Roman" w:hAnsi="Times New Roman" w:cs="Times New Roman"/>
          <w:sz w:val="24"/>
          <w:szCs w:val="24"/>
          <w:lang w:val="lt-LT"/>
        </w:rPr>
        <w:t>ius</w:t>
      </w:r>
      <w:r w:rsidR="00032ADF">
        <w:rPr>
          <w:rFonts w:ascii="Times New Roman" w:eastAsia="Times New Roman" w:hAnsi="Times New Roman" w:cs="Times New Roman"/>
          <w:sz w:val="24"/>
          <w:szCs w:val="24"/>
          <w:lang w:val="lt-LT"/>
        </w:rPr>
        <w:t xml:space="preserve"> </w:t>
      </w:r>
      <w:r w:rsidR="000D2B1C" w:rsidRPr="0036065C">
        <w:rPr>
          <w:rFonts w:ascii="Times New Roman" w:eastAsia="Times New Roman" w:hAnsi="Times New Roman" w:cs="Times New Roman"/>
          <w:sz w:val="24"/>
          <w:szCs w:val="24"/>
          <w:lang w:val="lt-LT"/>
        </w:rPr>
        <w:t>s</w:t>
      </w:r>
      <w:r w:rsidR="003255FA" w:rsidRPr="0036065C">
        <w:rPr>
          <w:rFonts w:ascii="Times New Roman" w:eastAsia="Times New Roman" w:hAnsi="Times New Roman" w:cs="Times New Roman"/>
          <w:sz w:val="24"/>
          <w:szCs w:val="24"/>
          <w:lang w:val="lt-LT"/>
        </w:rPr>
        <w:t xml:space="preserve">varbiausieji </w:t>
      </w:r>
      <w:r w:rsidR="009110F2">
        <w:rPr>
          <w:rFonts w:ascii="Times New Roman" w:eastAsia="Times New Roman" w:hAnsi="Times New Roman" w:cs="Times New Roman"/>
          <w:sz w:val="24"/>
          <w:szCs w:val="24"/>
          <w:lang w:val="lt-LT"/>
        </w:rPr>
        <w:t xml:space="preserve">nagrinėjamame kontekste </w:t>
      </w:r>
      <w:r w:rsidR="003255FA" w:rsidRPr="0036065C">
        <w:rPr>
          <w:rFonts w:ascii="Times New Roman" w:eastAsia="Times New Roman" w:hAnsi="Times New Roman" w:cs="Times New Roman"/>
          <w:sz w:val="24"/>
          <w:szCs w:val="24"/>
          <w:lang w:val="lt-LT"/>
        </w:rPr>
        <w:t xml:space="preserve">Notarų rūmų </w:t>
      </w:r>
      <w:r w:rsidR="003255FA" w:rsidRPr="002A035F">
        <w:rPr>
          <w:rFonts w:ascii="Times New Roman" w:eastAsia="Times New Roman" w:hAnsi="Times New Roman" w:cs="Times New Roman"/>
          <w:sz w:val="24"/>
          <w:szCs w:val="24"/>
          <w:lang w:val="lt-LT"/>
        </w:rPr>
        <w:t xml:space="preserve">uždaviniai </w:t>
      </w:r>
      <w:r w:rsidR="003255FA" w:rsidRPr="0036065C">
        <w:rPr>
          <w:rFonts w:ascii="Times New Roman" w:eastAsia="Times New Roman" w:hAnsi="Times New Roman" w:cs="Times New Roman"/>
          <w:sz w:val="24"/>
          <w:szCs w:val="24"/>
          <w:lang w:val="lt-LT"/>
        </w:rPr>
        <w:t>yra</w:t>
      </w:r>
      <w:r w:rsidR="000D2B1C" w:rsidRPr="0036065C">
        <w:rPr>
          <w:rFonts w:ascii="Times New Roman" w:eastAsia="Times New Roman" w:hAnsi="Times New Roman" w:cs="Times New Roman"/>
          <w:sz w:val="24"/>
          <w:szCs w:val="24"/>
          <w:lang w:val="lt-LT"/>
        </w:rPr>
        <w:t xml:space="preserve"> </w:t>
      </w:r>
      <w:bookmarkStart w:id="98" w:name="part_79189dd8782d40c3ad95643c5387ab67"/>
      <w:bookmarkStart w:id="99" w:name="part_d7dae5af59214288999d75864a7978e5"/>
      <w:bookmarkStart w:id="100" w:name="part_7eb96eebfb4040a6859ea707b1746149"/>
      <w:bookmarkEnd w:id="98"/>
      <w:bookmarkEnd w:id="99"/>
      <w:bookmarkEnd w:id="100"/>
      <w:r w:rsidR="003255FA" w:rsidRPr="003255FA">
        <w:rPr>
          <w:rFonts w:ascii="Times New Roman" w:eastAsia="Times New Roman" w:hAnsi="Times New Roman" w:cs="Times New Roman"/>
          <w:sz w:val="24"/>
          <w:szCs w:val="24"/>
          <w:lang w:val="lt-LT"/>
        </w:rPr>
        <w:t xml:space="preserve">ginti ir </w:t>
      </w:r>
      <w:r w:rsidR="003255FA" w:rsidRPr="002A035F">
        <w:rPr>
          <w:rFonts w:ascii="Times New Roman" w:eastAsia="Times New Roman" w:hAnsi="Times New Roman" w:cs="Times New Roman"/>
          <w:sz w:val="24"/>
          <w:szCs w:val="24"/>
          <w:lang w:val="lt-LT"/>
        </w:rPr>
        <w:t>atstovauti notarų interes</w:t>
      </w:r>
      <w:r w:rsidR="006E050D">
        <w:rPr>
          <w:rFonts w:ascii="Times New Roman" w:eastAsia="Times New Roman" w:hAnsi="Times New Roman" w:cs="Times New Roman"/>
          <w:sz w:val="24"/>
          <w:szCs w:val="24"/>
          <w:lang w:val="lt-LT"/>
        </w:rPr>
        <w:t>ams</w:t>
      </w:r>
      <w:r w:rsidR="003255FA" w:rsidRPr="002A035F">
        <w:rPr>
          <w:rFonts w:ascii="Times New Roman" w:eastAsia="Times New Roman" w:hAnsi="Times New Roman" w:cs="Times New Roman"/>
          <w:sz w:val="24"/>
          <w:szCs w:val="24"/>
          <w:lang w:val="lt-LT"/>
        </w:rPr>
        <w:t xml:space="preserve"> valstybinės valdžios ir valdymo institucijose</w:t>
      </w:r>
      <w:r w:rsidR="00C25489" w:rsidRPr="002A035F">
        <w:rPr>
          <w:rFonts w:ascii="Times New Roman" w:eastAsia="Times New Roman" w:hAnsi="Times New Roman" w:cs="Times New Roman"/>
          <w:sz w:val="24"/>
          <w:szCs w:val="24"/>
          <w:lang w:val="lt-LT"/>
        </w:rPr>
        <w:t xml:space="preserve">, </w:t>
      </w:r>
      <w:bookmarkStart w:id="101" w:name="part_cc33c5888dfe452e8783c5a00da71935"/>
      <w:bookmarkEnd w:id="101"/>
      <w:r w:rsidR="003255FA" w:rsidRPr="002A035F">
        <w:rPr>
          <w:rFonts w:ascii="Times New Roman" w:eastAsia="Times New Roman" w:hAnsi="Times New Roman" w:cs="Times New Roman"/>
          <w:sz w:val="24"/>
          <w:szCs w:val="24"/>
          <w:lang w:val="lt-LT"/>
        </w:rPr>
        <w:t>rengti norminių aktų projektus notariato klausimais ir teikti juos Lietuvos Respublikos teisingumo ministerijai</w:t>
      </w:r>
      <w:r w:rsidR="00CF341E" w:rsidRPr="002A035F">
        <w:rPr>
          <w:rFonts w:ascii="Times New Roman" w:eastAsia="Times New Roman" w:hAnsi="Times New Roman" w:cs="Times New Roman"/>
          <w:sz w:val="24"/>
          <w:szCs w:val="24"/>
          <w:lang w:val="lt-LT"/>
        </w:rPr>
        <w:t xml:space="preserve">, taip pat </w:t>
      </w:r>
      <w:bookmarkStart w:id="102" w:name="part_bcb9319f831445dcbca2913a38f00adc"/>
      <w:bookmarkEnd w:id="102"/>
      <w:r w:rsidR="003255FA" w:rsidRPr="002A035F">
        <w:rPr>
          <w:rFonts w:ascii="Times New Roman" w:eastAsia="Times New Roman" w:hAnsi="Times New Roman" w:cs="Times New Roman"/>
          <w:sz w:val="24"/>
          <w:szCs w:val="24"/>
          <w:lang w:val="lt-LT"/>
        </w:rPr>
        <w:t>vienodinti notarinę praktiką.</w:t>
      </w:r>
      <w:r w:rsidR="0036065C" w:rsidRPr="002A035F">
        <w:rPr>
          <w:rFonts w:ascii="Times New Roman" w:eastAsia="Times New Roman" w:hAnsi="Times New Roman" w:cs="Times New Roman"/>
          <w:sz w:val="24"/>
          <w:szCs w:val="24"/>
          <w:lang w:val="lt-LT"/>
        </w:rPr>
        <w:t xml:space="preserve"> </w:t>
      </w:r>
      <w:r w:rsidR="007A0D6B" w:rsidRPr="002A035F">
        <w:rPr>
          <w:rFonts w:ascii="Times New Roman" w:eastAsia="Times New Roman" w:hAnsi="Times New Roman" w:cs="Times New Roman"/>
          <w:sz w:val="24"/>
          <w:szCs w:val="24"/>
          <w:lang w:val="lt-LT"/>
        </w:rPr>
        <w:t>V</w:t>
      </w:r>
      <w:r w:rsidR="0036065C" w:rsidRPr="002A035F">
        <w:rPr>
          <w:rFonts w:ascii="Times New Roman" w:eastAsia="Times New Roman" w:hAnsi="Times New Roman" w:cs="Times New Roman"/>
          <w:sz w:val="24"/>
          <w:szCs w:val="24"/>
          <w:lang w:val="lt-LT"/>
        </w:rPr>
        <w:t>ykdydami savo uždavinius</w:t>
      </w:r>
      <w:r w:rsidR="007A0D6B" w:rsidRPr="002A035F">
        <w:rPr>
          <w:rFonts w:ascii="Times New Roman" w:eastAsia="Times New Roman" w:hAnsi="Times New Roman" w:cs="Times New Roman"/>
          <w:sz w:val="24"/>
          <w:szCs w:val="24"/>
          <w:lang w:val="lt-LT"/>
        </w:rPr>
        <w:t xml:space="preserve"> Notarų rūmai</w:t>
      </w:r>
      <w:bookmarkStart w:id="103" w:name="part_37825f6d029c4b099474854428e46a2b"/>
      <w:bookmarkEnd w:id="103"/>
      <w:r w:rsidR="0036065C" w:rsidRPr="002A035F">
        <w:rPr>
          <w:rFonts w:ascii="Times New Roman" w:eastAsia="Times New Roman" w:hAnsi="Times New Roman" w:cs="Times New Roman"/>
          <w:sz w:val="24"/>
          <w:szCs w:val="24"/>
          <w:lang w:val="lt-LT"/>
        </w:rPr>
        <w:t xml:space="preserve"> teikia pasiūlymus aukštesnėms instancijoms notarų veiklos klausimais</w:t>
      </w:r>
      <w:bookmarkStart w:id="104" w:name="part_546f2eadfe034d8aa3cf310e256005ef"/>
      <w:bookmarkEnd w:id="104"/>
      <w:r w:rsidR="00195631" w:rsidRPr="002A035F">
        <w:rPr>
          <w:rFonts w:ascii="Times New Roman" w:eastAsia="Times New Roman" w:hAnsi="Times New Roman" w:cs="Times New Roman"/>
          <w:sz w:val="24"/>
          <w:szCs w:val="24"/>
          <w:lang w:val="lt-LT"/>
        </w:rPr>
        <w:t xml:space="preserve">, </w:t>
      </w:r>
      <w:r w:rsidR="00C73669" w:rsidRPr="002A035F">
        <w:rPr>
          <w:rFonts w:ascii="Times New Roman" w:eastAsia="Times New Roman" w:hAnsi="Times New Roman" w:cs="Times New Roman"/>
          <w:sz w:val="24"/>
          <w:szCs w:val="24"/>
          <w:lang w:val="lt-LT"/>
        </w:rPr>
        <w:t>rengia norminių teisės aktų, susijusių su notarų veikla, projektus, teikia pastabas ir pasiūlymus dėl projektų</w:t>
      </w:r>
      <w:r w:rsidR="002A035F">
        <w:rPr>
          <w:rFonts w:ascii="Times New Roman" w:eastAsia="Times New Roman" w:hAnsi="Times New Roman" w:cs="Times New Roman"/>
          <w:sz w:val="24"/>
          <w:szCs w:val="24"/>
          <w:lang w:val="lt-LT"/>
        </w:rPr>
        <w:t>,</w:t>
      </w:r>
      <w:r w:rsidR="00C73669" w:rsidRPr="0036065C">
        <w:rPr>
          <w:rFonts w:ascii="Times New Roman" w:eastAsia="Times New Roman" w:hAnsi="Times New Roman" w:cs="Times New Roman"/>
          <w:sz w:val="24"/>
          <w:szCs w:val="24"/>
          <w:lang w:val="lt-LT"/>
        </w:rPr>
        <w:t xml:space="preserve"> </w:t>
      </w:r>
      <w:r w:rsidR="0036065C" w:rsidRPr="0036065C">
        <w:rPr>
          <w:rFonts w:ascii="Times New Roman" w:eastAsia="Times New Roman" w:hAnsi="Times New Roman" w:cs="Times New Roman"/>
          <w:sz w:val="24"/>
          <w:szCs w:val="24"/>
          <w:lang w:val="lt-LT"/>
        </w:rPr>
        <w:t>imasi priemonių notarinei praktikai suvienodinti</w:t>
      </w:r>
      <w:bookmarkStart w:id="105" w:name="part_3155797487d2448891bacf8762b4d953"/>
      <w:bookmarkEnd w:id="105"/>
      <w:r w:rsidR="00195631">
        <w:rPr>
          <w:rFonts w:ascii="Times New Roman" w:eastAsia="Times New Roman" w:hAnsi="Times New Roman" w:cs="Times New Roman"/>
          <w:sz w:val="24"/>
          <w:szCs w:val="24"/>
          <w:lang w:val="lt-LT"/>
        </w:rPr>
        <w:t>,</w:t>
      </w:r>
      <w:r w:rsidR="006B4D81">
        <w:rPr>
          <w:rFonts w:ascii="Times New Roman" w:eastAsia="Times New Roman" w:hAnsi="Times New Roman" w:cs="Times New Roman"/>
          <w:sz w:val="24"/>
          <w:szCs w:val="24"/>
          <w:lang w:val="lt-LT"/>
        </w:rPr>
        <w:t xml:space="preserve"> </w:t>
      </w:r>
      <w:r w:rsidR="0036065C" w:rsidRPr="0036065C">
        <w:rPr>
          <w:rFonts w:ascii="Times New Roman" w:eastAsia="Times New Roman" w:hAnsi="Times New Roman" w:cs="Times New Roman"/>
          <w:sz w:val="24"/>
          <w:szCs w:val="24"/>
          <w:lang w:val="lt-LT"/>
        </w:rPr>
        <w:t>atlieka kitas kituose įstatymuose ir Notarų rūmų statute numatytas funkcijas</w:t>
      </w:r>
      <w:r w:rsidR="00D352B7" w:rsidRPr="00D352B7">
        <w:rPr>
          <w:rFonts w:ascii="Times New Roman" w:eastAsia="Times New Roman" w:hAnsi="Times New Roman" w:cs="Times New Roman"/>
          <w:sz w:val="24"/>
          <w:szCs w:val="24"/>
          <w:lang w:val="lt-LT"/>
        </w:rPr>
        <w:t>.</w:t>
      </w:r>
      <w:r w:rsidR="0066508B">
        <w:rPr>
          <w:rFonts w:ascii="Times New Roman" w:eastAsia="Times New Roman" w:hAnsi="Times New Roman" w:cs="Times New Roman"/>
          <w:sz w:val="24"/>
          <w:szCs w:val="24"/>
          <w:lang w:val="lt-LT"/>
        </w:rPr>
        <w:t xml:space="preserve"> </w:t>
      </w:r>
      <w:bookmarkStart w:id="106" w:name="part_452e50656c4749ada9d6d1e18934e58c"/>
      <w:bookmarkStart w:id="107" w:name="part_7dd67e928008433da03b19a828d17f4d"/>
      <w:bookmarkEnd w:id="106"/>
      <w:bookmarkEnd w:id="107"/>
    </w:p>
    <w:p w14:paraId="56D5B63E" w14:textId="2FDFD9F5" w:rsidR="00D070A5" w:rsidRDefault="00293863" w:rsidP="00293863">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D070A5" w:rsidRPr="00293863">
        <w:rPr>
          <w:rFonts w:ascii="Times New Roman" w:eastAsia="Times New Roman" w:hAnsi="Times New Roman" w:cs="Times New Roman"/>
          <w:sz w:val="24"/>
          <w:szCs w:val="24"/>
          <w:lang w:val="lt-LT"/>
        </w:rPr>
        <w:t>Statuto 10 straipsnyje įtvirtintos Notarų rūmų narių (taigi, visų notaro priesaiką davusių ir notarais paskirtų asmenų) pareigos</w:t>
      </w:r>
      <w:r>
        <w:rPr>
          <w:rFonts w:ascii="Times New Roman" w:eastAsia="Times New Roman" w:hAnsi="Times New Roman" w:cs="Times New Roman"/>
          <w:sz w:val="24"/>
          <w:szCs w:val="24"/>
          <w:lang w:val="lt-LT"/>
        </w:rPr>
        <w:t xml:space="preserve"> </w:t>
      </w:r>
      <w:proofErr w:type="spellStart"/>
      <w:r w:rsidRPr="00293863">
        <w:rPr>
          <w:rFonts w:ascii="Times New Roman" w:eastAsia="Times New Roman" w:hAnsi="Times New Roman" w:cs="Times New Roman"/>
          <w:i/>
          <w:iCs/>
          <w:sz w:val="24"/>
          <w:szCs w:val="24"/>
          <w:lang w:val="lt-LT"/>
        </w:rPr>
        <w:t>inter</w:t>
      </w:r>
      <w:proofErr w:type="spellEnd"/>
      <w:r w:rsidRPr="00293863">
        <w:rPr>
          <w:rFonts w:ascii="Times New Roman" w:eastAsia="Times New Roman" w:hAnsi="Times New Roman" w:cs="Times New Roman"/>
          <w:i/>
          <w:iCs/>
          <w:sz w:val="24"/>
          <w:szCs w:val="24"/>
          <w:lang w:val="lt-LT"/>
        </w:rPr>
        <w:t xml:space="preserve"> alia</w:t>
      </w:r>
      <w:r w:rsidR="00D070A5" w:rsidRPr="00293863">
        <w:rPr>
          <w:rFonts w:ascii="Times New Roman" w:eastAsia="Times New Roman" w:hAnsi="Times New Roman" w:cs="Times New Roman"/>
          <w:sz w:val="24"/>
          <w:szCs w:val="24"/>
          <w:lang w:val="lt-LT"/>
        </w:rPr>
        <w:t xml:space="preserve"> laikytis Lietuvos Respublikos notariato įstatymo, Lietuvos Respublikos notarų garbės (etikos) kodekso ir šio Statuto reikalavimų</w:t>
      </w:r>
      <w:r>
        <w:rPr>
          <w:rFonts w:ascii="Times New Roman" w:eastAsia="Times New Roman" w:hAnsi="Times New Roman" w:cs="Times New Roman"/>
          <w:sz w:val="24"/>
          <w:szCs w:val="24"/>
          <w:lang w:val="lt-LT"/>
        </w:rPr>
        <w:t xml:space="preserve">, </w:t>
      </w:r>
      <w:bookmarkStart w:id="108" w:name="part_64d9214aab56410cb74ba0d8f0c2fdbc"/>
      <w:bookmarkEnd w:id="108"/>
      <w:r w:rsidR="00D070A5" w:rsidRPr="00293863">
        <w:rPr>
          <w:rFonts w:ascii="Times New Roman" w:eastAsia="Times New Roman" w:hAnsi="Times New Roman" w:cs="Times New Roman"/>
          <w:sz w:val="24"/>
          <w:szCs w:val="24"/>
          <w:lang w:val="lt-LT"/>
        </w:rPr>
        <w:t>vykdyti Notarų rūmų susirinkimo nutarimus, Notarų rūmų prezidiumo nutarimus, Notarų rūmų prezidento sprendimus ir pavedimus dėl savivaldos uždavinių ir funkcijų atlikimo</w:t>
      </w:r>
      <w:bookmarkStart w:id="109" w:name="part_189c2a9608de4790972999fcf88186c9"/>
      <w:bookmarkEnd w:id="109"/>
      <w:r w:rsidR="00D070A5" w:rsidRPr="00293863">
        <w:rPr>
          <w:rFonts w:ascii="Times New Roman" w:eastAsia="Times New Roman" w:hAnsi="Times New Roman" w:cs="Times New Roman"/>
          <w:sz w:val="24"/>
          <w:szCs w:val="24"/>
          <w:lang w:val="lt-LT"/>
        </w:rPr>
        <w:t>.</w:t>
      </w:r>
    </w:p>
    <w:p w14:paraId="2F83F4D0" w14:textId="7D592D1D" w:rsidR="00C6365D" w:rsidRDefault="00B931C7" w:rsidP="00293863">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C6365D" w:rsidRPr="00A413C2">
        <w:rPr>
          <w:rFonts w:ascii="Times New Roman" w:eastAsia="Times New Roman" w:hAnsi="Times New Roman" w:cs="Times New Roman"/>
          <w:sz w:val="24"/>
          <w:szCs w:val="24"/>
          <w:lang w:val="lt-LT"/>
        </w:rPr>
        <w:t xml:space="preserve">Pagal Statuto 18 straipsnio </w:t>
      </w:r>
      <w:r w:rsidR="00117303">
        <w:rPr>
          <w:rFonts w:ascii="Times New Roman" w:eastAsia="Times New Roman" w:hAnsi="Times New Roman" w:cs="Times New Roman"/>
          <w:sz w:val="24"/>
          <w:szCs w:val="24"/>
          <w:lang w:val="lt-LT"/>
        </w:rPr>
        <w:t xml:space="preserve">bei Statuto 19 ir 23 straipsnio nuostatas </w:t>
      </w:r>
      <w:r w:rsidR="00117303" w:rsidRPr="00117303">
        <w:rPr>
          <w:rFonts w:ascii="Times New Roman" w:eastAsia="Times New Roman" w:hAnsi="Times New Roman" w:cs="Times New Roman"/>
          <w:sz w:val="24"/>
          <w:szCs w:val="24"/>
          <w:lang w:val="lt-LT"/>
        </w:rPr>
        <w:t xml:space="preserve">Prezidiumas yra kolegialus Notarų rūmų valdymo organas, kurio nariai yra atskaitingi juos iškėlusiam apygardos notarų </w:t>
      </w:r>
      <w:r w:rsidR="00117303" w:rsidRPr="00117303">
        <w:rPr>
          <w:rFonts w:ascii="Times New Roman" w:eastAsia="Times New Roman" w:hAnsi="Times New Roman" w:cs="Times New Roman"/>
          <w:sz w:val="24"/>
          <w:szCs w:val="24"/>
          <w:lang w:val="lt-LT"/>
        </w:rPr>
        <w:lastRenderedPageBreak/>
        <w:t>susirinkimui. Prezidiumo priimtus nutarimus gali panaikinti Notarų rūmų susirinkimas arba pats Prezidiumas, jei šie nutarimai nepaveikė trečiųjų asmenų teisių ir pareigų, išskyrus atvejus, kai tretieji asmenys su tuo sutinka</w:t>
      </w:r>
      <w:r w:rsidR="006D42FB" w:rsidRPr="005B249E">
        <w:rPr>
          <w:rFonts w:ascii="Times New Roman" w:eastAsia="Times New Roman" w:hAnsi="Times New Roman" w:cs="Times New Roman"/>
          <w:sz w:val="24"/>
          <w:szCs w:val="24"/>
          <w:lang w:val="lt-LT"/>
        </w:rPr>
        <w:t>.</w:t>
      </w:r>
    </w:p>
    <w:p w14:paraId="67FAC0C2" w14:textId="1947DE67" w:rsidR="003E790A" w:rsidRPr="00293863" w:rsidRDefault="003E790A" w:rsidP="00293863">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CE3F1D">
        <w:rPr>
          <w:rFonts w:ascii="Times New Roman" w:eastAsia="Times New Roman" w:hAnsi="Times New Roman" w:cs="Times New Roman"/>
          <w:sz w:val="24"/>
          <w:szCs w:val="24"/>
          <w:lang w:val="lt-LT"/>
        </w:rPr>
        <w:t>Statuto 29, 31</w:t>
      </w:r>
      <w:r w:rsidR="007333BD">
        <w:rPr>
          <w:rFonts w:ascii="Times New Roman" w:eastAsia="Times New Roman" w:hAnsi="Times New Roman" w:cs="Times New Roman"/>
          <w:sz w:val="24"/>
          <w:szCs w:val="24"/>
          <w:lang w:val="lt-LT"/>
        </w:rPr>
        <w:t xml:space="preserve">, 42 straipsniai atskleidžia, kad </w:t>
      </w:r>
      <w:r w:rsidRPr="003E790A">
        <w:rPr>
          <w:rFonts w:ascii="Times New Roman" w:eastAsia="Times New Roman" w:hAnsi="Times New Roman" w:cs="Times New Roman"/>
          <w:sz w:val="24"/>
          <w:szCs w:val="24"/>
          <w:lang w:val="lt-LT"/>
        </w:rPr>
        <w:t xml:space="preserve">Notarų rūmų veikla yra prižiūrima kasmet, kai </w:t>
      </w:r>
      <w:r w:rsidR="00D242E7" w:rsidRPr="00D611EB">
        <w:rPr>
          <w:rFonts w:ascii="Times New Roman" w:eastAsia="Times New Roman" w:hAnsi="Times New Roman" w:cs="Times New Roman"/>
          <w:sz w:val="24"/>
          <w:szCs w:val="24"/>
          <w:lang w:val="lt-LT"/>
        </w:rPr>
        <w:t>Notarų rūmų revizijos komisija</w:t>
      </w:r>
      <w:r w:rsidRPr="003E790A">
        <w:rPr>
          <w:rFonts w:ascii="Times New Roman" w:eastAsia="Times New Roman" w:hAnsi="Times New Roman" w:cs="Times New Roman"/>
          <w:sz w:val="24"/>
          <w:szCs w:val="24"/>
          <w:lang w:val="lt-LT"/>
        </w:rPr>
        <w:t xml:space="preserve"> atlieka finansinės veiklos ir susirinkimų nutarimų vykdymo patikrinimus. Patikrinimo aktas yra teikiamas tvirtinti Notarų rūmų susirinkimui, kuris, prireikus, gali inicijuoti papildomą veiklos ar finansinį auditą. Revizijos komisija sudaroma iš notarų, o jos veiklą reglamentuoja darbo reglamentas, kurį tvirtina Notarų rūmų susirinkimas. Komisijos nariai, pažeid</w:t>
      </w:r>
      <w:r w:rsidR="00122D76">
        <w:rPr>
          <w:rFonts w:ascii="Times New Roman" w:eastAsia="Times New Roman" w:hAnsi="Times New Roman" w:cs="Times New Roman"/>
          <w:sz w:val="24"/>
          <w:szCs w:val="24"/>
          <w:lang w:val="lt-LT"/>
        </w:rPr>
        <w:t>ę</w:t>
      </w:r>
      <w:r w:rsidRPr="003E790A">
        <w:rPr>
          <w:rFonts w:ascii="Times New Roman" w:eastAsia="Times New Roman" w:hAnsi="Times New Roman" w:cs="Times New Roman"/>
          <w:sz w:val="24"/>
          <w:szCs w:val="24"/>
          <w:lang w:val="lt-LT"/>
        </w:rPr>
        <w:t xml:space="preserve"> pareigų vykdymo ar etikos reikalavimus, gali būti nušalinti nuo pareigų </w:t>
      </w:r>
      <w:r w:rsidR="00D611EB" w:rsidRPr="003E790A">
        <w:rPr>
          <w:rFonts w:ascii="Times New Roman" w:eastAsia="Times New Roman" w:hAnsi="Times New Roman" w:cs="Times New Roman"/>
          <w:sz w:val="24"/>
          <w:szCs w:val="24"/>
          <w:lang w:val="lt-LT"/>
        </w:rPr>
        <w:t xml:space="preserve">Notarų rūmų </w:t>
      </w:r>
      <w:r w:rsidRPr="003E790A">
        <w:rPr>
          <w:rFonts w:ascii="Times New Roman" w:eastAsia="Times New Roman" w:hAnsi="Times New Roman" w:cs="Times New Roman"/>
          <w:sz w:val="24"/>
          <w:szCs w:val="24"/>
          <w:lang w:val="lt-LT"/>
        </w:rPr>
        <w:t>susirinkime dalyvaujančių narių balsų dauguma.</w:t>
      </w:r>
    </w:p>
    <w:p w14:paraId="4460AB86" w14:textId="5004A631" w:rsidR="00E81AF4" w:rsidRPr="00065D8D" w:rsidRDefault="001067FF" w:rsidP="00D34AFC">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065D8D">
        <w:rPr>
          <w:rFonts w:ascii="Times New Roman" w:eastAsia="Times New Roman" w:hAnsi="Times New Roman" w:cs="Times New Roman"/>
          <w:sz w:val="24"/>
          <w:szCs w:val="24"/>
          <w:lang w:val="lt-LT"/>
        </w:rPr>
        <w:t xml:space="preserve"> </w:t>
      </w:r>
      <w:r w:rsidR="00E81AF4" w:rsidRPr="00065D8D">
        <w:rPr>
          <w:rFonts w:ascii="Times New Roman" w:eastAsia="Times New Roman" w:hAnsi="Times New Roman" w:cs="Times New Roman"/>
          <w:sz w:val="24"/>
          <w:szCs w:val="24"/>
          <w:lang w:val="lt-LT"/>
        </w:rPr>
        <w:t>Notariato įstatymo</w:t>
      </w:r>
      <w:r w:rsidR="00915E58" w:rsidRPr="00065D8D">
        <w:rPr>
          <w:rFonts w:ascii="Times New Roman" w:eastAsia="Times New Roman" w:hAnsi="Times New Roman" w:cs="Times New Roman"/>
          <w:sz w:val="24"/>
          <w:szCs w:val="24"/>
          <w:lang w:val="lt-LT"/>
        </w:rPr>
        <w:t xml:space="preserve"> 7 ir</w:t>
      </w:r>
      <w:r w:rsidR="00E81AF4" w:rsidRPr="00065D8D">
        <w:rPr>
          <w:rFonts w:ascii="Times New Roman" w:eastAsia="Times New Roman" w:hAnsi="Times New Roman" w:cs="Times New Roman"/>
          <w:sz w:val="24"/>
          <w:szCs w:val="24"/>
          <w:lang w:val="lt-LT"/>
        </w:rPr>
        <w:t xml:space="preserve"> 11 straipsnis </w:t>
      </w:r>
      <w:r w:rsidR="00915E58" w:rsidRPr="00065D8D">
        <w:rPr>
          <w:rFonts w:ascii="Times New Roman" w:eastAsia="Times New Roman" w:hAnsi="Times New Roman" w:cs="Times New Roman"/>
          <w:sz w:val="24"/>
          <w:szCs w:val="24"/>
          <w:lang w:val="lt-LT"/>
        </w:rPr>
        <w:t>bei</w:t>
      </w:r>
      <w:r w:rsidR="00A57018" w:rsidRPr="00065D8D">
        <w:rPr>
          <w:rFonts w:ascii="Times New Roman" w:eastAsia="Times New Roman" w:hAnsi="Times New Roman" w:cs="Times New Roman"/>
          <w:sz w:val="24"/>
          <w:szCs w:val="24"/>
          <w:lang w:val="lt-LT"/>
        </w:rPr>
        <w:t xml:space="preserve"> Statuto 6 straipsnis </w:t>
      </w:r>
      <w:r w:rsidR="00713D41" w:rsidRPr="00065D8D">
        <w:rPr>
          <w:rFonts w:ascii="Times New Roman" w:eastAsia="Times New Roman" w:hAnsi="Times New Roman" w:cs="Times New Roman"/>
          <w:sz w:val="24"/>
          <w:szCs w:val="24"/>
          <w:lang w:val="lt-LT"/>
        </w:rPr>
        <w:t>reglamentuoja Notarų rūmų ir Lietuvos Respublikos teisingumo ministerijos santykius</w:t>
      </w:r>
      <w:r w:rsidR="000E49F1" w:rsidRPr="00065D8D">
        <w:rPr>
          <w:rFonts w:ascii="Times New Roman" w:eastAsia="Times New Roman" w:hAnsi="Times New Roman" w:cs="Times New Roman"/>
          <w:sz w:val="24"/>
          <w:szCs w:val="24"/>
          <w:lang w:val="lt-LT"/>
        </w:rPr>
        <w:t>:</w:t>
      </w:r>
      <w:r w:rsidR="00713D41" w:rsidRPr="00065D8D">
        <w:rPr>
          <w:rFonts w:ascii="Times New Roman" w:eastAsia="Times New Roman" w:hAnsi="Times New Roman" w:cs="Times New Roman"/>
          <w:sz w:val="24"/>
          <w:szCs w:val="24"/>
          <w:lang w:val="lt-LT"/>
        </w:rPr>
        <w:t xml:space="preserve"> </w:t>
      </w:r>
      <w:r w:rsidR="00915E58" w:rsidRPr="00065D8D">
        <w:rPr>
          <w:rFonts w:ascii="Times New Roman" w:eastAsia="Times New Roman" w:hAnsi="Times New Roman" w:cs="Times New Roman"/>
          <w:sz w:val="24"/>
          <w:szCs w:val="24"/>
          <w:lang w:val="lt-LT"/>
        </w:rPr>
        <w:t>pagal Notariato įstatymo 7 straipsnį notarų ir jų savivaldos institucijų veiklos tarnybinę priežiūrą atlieka Lietuvos Respublikos teisingumo ministro paskirti asmenys.</w:t>
      </w:r>
      <w:bookmarkStart w:id="110" w:name="part_b11768901ede45508874d55582fcd2a2"/>
      <w:bookmarkEnd w:id="110"/>
      <w:r w:rsidR="00915E58" w:rsidRPr="00065D8D">
        <w:rPr>
          <w:rFonts w:ascii="Times New Roman" w:eastAsia="Times New Roman" w:hAnsi="Times New Roman" w:cs="Times New Roman"/>
          <w:sz w:val="24"/>
          <w:szCs w:val="24"/>
          <w:lang w:val="lt-LT"/>
        </w:rPr>
        <w:t xml:space="preserve"> </w:t>
      </w:r>
      <w:bookmarkStart w:id="111" w:name="part_4e478310d4f94340a98ba19f83e342ab"/>
      <w:bookmarkEnd w:id="111"/>
      <w:r w:rsidR="00F16F1C" w:rsidRPr="00065D8D">
        <w:rPr>
          <w:rFonts w:ascii="Times New Roman" w:eastAsia="Times New Roman" w:hAnsi="Times New Roman" w:cs="Times New Roman"/>
          <w:sz w:val="24"/>
          <w:szCs w:val="24"/>
          <w:lang w:val="lt-LT"/>
        </w:rPr>
        <w:t>Notarų savivaldos institucijų priežiūra atliekama šio įstatymo 11 straipsnyje nustatyta tvarka.</w:t>
      </w:r>
      <w:r w:rsidR="00F10932" w:rsidRPr="00065D8D">
        <w:rPr>
          <w:rFonts w:ascii="Times New Roman" w:eastAsia="Times New Roman" w:hAnsi="Times New Roman" w:cs="Times New Roman"/>
          <w:sz w:val="24"/>
          <w:szCs w:val="24"/>
          <w:lang w:val="lt-LT"/>
        </w:rPr>
        <w:t xml:space="preserve"> Pagal Notariato įstatymo 11 straipsnį </w:t>
      </w:r>
      <w:r w:rsidR="00E81AF4" w:rsidRPr="00065D8D">
        <w:rPr>
          <w:rFonts w:ascii="Times New Roman" w:eastAsia="Times New Roman" w:hAnsi="Times New Roman" w:cs="Times New Roman"/>
          <w:sz w:val="24"/>
          <w:szCs w:val="24"/>
          <w:lang w:val="lt-LT"/>
        </w:rPr>
        <w:t>Notarų rūmai kasmet iki balandžio 1 dienos pateikia Lietuvos Respublikos teisingumo ministerijai detalią savo veiklos metinę ataskaitą, taip pat notariato veiklos perspektyvas ir kryptis einamiesiems metams. Lietuvos Respublikos teisingumo ministerija turi teisę reikalauti, kad Notarų rūmai pateiktų notariato veiklos perspektyvas ir kryptis trejiems arba daugiau metų.</w:t>
      </w:r>
      <w:bookmarkStart w:id="112" w:name="part_f8222ccebd7e43dda06b50c557696505"/>
      <w:bookmarkEnd w:id="112"/>
      <w:r w:rsidR="000E49F1" w:rsidRPr="00065D8D">
        <w:rPr>
          <w:rFonts w:ascii="Times New Roman" w:eastAsia="Times New Roman" w:hAnsi="Times New Roman" w:cs="Times New Roman"/>
          <w:sz w:val="24"/>
          <w:szCs w:val="24"/>
          <w:lang w:val="lt-LT"/>
        </w:rPr>
        <w:t xml:space="preserve"> </w:t>
      </w:r>
      <w:r w:rsidR="00E81AF4" w:rsidRPr="00065D8D">
        <w:rPr>
          <w:rFonts w:ascii="Times New Roman" w:eastAsia="Times New Roman" w:hAnsi="Times New Roman" w:cs="Times New Roman"/>
          <w:sz w:val="24"/>
          <w:szCs w:val="24"/>
          <w:lang w:val="lt-LT"/>
        </w:rPr>
        <w:t>Šiame įstatyme numatytus norminius teisės aktus Lietuvos Respublikos teisingumo ministras tvirtina, atsižvelgdamas į Notarų rūmų prezidiumo nuomonę.</w:t>
      </w:r>
      <w:bookmarkStart w:id="113" w:name="part_00c6fe3c83ff45dfbb0158962b92a8e5"/>
      <w:bookmarkEnd w:id="113"/>
      <w:r w:rsidR="000E49F1" w:rsidRPr="00065D8D">
        <w:rPr>
          <w:rFonts w:ascii="Times New Roman" w:eastAsia="Times New Roman" w:hAnsi="Times New Roman" w:cs="Times New Roman"/>
          <w:sz w:val="24"/>
          <w:szCs w:val="24"/>
          <w:lang w:val="lt-LT"/>
        </w:rPr>
        <w:t xml:space="preserve"> </w:t>
      </w:r>
      <w:r w:rsidR="00E81AF4" w:rsidRPr="00065D8D">
        <w:rPr>
          <w:rFonts w:ascii="Times New Roman" w:eastAsia="Times New Roman" w:hAnsi="Times New Roman" w:cs="Times New Roman"/>
          <w:sz w:val="24"/>
          <w:szCs w:val="24"/>
          <w:lang w:val="lt-LT"/>
        </w:rPr>
        <w:t xml:space="preserve">Lietuvos Respublikos teisingumo ministras, manydamas, kad Notarų rūmų nutarimai ar sprendimai neatitinka Lietuvos Respublikos įstatymų, gali pateikti skundą Vilniaus apygardos teismui dėl tų nutarimų ar sprendimų panaikinimo. </w:t>
      </w:r>
      <w:r w:rsidR="00746FD5" w:rsidRPr="00065D8D">
        <w:rPr>
          <w:rFonts w:ascii="Times New Roman" w:eastAsia="Times New Roman" w:hAnsi="Times New Roman" w:cs="Times New Roman"/>
          <w:sz w:val="24"/>
          <w:szCs w:val="24"/>
          <w:lang w:val="lt-LT"/>
        </w:rPr>
        <w:t>Papildomai,</w:t>
      </w:r>
      <w:r w:rsidR="00967301" w:rsidRPr="00065D8D">
        <w:rPr>
          <w:rFonts w:ascii="Times New Roman" w:eastAsia="Times New Roman" w:hAnsi="Times New Roman" w:cs="Times New Roman"/>
          <w:sz w:val="24"/>
          <w:szCs w:val="24"/>
          <w:lang w:val="lt-LT"/>
        </w:rPr>
        <w:t xml:space="preserve"> Statuto 5 straipsnio 1 dalis numato, kad Lietuvos Respublikos teisingumo ministras tvirtina Statutą, kurį priima Notarų rūmų narių susirinkimas</w:t>
      </w:r>
      <w:r w:rsidR="003756D8" w:rsidRPr="00065D8D">
        <w:rPr>
          <w:rFonts w:ascii="Times New Roman" w:eastAsia="Times New Roman" w:hAnsi="Times New Roman" w:cs="Times New Roman"/>
          <w:sz w:val="24"/>
          <w:szCs w:val="24"/>
          <w:lang w:val="lt-LT"/>
        </w:rPr>
        <w:t xml:space="preserve"> </w:t>
      </w:r>
    </w:p>
    <w:p w14:paraId="3DEF9EE1" w14:textId="2A8A77E8" w:rsidR="00CC6C9D" w:rsidRPr="00CC6C9D" w:rsidRDefault="003E7EF9" w:rsidP="00B6781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Notariato įstatymo 19 straipsnį </w:t>
      </w:r>
      <w:r w:rsidR="00B44191">
        <w:rPr>
          <w:rFonts w:ascii="Times New Roman" w:eastAsia="Times New Roman" w:hAnsi="Times New Roman" w:cs="Times New Roman"/>
          <w:sz w:val="24"/>
          <w:szCs w:val="24"/>
          <w:lang w:val="lt-LT"/>
        </w:rPr>
        <w:t xml:space="preserve">notarų </w:t>
      </w:r>
      <w:r w:rsidRPr="003E7EF9">
        <w:rPr>
          <w:rFonts w:ascii="Times New Roman" w:eastAsia="Times New Roman" w:hAnsi="Times New Roman" w:cs="Times New Roman"/>
          <w:sz w:val="24"/>
          <w:szCs w:val="24"/>
          <w:lang w:val="lt-LT"/>
        </w:rPr>
        <w:t>atlyginim</w:t>
      </w:r>
      <w:r w:rsidR="00B44191">
        <w:rPr>
          <w:rFonts w:ascii="Times New Roman" w:eastAsia="Times New Roman" w:hAnsi="Times New Roman" w:cs="Times New Roman"/>
          <w:sz w:val="24"/>
          <w:szCs w:val="24"/>
          <w:lang w:val="lt-LT"/>
        </w:rPr>
        <w:t xml:space="preserve">o </w:t>
      </w:r>
      <w:r w:rsidRPr="003E7EF9">
        <w:rPr>
          <w:rFonts w:ascii="Times New Roman" w:eastAsia="Times New Roman" w:hAnsi="Times New Roman" w:cs="Times New Roman"/>
          <w:sz w:val="24"/>
          <w:szCs w:val="24"/>
          <w:lang w:val="lt-LT"/>
        </w:rPr>
        <w:t>dydį (įkainius) nustato Lietuvos Respublikos teisingumo ministras, atsižvelgdamas į šio įstatymo 19</w:t>
      </w:r>
      <w:r w:rsidRPr="003E7EF9">
        <w:rPr>
          <w:rFonts w:ascii="Times New Roman" w:eastAsia="Times New Roman" w:hAnsi="Times New Roman" w:cs="Times New Roman"/>
          <w:sz w:val="24"/>
          <w:szCs w:val="24"/>
          <w:vertAlign w:val="superscript"/>
          <w:lang w:val="lt-LT"/>
        </w:rPr>
        <w:t>1</w:t>
      </w:r>
      <w:r w:rsidRPr="003E7EF9">
        <w:rPr>
          <w:rFonts w:ascii="Times New Roman" w:eastAsia="Times New Roman" w:hAnsi="Times New Roman" w:cs="Times New Roman"/>
          <w:sz w:val="24"/>
          <w:szCs w:val="24"/>
          <w:lang w:val="lt-LT"/>
        </w:rPr>
        <w:t> straipsnyje nurodytus notarų atlyginimo dydžių (įkainių) nustatymo kriterijus ir suderinęs su Lietuvos Respublikos finansų ministru ir Notarų rūmais.</w:t>
      </w:r>
      <w:r w:rsidR="00595C9B">
        <w:rPr>
          <w:rFonts w:ascii="Times New Roman" w:eastAsia="Times New Roman" w:hAnsi="Times New Roman" w:cs="Times New Roman"/>
          <w:sz w:val="24"/>
          <w:szCs w:val="24"/>
          <w:lang w:val="lt-LT"/>
        </w:rPr>
        <w:t xml:space="preserve"> </w:t>
      </w:r>
      <w:r w:rsidR="00CC6C9D">
        <w:rPr>
          <w:rFonts w:ascii="Times New Roman" w:eastAsia="Times New Roman" w:hAnsi="Times New Roman" w:cs="Times New Roman"/>
          <w:sz w:val="24"/>
          <w:szCs w:val="24"/>
          <w:lang w:val="lt-LT"/>
        </w:rPr>
        <w:t>Šio įstatymo 19</w:t>
      </w:r>
      <w:r w:rsidR="00CC6C9D" w:rsidRPr="00CC6C9D">
        <w:rPr>
          <w:rFonts w:ascii="Times New Roman" w:eastAsia="Times New Roman" w:hAnsi="Times New Roman" w:cs="Times New Roman"/>
          <w:sz w:val="24"/>
          <w:szCs w:val="24"/>
          <w:vertAlign w:val="superscript"/>
          <w:lang w:val="lt-LT"/>
        </w:rPr>
        <w:t>1</w:t>
      </w:r>
      <w:r w:rsidR="00CC6C9D">
        <w:rPr>
          <w:rFonts w:ascii="Times New Roman" w:eastAsia="Times New Roman" w:hAnsi="Times New Roman" w:cs="Times New Roman"/>
          <w:sz w:val="24"/>
          <w:szCs w:val="24"/>
          <w:lang w:val="lt-LT"/>
        </w:rPr>
        <w:t xml:space="preserve"> straipsnis įtvirtina, kad </w:t>
      </w:r>
      <w:r w:rsidR="00CC6C9D" w:rsidRPr="00CC6C9D">
        <w:rPr>
          <w:rFonts w:ascii="Times New Roman" w:eastAsia="Times New Roman" w:hAnsi="Times New Roman" w:cs="Times New Roman"/>
          <w:sz w:val="24"/>
          <w:szCs w:val="24"/>
          <w:lang w:val="lt-LT"/>
        </w:rPr>
        <w:t>Notarų atlyginimo už notarinių veiksmų atlikimą, sandorių projektų parengimą, konsultacijas ir technines paslaugas dydžiai (įkainiai) nustatomi atsižvelgiant į šiuos kriterijus:</w:t>
      </w:r>
      <w:bookmarkStart w:id="114" w:name="part_5838453e742c474f906da48ec7355c09"/>
      <w:bookmarkEnd w:id="114"/>
      <w:r w:rsidR="00B67811">
        <w:rPr>
          <w:rFonts w:ascii="Times New Roman" w:eastAsia="Times New Roman" w:hAnsi="Times New Roman" w:cs="Times New Roman"/>
          <w:sz w:val="24"/>
          <w:szCs w:val="24"/>
          <w:lang w:val="lt-LT"/>
        </w:rPr>
        <w:t xml:space="preserve"> </w:t>
      </w:r>
      <w:r w:rsidR="00CC6C9D" w:rsidRPr="00CC6C9D">
        <w:rPr>
          <w:rFonts w:ascii="Times New Roman" w:eastAsia="Times New Roman" w:hAnsi="Times New Roman" w:cs="Times New Roman"/>
          <w:sz w:val="24"/>
          <w:szCs w:val="24"/>
          <w:lang w:val="lt-LT"/>
        </w:rPr>
        <w:t>1) tvirtinamo sandorio ar kito notarinio veiksmo vertę;</w:t>
      </w:r>
      <w:bookmarkStart w:id="115" w:name="part_4dee4b5a283f45169dd00b2397131ae2"/>
      <w:bookmarkEnd w:id="115"/>
      <w:r w:rsidR="00B67811">
        <w:rPr>
          <w:rFonts w:ascii="Times New Roman" w:eastAsia="Times New Roman" w:hAnsi="Times New Roman" w:cs="Times New Roman"/>
          <w:sz w:val="24"/>
          <w:szCs w:val="24"/>
          <w:lang w:val="lt-LT"/>
        </w:rPr>
        <w:t xml:space="preserve"> </w:t>
      </w:r>
      <w:r w:rsidR="00CC6C9D" w:rsidRPr="00CC6C9D">
        <w:rPr>
          <w:rFonts w:ascii="Times New Roman" w:eastAsia="Times New Roman" w:hAnsi="Times New Roman" w:cs="Times New Roman"/>
          <w:sz w:val="24"/>
          <w:szCs w:val="24"/>
          <w:lang w:val="lt-LT"/>
        </w:rPr>
        <w:t>2) atliekamo notarinio veiksmo ar teikiamos paslaugos pobūdį;</w:t>
      </w:r>
      <w:bookmarkStart w:id="116" w:name="part_913a7ad7ab5246a9bfb0ab576cc530dc"/>
      <w:bookmarkEnd w:id="116"/>
      <w:r w:rsidR="00B67811">
        <w:rPr>
          <w:rFonts w:ascii="Times New Roman" w:eastAsia="Times New Roman" w:hAnsi="Times New Roman" w:cs="Times New Roman"/>
          <w:sz w:val="24"/>
          <w:szCs w:val="24"/>
          <w:lang w:val="lt-LT"/>
        </w:rPr>
        <w:t xml:space="preserve"> </w:t>
      </w:r>
      <w:r w:rsidR="00CC6C9D" w:rsidRPr="00CC6C9D">
        <w:rPr>
          <w:rFonts w:ascii="Times New Roman" w:eastAsia="Times New Roman" w:hAnsi="Times New Roman" w:cs="Times New Roman"/>
          <w:sz w:val="24"/>
          <w:szCs w:val="24"/>
          <w:lang w:val="lt-LT"/>
        </w:rPr>
        <w:t>3) notaro ekonominio nepriklausomumo užtikrinimą;</w:t>
      </w:r>
      <w:bookmarkStart w:id="117" w:name="part_a1d6b18bc87c4307b85dd0f479697be0"/>
      <w:bookmarkEnd w:id="117"/>
      <w:r w:rsidR="00B67811">
        <w:rPr>
          <w:rFonts w:ascii="Times New Roman" w:eastAsia="Times New Roman" w:hAnsi="Times New Roman" w:cs="Times New Roman"/>
          <w:sz w:val="24"/>
          <w:szCs w:val="24"/>
          <w:lang w:val="lt-LT"/>
        </w:rPr>
        <w:t xml:space="preserve"> </w:t>
      </w:r>
      <w:r w:rsidR="00CC6C9D" w:rsidRPr="00CC6C9D">
        <w:rPr>
          <w:rFonts w:ascii="Times New Roman" w:eastAsia="Times New Roman" w:hAnsi="Times New Roman" w:cs="Times New Roman"/>
          <w:sz w:val="24"/>
          <w:szCs w:val="24"/>
          <w:lang w:val="lt-LT"/>
        </w:rPr>
        <w:t>4) notaro profesinės veiklos ir civilinės atsakomybės riziką;</w:t>
      </w:r>
      <w:bookmarkStart w:id="118" w:name="part_4441021e57bd459ca484c34e1c446e5c"/>
      <w:bookmarkEnd w:id="118"/>
      <w:r w:rsidR="00B67811">
        <w:rPr>
          <w:rFonts w:ascii="Times New Roman" w:eastAsia="Times New Roman" w:hAnsi="Times New Roman" w:cs="Times New Roman"/>
          <w:sz w:val="24"/>
          <w:szCs w:val="24"/>
          <w:lang w:val="lt-LT"/>
        </w:rPr>
        <w:t xml:space="preserve"> </w:t>
      </w:r>
      <w:r w:rsidR="00CC6C9D" w:rsidRPr="00CC6C9D">
        <w:rPr>
          <w:rFonts w:ascii="Times New Roman" w:eastAsia="Times New Roman" w:hAnsi="Times New Roman" w:cs="Times New Roman"/>
          <w:sz w:val="24"/>
          <w:szCs w:val="24"/>
          <w:lang w:val="lt-LT"/>
        </w:rPr>
        <w:t>5) kryžminį subsidijavimą;</w:t>
      </w:r>
      <w:bookmarkStart w:id="119" w:name="part_43e361f377cb482ca71446d5624c4182"/>
      <w:bookmarkEnd w:id="119"/>
      <w:r w:rsidR="00B67811">
        <w:rPr>
          <w:rFonts w:ascii="Times New Roman" w:eastAsia="Times New Roman" w:hAnsi="Times New Roman" w:cs="Times New Roman"/>
          <w:sz w:val="24"/>
          <w:szCs w:val="24"/>
          <w:lang w:val="lt-LT"/>
        </w:rPr>
        <w:t xml:space="preserve"> </w:t>
      </w:r>
      <w:r w:rsidR="00CC6C9D" w:rsidRPr="00CC6C9D">
        <w:rPr>
          <w:rFonts w:ascii="Times New Roman" w:eastAsia="Times New Roman" w:hAnsi="Times New Roman" w:cs="Times New Roman"/>
          <w:sz w:val="24"/>
          <w:szCs w:val="24"/>
          <w:lang w:val="lt-LT"/>
        </w:rPr>
        <w:t>6) sąnaudas.</w:t>
      </w:r>
      <w:r w:rsidR="00F9401D">
        <w:rPr>
          <w:rFonts w:ascii="Times New Roman" w:eastAsia="Times New Roman" w:hAnsi="Times New Roman" w:cs="Times New Roman"/>
          <w:sz w:val="24"/>
          <w:szCs w:val="24"/>
          <w:lang w:val="lt-LT"/>
        </w:rPr>
        <w:t xml:space="preserve"> Pagal </w:t>
      </w:r>
      <w:r w:rsidR="00F53E65">
        <w:rPr>
          <w:rFonts w:ascii="Times New Roman" w:eastAsia="Times New Roman" w:hAnsi="Times New Roman" w:cs="Times New Roman"/>
          <w:sz w:val="24"/>
          <w:szCs w:val="24"/>
          <w:lang w:val="lt-LT"/>
        </w:rPr>
        <w:t>Notariato įstatymo 19 straipsnio antrąją pastraipą</w:t>
      </w:r>
      <w:r w:rsidR="00530F56">
        <w:rPr>
          <w:rFonts w:ascii="Times New Roman" w:eastAsia="Times New Roman" w:hAnsi="Times New Roman" w:cs="Times New Roman"/>
          <w:sz w:val="24"/>
          <w:szCs w:val="24"/>
          <w:lang w:val="lt-LT"/>
        </w:rPr>
        <w:t>,</w:t>
      </w:r>
      <w:r w:rsidR="00F53E65">
        <w:rPr>
          <w:rFonts w:ascii="Times New Roman" w:eastAsia="Times New Roman" w:hAnsi="Times New Roman" w:cs="Times New Roman"/>
          <w:sz w:val="24"/>
          <w:szCs w:val="24"/>
          <w:lang w:val="lt-LT"/>
        </w:rPr>
        <w:t xml:space="preserve"> a</w:t>
      </w:r>
      <w:r w:rsidR="00F53E65" w:rsidRPr="00F53E65">
        <w:rPr>
          <w:rFonts w:ascii="Times New Roman" w:eastAsia="Times New Roman" w:hAnsi="Times New Roman" w:cs="Times New Roman"/>
          <w:sz w:val="24"/>
          <w:szCs w:val="24"/>
          <w:lang w:val="lt-LT"/>
        </w:rPr>
        <w:t>tsižvelgdamas į kliento turtinę padėtį, notaras gali iš viso ar iš dalies atleisti jį nuo atlyginimo mokėjimo.</w:t>
      </w:r>
    </w:p>
    <w:p w14:paraId="3744312E" w14:textId="5863C937" w:rsidR="007E5CFD" w:rsidRPr="00DE7237" w:rsidRDefault="00B67811" w:rsidP="00BA63D8">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B25746">
        <w:rPr>
          <w:rFonts w:ascii="Times New Roman" w:eastAsia="Times New Roman" w:hAnsi="Times New Roman" w:cs="Times New Roman"/>
          <w:sz w:val="24"/>
          <w:szCs w:val="24"/>
          <w:lang w:val="lt-LT"/>
        </w:rPr>
        <w:t xml:space="preserve">Šios teisės </w:t>
      </w:r>
      <w:r w:rsidR="00B25746" w:rsidRPr="004C4263">
        <w:rPr>
          <w:rFonts w:ascii="Times New Roman" w:eastAsia="Times New Roman" w:hAnsi="Times New Roman" w:cs="Times New Roman"/>
          <w:sz w:val="24"/>
          <w:szCs w:val="24"/>
          <w:lang w:val="lt-LT"/>
        </w:rPr>
        <w:t>normos,</w:t>
      </w:r>
      <w:r w:rsidR="008F760E" w:rsidRPr="004C4263">
        <w:rPr>
          <w:rFonts w:ascii="Times New Roman" w:eastAsia="Times New Roman" w:hAnsi="Times New Roman" w:cs="Times New Roman"/>
          <w:sz w:val="24"/>
          <w:szCs w:val="24"/>
          <w:lang w:val="lt-LT"/>
        </w:rPr>
        <w:t xml:space="preserve"> reglamentuoja</w:t>
      </w:r>
      <w:r w:rsidR="005C36FA" w:rsidRPr="004C4263">
        <w:rPr>
          <w:rFonts w:ascii="Times New Roman" w:eastAsia="Times New Roman" w:hAnsi="Times New Roman" w:cs="Times New Roman"/>
          <w:sz w:val="24"/>
          <w:szCs w:val="24"/>
          <w:lang w:val="lt-LT"/>
        </w:rPr>
        <w:t>nčios</w:t>
      </w:r>
      <w:r w:rsidR="008F760E" w:rsidRPr="004C4263">
        <w:rPr>
          <w:rFonts w:ascii="Times New Roman" w:eastAsia="Times New Roman" w:hAnsi="Times New Roman" w:cs="Times New Roman"/>
          <w:sz w:val="24"/>
          <w:szCs w:val="24"/>
          <w:lang w:val="lt-LT"/>
        </w:rPr>
        <w:t xml:space="preserve"> Notarų rūmų </w:t>
      </w:r>
      <w:r w:rsidR="00D46D13" w:rsidRPr="004C4263">
        <w:rPr>
          <w:rFonts w:ascii="Times New Roman" w:eastAsia="Times New Roman" w:hAnsi="Times New Roman" w:cs="Times New Roman"/>
          <w:sz w:val="24"/>
          <w:szCs w:val="24"/>
          <w:lang w:val="lt-LT"/>
        </w:rPr>
        <w:t xml:space="preserve">bei Prezidiumo uždavinius, funkcijas, veiklos principus, </w:t>
      </w:r>
      <w:r w:rsidR="0057199F" w:rsidRPr="004C4263">
        <w:rPr>
          <w:rFonts w:ascii="Times New Roman" w:eastAsia="Times New Roman" w:hAnsi="Times New Roman" w:cs="Times New Roman"/>
          <w:sz w:val="24"/>
          <w:szCs w:val="24"/>
          <w:lang w:val="lt-LT"/>
        </w:rPr>
        <w:t>veiklos finansavimą</w:t>
      </w:r>
      <w:r w:rsidR="00523019" w:rsidRPr="004C4263">
        <w:rPr>
          <w:rFonts w:ascii="Times New Roman" w:eastAsia="Times New Roman" w:hAnsi="Times New Roman" w:cs="Times New Roman"/>
          <w:sz w:val="24"/>
          <w:szCs w:val="24"/>
          <w:lang w:val="lt-LT"/>
        </w:rPr>
        <w:t xml:space="preserve"> </w:t>
      </w:r>
      <w:proofErr w:type="spellStart"/>
      <w:r w:rsidR="00523019" w:rsidRPr="004C4263">
        <w:rPr>
          <w:rFonts w:ascii="Times New Roman" w:eastAsia="Times New Roman" w:hAnsi="Times New Roman" w:cs="Times New Roman"/>
          <w:i/>
          <w:iCs/>
          <w:sz w:val="24"/>
          <w:szCs w:val="24"/>
          <w:lang w:val="lt-LT"/>
        </w:rPr>
        <w:t>inter</w:t>
      </w:r>
      <w:proofErr w:type="spellEnd"/>
      <w:r w:rsidR="00523019" w:rsidRPr="004C4263">
        <w:rPr>
          <w:rFonts w:ascii="Times New Roman" w:eastAsia="Times New Roman" w:hAnsi="Times New Roman" w:cs="Times New Roman"/>
          <w:i/>
          <w:iCs/>
          <w:sz w:val="24"/>
          <w:szCs w:val="24"/>
          <w:lang w:val="lt-LT"/>
        </w:rPr>
        <w:t xml:space="preserve"> alia</w:t>
      </w:r>
      <w:r w:rsidR="00523019" w:rsidRPr="004C4263">
        <w:rPr>
          <w:rFonts w:ascii="Times New Roman" w:eastAsia="Times New Roman" w:hAnsi="Times New Roman" w:cs="Times New Roman"/>
          <w:sz w:val="24"/>
          <w:szCs w:val="24"/>
          <w:lang w:val="lt-LT"/>
        </w:rPr>
        <w:t xml:space="preserve"> atlyginimo už </w:t>
      </w:r>
      <w:r w:rsidR="005C7DA4" w:rsidRPr="004C4263">
        <w:rPr>
          <w:rFonts w:ascii="Times New Roman" w:eastAsia="Times New Roman" w:hAnsi="Times New Roman" w:cs="Times New Roman"/>
          <w:sz w:val="24"/>
          <w:szCs w:val="24"/>
          <w:lang w:val="lt-LT"/>
        </w:rPr>
        <w:t xml:space="preserve">notarines paslaugas </w:t>
      </w:r>
      <w:r w:rsidR="00523019" w:rsidRPr="004C4263">
        <w:rPr>
          <w:rFonts w:ascii="Times New Roman" w:eastAsia="Times New Roman" w:hAnsi="Times New Roman" w:cs="Times New Roman"/>
          <w:sz w:val="24"/>
          <w:szCs w:val="24"/>
          <w:lang w:val="lt-LT"/>
        </w:rPr>
        <w:t xml:space="preserve">nustatymo </w:t>
      </w:r>
      <w:r w:rsidR="005C7DA4" w:rsidRPr="004C4263">
        <w:rPr>
          <w:rFonts w:ascii="Times New Roman" w:eastAsia="Times New Roman" w:hAnsi="Times New Roman" w:cs="Times New Roman"/>
          <w:sz w:val="24"/>
          <w:szCs w:val="24"/>
          <w:lang w:val="lt-LT"/>
        </w:rPr>
        <w:t xml:space="preserve">aspektus, </w:t>
      </w:r>
      <w:r w:rsidR="00D46D13" w:rsidRPr="004C4263">
        <w:rPr>
          <w:rFonts w:ascii="Times New Roman" w:eastAsia="Times New Roman" w:hAnsi="Times New Roman" w:cs="Times New Roman"/>
          <w:sz w:val="24"/>
          <w:szCs w:val="24"/>
          <w:lang w:val="lt-LT"/>
        </w:rPr>
        <w:t>atskaitomyb</w:t>
      </w:r>
      <w:r w:rsidR="006C3147" w:rsidRPr="004C4263">
        <w:rPr>
          <w:rFonts w:ascii="Times New Roman" w:eastAsia="Times New Roman" w:hAnsi="Times New Roman" w:cs="Times New Roman"/>
          <w:sz w:val="24"/>
          <w:szCs w:val="24"/>
          <w:lang w:val="lt-LT"/>
        </w:rPr>
        <w:t>ę</w:t>
      </w:r>
      <w:r w:rsidR="00360F66" w:rsidRPr="004C4263">
        <w:rPr>
          <w:rFonts w:ascii="Times New Roman" w:eastAsia="Times New Roman" w:hAnsi="Times New Roman" w:cs="Times New Roman"/>
          <w:sz w:val="24"/>
          <w:szCs w:val="24"/>
          <w:lang w:val="lt-LT"/>
        </w:rPr>
        <w:t xml:space="preserve"> ir veiklos vertinimo mechani</w:t>
      </w:r>
      <w:r w:rsidR="008C6D73" w:rsidRPr="004C4263">
        <w:rPr>
          <w:rFonts w:ascii="Times New Roman" w:eastAsia="Times New Roman" w:hAnsi="Times New Roman" w:cs="Times New Roman"/>
          <w:sz w:val="24"/>
          <w:szCs w:val="24"/>
          <w:lang w:val="lt-LT"/>
        </w:rPr>
        <w:t>zmą</w:t>
      </w:r>
      <w:r w:rsidR="006C3147" w:rsidRPr="004C4263">
        <w:rPr>
          <w:rFonts w:ascii="Times New Roman" w:eastAsia="Times New Roman" w:hAnsi="Times New Roman" w:cs="Times New Roman"/>
          <w:sz w:val="24"/>
          <w:szCs w:val="24"/>
          <w:lang w:val="lt-LT"/>
        </w:rPr>
        <w:t>,</w:t>
      </w:r>
      <w:r w:rsidR="006C3147">
        <w:rPr>
          <w:rFonts w:ascii="Times New Roman" w:eastAsia="Times New Roman" w:hAnsi="Times New Roman" w:cs="Times New Roman"/>
          <w:sz w:val="24"/>
          <w:szCs w:val="24"/>
          <w:lang w:val="lt-LT"/>
        </w:rPr>
        <w:t xml:space="preserve"> </w:t>
      </w:r>
      <w:r w:rsidR="008C6D73">
        <w:rPr>
          <w:rFonts w:ascii="Times New Roman" w:eastAsia="Times New Roman" w:hAnsi="Times New Roman" w:cs="Times New Roman"/>
          <w:sz w:val="24"/>
          <w:szCs w:val="24"/>
          <w:lang w:val="lt-LT"/>
        </w:rPr>
        <w:t xml:space="preserve">taip pat </w:t>
      </w:r>
      <w:r w:rsidR="006C3147">
        <w:rPr>
          <w:rFonts w:ascii="Times New Roman" w:eastAsia="Times New Roman" w:hAnsi="Times New Roman" w:cs="Times New Roman"/>
          <w:sz w:val="24"/>
          <w:szCs w:val="24"/>
          <w:lang w:val="lt-LT"/>
        </w:rPr>
        <w:t>santykius su valdžios</w:t>
      </w:r>
      <w:r w:rsidR="00B25746">
        <w:rPr>
          <w:rFonts w:ascii="Times New Roman" w:eastAsia="Times New Roman" w:hAnsi="Times New Roman" w:cs="Times New Roman"/>
          <w:sz w:val="24"/>
          <w:szCs w:val="24"/>
          <w:lang w:val="lt-LT"/>
        </w:rPr>
        <w:t xml:space="preserve"> </w:t>
      </w:r>
      <w:r w:rsidR="006C3147">
        <w:rPr>
          <w:rFonts w:ascii="Times New Roman" w:eastAsia="Times New Roman" w:hAnsi="Times New Roman" w:cs="Times New Roman"/>
          <w:sz w:val="24"/>
          <w:szCs w:val="24"/>
          <w:lang w:val="lt-LT"/>
        </w:rPr>
        <w:t>institucijomis</w:t>
      </w:r>
      <w:r w:rsidR="008C6D73">
        <w:rPr>
          <w:rFonts w:ascii="Times New Roman" w:eastAsia="Times New Roman" w:hAnsi="Times New Roman" w:cs="Times New Roman"/>
          <w:sz w:val="24"/>
          <w:szCs w:val="24"/>
          <w:lang w:val="lt-LT"/>
        </w:rPr>
        <w:t xml:space="preserve"> (konkrečiai, Teisingumo ministerija)</w:t>
      </w:r>
      <w:r w:rsidR="00E26483">
        <w:rPr>
          <w:rFonts w:ascii="Times New Roman" w:eastAsia="Times New Roman" w:hAnsi="Times New Roman" w:cs="Times New Roman"/>
          <w:sz w:val="24"/>
          <w:szCs w:val="24"/>
          <w:lang w:val="lt-LT"/>
        </w:rPr>
        <w:t xml:space="preserve"> </w:t>
      </w:r>
      <w:r w:rsidR="00B25746">
        <w:rPr>
          <w:rFonts w:ascii="Times New Roman" w:eastAsia="Times New Roman" w:hAnsi="Times New Roman" w:cs="Times New Roman"/>
          <w:sz w:val="24"/>
          <w:szCs w:val="24"/>
          <w:lang w:val="lt-LT"/>
        </w:rPr>
        <w:t xml:space="preserve">išplėstinės teisėjų kolegijos vertinimu, </w:t>
      </w:r>
      <w:r w:rsidR="00236534">
        <w:rPr>
          <w:rFonts w:ascii="Times New Roman" w:eastAsia="Times New Roman" w:hAnsi="Times New Roman" w:cs="Times New Roman"/>
          <w:sz w:val="24"/>
          <w:szCs w:val="24"/>
          <w:lang w:val="lt-LT"/>
        </w:rPr>
        <w:t>ne</w:t>
      </w:r>
      <w:r w:rsidR="00F47BC3">
        <w:rPr>
          <w:rFonts w:ascii="Times New Roman" w:eastAsia="Times New Roman" w:hAnsi="Times New Roman" w:cs="Times New Roman"/>
          <w:sz w:val="24"/>
          <w:szCs w:val="24"/>
          <w:lang w:val="lt-LT"/>
        </w:rPr>
        <w:t xml:space="preserve">gali būti </w:t>
      </w:r>
      <w:r w:rsidR="00E32506">
        <w:rPr>
          <w:rFonts w:ascii="Times New Roman" w:eastAsia="Times New Roman" w:hAnsi="Times New Roman" w:cs="Times New Roman"/>
          <w:sz w:val="24"/>
          <w:szCs w:val="24"/>
          <w:lang w:val="lt-LT"/>
        </w:rPr>
        <w:t>laikomos kai</w:t>
      </w:r>
      <w:r w:rsidR="00B515A5">
        <w:rPr>
          <w:rFonts w:ascii="Times New Roman" w:eastAsia="Times New Roman" w:hAnsi="Times New Roman" w:cs="Times New Roman"/>
          <w:sz w:val="24"/>
          <w:szCs w:val="24"/>
          <w:lang w:val="lt-LT"/>
        </w:rPr>
        <w:t>p</w:t>
      </w:r>
      <w:r w:rsidR="00F01FF2">
        <w:rPr>
          <w:rFonts w:ascii="Times New Roman" w:hAnsi="Times New Roman" w:cs="Times New Roman"/>
          <w:color w:val="000000"/>
          <w:sz w:val="24"/>
          <w:szCs w:val="24"/>
          <w:lang w:val="lt-LT"/>
        </w:rPr>
        <w:t xml:space="preserve"> </w:t>
      </w:r>
      <w:r w:rsidR="0057199F">
        <w:rPr>
          <w:rFonts w:ascii="Times New Roman" w:hAnsi="Times New Roman" w:cs="Times New Roman"/>
          <w:color w:val="000000"/>
          <w:sz w:val="24"/>
          <w:szCs w:val="24"/>
          <w:lang w:val="lt-LT"/>
        </w:rPr>
        <w:t xml:space="preserve">nustatančios </w:t>
      </w:r>
      <w:r w:rsidR="00B515A5">
        <w:rPr>
          <w:rFonts w:ascii="Times New Roman" w:hAnsi="Times New Roman" w:cs="Times New Roman"/>
          <w:color w:val="000000"/>
          <w:sz w:val="24"/>
          <w:szCs w:val="24"/>
          <w:lang w:val="lt-LT"/>
        </w:rPr>
        <w:t xml:space="preserve">pakankamai tikslius </w:t>
      </w:r>
      <w:r w:rsidR="003C19C9">
        <w:rPr>
          <w:rFonts w:ascii="Times New Roman" w:hAnsi="Times New Roman" w:cs="Times New Roman"/>
          <w:color w:val="000000"/>
          <w:sz w:val="24"/>
          <w:szCs w:val="24"/>
          <w:lang w:val="lt-LT"/>
        </w:rPr>
        <w:t>kriterijus</w:t>
      </w:r>
      <w:r w:rsidR="002E6B28">
        <w:rPr>
          <w:rFonts w:ascii="Times New Roman" w:hAnsi="Times New Roman" w:cs="Times New Roman"/>
          <w:color w:val="000000"/>
          <w:sz w:val="24"/>
          <w:szCs w:val="24"/>
          <w:lang w:val="lt-LT"/>
        </w:rPr>
        <w:t xml:space="preserve">, </w:t>
      </w:r>
      <w:r w:rsidR="00AA70CE">
        <w:rPr>
          <w:rFonts w:ascii="Times New Roman" w:hAnsi="Times New Roman" w:cs="Times New Roman"/>
          <w:color w:val="000000"/>
          <w:sz w:val="24"/>
          <w:szCs w:val="24"/>
          <w:lang w:val="lt-LT"/>
        </w:rPr>
        <w:t xml:space="preserve">kuriais remiantis </w:t>
      </w:r>
      <w:r w:rsidR="0011730D">
        <w:rPr>
          <w:rFonts w:ascii="Times New Roman" w:hAnsi="Times New Roman" w:cs="Times New Roman"/>
          <w:color w:val="000000"/>
          <w:sz w:val="24"/>
          <w:szCs w:val="24"/>
          <w:lang w:val="lt-LT"/>
        </w:rPr>
        <w:t xml:space="preserve">užtikrinamas </w:t>
      </w:r>
      <w:r w:rsidR="002E6B28">
        <w:rPr>
          <w:rFonts w:ascii="Times New Roman" w:hAnsi="Times New Roman" w:cs="Times New Roman"/>
          <w:color w:val="000000"/>
          <w:sz w:val="24"/>
          <w:szCs w:val="24"/>
          <w:lang w:val="lt-LT"/>
        </w:rPr>
        <w:t>Notarų rūmų veikl</w:t>
      </w:r>
      <w:r w:rsidR="00E26CE2">
        <w:rPr>
          <w:rFonts w:ascii="Times New Roman" w:hAnsi="Times New Roman" w:cs="Times New Roman"/>
          <w:color w:val="000000"/>
          <w:sz w:val="24"/>
          <w:szCs w:val="24"/>
          <w:lang w:val="lt-LT"/>
        </w:rPr>
        <w:t>os</w:t>
      </w:r>
      <w:r w:rsidR="00B72823">
        <w:rPr>
          <w:rFonts w:ascii="Times New Roman" w:hAnsi="Times New Roman" w:cs="Times New Roman"/>
          <w:color w:val="000000"/>
          <w:sz w:val="24"/>
          <w:szCs w:val="24"/>
          <w:lang w:val="lt-LT"/>
        </w:rPr>
        <w:t xml:space="preserve"> vykd</w:t>
      </w:r>
      <w:r w:rsidR="00E26CE2">
        <w:rPr>
          <w:rFonts w:ascii="Times New Roman" w:hAnsi="Times New Roman" w:cs="Times New Roman"/>
          <w:color w:val="000000"/>
          <w:sz w:val="24"/>
          <w:szCs w:val="24"/>
          <w:lang w:val="lt-LT"/>
        </w:rPr>
        <w:t>ymas</w:t>
      </w:r>
      <w:r w:rsidR="009748A6">
        <w:rPr>
          <w:rFonts w:ascii="Times New Roman" w:hAnsi="Times New Roman" w:cs="Times New Roman"/>
          <w:color w:val="000000"/>
          <w:sz w:val="24"/>
          <w:szCs w:val="24"/>
          <w:lang w:val="lt-LT"/>
        </w:rPr>
        <w:t xml:space="preserve"> </w:t>
      </w:r>
      <w:r w:rsidR="00D370A8">
        <w:rPr>
          <w:rFonts w:ascii="Times New Roman" w:hAnsi="Times New Roman" w:cs="Times New Roman"/>
          <w:color w:val="000000"/>
          <w:sz w:val="24"/>
          <w:szCs w:val="24"/>
          <w:lang w:val="lt-LT"/>
        </w:rPr>
        <w:t xml:space="preserve">veiksmingai </w:t>
      </w:r>
      <w:r w:rsidR="009748A6">
        <w:rPr>
          <w:rFonts w:ascii="Times New Roman" w:hAnsi="Times New Roman" w:cs="Times New Roman"/>
          <w:color w:val="000000"/>
          <w:sz w:val="24"/>
          <w:szCs w:val="24"/>
          <w:lang w:val="lt-LT"/>
        </w:rPr>
        <w:t>atsižvelgiant į</w:t>
      </w:r>
      <w:r w:rsidR="00B72823">
        <w:rPr>
          <w:rFonts w:ascii="Times New Roman" w:hAnsi="Times New Roman" w:cs="Times New Roman"/>
          <w:color w:val="000000"/>
          <w:sz w:val="24"/>
          <w:szCs w:val="24"/>
          <w:lang w:val="lt-LT"/>
        </w:rPr>
        <w:t xml:space="preserve"> </w:t>
      </w:r>
      <w:r w:rsidR="009A0F27">
        <w:rPr>
          <w:rFonts w:ascii="Times New Roman" w:hAnsi="Times New Roman" w:cs="Times New Roman"/>
          <w:color w:val="000000"/>
          <w:sz w:val="24"/>
          <w:szCs w:val="24"/>
          <w:lang w:val="lt-LT"/>
        </w:rPr>
        <w:t>viešąjį</w:t>
      </w:r>
      <w:r w:rsidR="00306026">
        <w:rPr>
          <w:rFonts w:ascii="Times New Roman" w:hAnsi="Times New Roman" w:cs="Times New Roman"/>
          <w:color w:val="000000"/>
          <w:sz w:val="24"/>
          <w:szCs w:val="24"/>
          <w:lang w:val="lt-LT"/>
        </w:rPr>
        <w:t xml:space="preserve"> (</w:t>
      </w:r>
      <w:r w:rsidR="009A0F27">
        <w:rPr>
          <w:rFonts w:ascii="Times New Roman" w:hAnsi="Times New Roman" w:cs="Times New Roman"/>
          <w:color w:val="000000"/>
          <w:sz w:val="24"/>
          <w:szCs w:val="24"/>
          <w:lang w:val="lt-LT"/>
        </w:rPr>
        <w:t xml:space="preserve">t. y., bendrąjį, </w:t>
      </w:r>
      <w:r w:rsidR="00306026">
        <w:rPr>
          <w:rFonts w:ascii="Times New Roman" w:hAnsi="Times New Roman" w:cs="Times New Roman"/>
          <w:color w:val="000000"/>
          <w:sz w:val="24"/>
          <w:szCs w:val="24"/>
          <w:lang w:val="lt-LT"/>
        </w:rPr>
        <w:t>o ne tik notarų kaip profesinės bendruomenės)</w:t>
      </w:r>
      <w:r w:rsidR="00F01FF2">
        <w:rPr>
          <w:rFonts w:ascii="Times New Roman" w:hAnsi="Times New Roman" w:cs="Times New Roman"/>
          <w:color w:val="000000"/>
          <w:sz w:val="24"/>
          <w:szCs w:val="24"/>
          <w:lang w:val="lt-LT"/>
        </w:rPr>
        <w:t xml:space="preserve"> interes</w:t>
      </w:r>
      <w:r w:rsidR="00CB4FB2">
        <w:rPr>
          <w:rFonts w:ascii="Times New Roman" w:hAnsi="Times New Roman" w:cs="Times New Roman"/>
          <w:color w:val="000000"/>
          <w:sz w:val="24"/>
          <w:szCs w:val="24"/>
          <w:lang w:val="lt-LT"/>
        </w:rPr>
        <w:t>ą.</w:t>
      </w:r>
      <w:r w:rsidR="00BF38AF">
        <w:rPr>
          <w:rFonts w:ascii="Times New Roman" w:hAnsi="Times New Roman" w:cs="Times New Roman"/>
          <w:color w:val="000000"/>
          <w:sz w:val="24"/>
          <w:szCs w:val="24"/>
          <w:lang w:val="lt-LT"/>
        </w:rPr>
        <w:t xml:space="preserve"> </w:t>
      </w:r>
      <w:r w:rsidR="00D01817" w:rsidRPr="0057651F">
        <w:rPr>
          <w:rFonts w:ascii="Times New Roman" w:hAnsi="Times New Roman" w:cs="Times New Roman"/>
          <w:color w:val="000000"/>
          <w:sz w:val="24"/>
          <w:szCs w:val="24"/>
          <w:lang w:val="lt-LT"/>
        </w:rPr>
        <w:t xml:space="preserve">Tai, kad </w:t>
      </w:r>
      <w:r w:rsidR="009D313F" w:rsidRPr="0057651F">
        <w:rPr>
          <w:rFonts w:ascii="Times New Roman" w:eastAsia="Times New Roman" w:hAnsi="Times New Roman" w:cs="Times New Roman"/>
          <w:sz w:val="24"/>
          <w:szCs w:val="24"/>
          <w:lang w:val="lt-LT"/>
        </w:rPr>
        <w:t>Iš</w:t>
      </w:r>
      <w:r w:rsidR="009D313F" w:rsidRPr="004B08A4">
        <w:rPr>
          <w:rFonts w:ascii="Times New Roman" w:eastAsia="Times New Roman" w:hAnsi="Times New Roman" w:cs="Times New Roman"/>
          <w:sz w:val="24"/>
          <w:szCs w:val="24"/>
          <w:lang w:val="lt-LT"/>
        </w:rPr>
        <w:t xml:space="preserve">aiškinimais </w:t>
      </w:r>
      <w:r w:rsidR="003953C9">
        <w:rPr>
          <w:rFonts w:ascii="Times New Roman" w:eastAsia="Times New Roman" w:hAnsi="Times New Roman" w:cs="Times New Roman"/>
          <w:sz w:val="24"/>
          <w:szCs w:val="24"/>
          <w:lang w:val="lt-LT"/>
        </w:rPr>
        <w:t>įtvirtintas</w:t>
      </w:r>
      <w:r w:rsidR="009D313F" w:rsidRPr="004B08A4">
        <w:rPr>
          <w:rFonts w:ascii="Times New Roman" w:eastAsia="Times New Roman" w:hAnsi="Times New Roman" w:cs="Times New Roman"/>
          <w:sz w:val="24"/>
          <w:szCs w:val="24"/>
          <w:lang w:val="lt-LT"/>
        </w:rPr>
        <w:t xml:space="preserve"> notarų atlyginimo dydžių apskaičiavimo</w:t>
      </w:r>
      <w:r w:rsidR="009D313F" w:rsidRPr="004443D5">
        <w:rPr>
          <w:rFonts w:ascii="Times New Roman" w:eastAsia="Times New Roman" w:hAnsi="Times New Roman" w:cs="Times New Roman"/>
          <w:sz w:val="24"/>
          <w:szCs w:val="24"/>
          <w:lang w:val="lt-LT"/>
        </w:rPr>
        <w:t xml:space="preserve"> mechanizm</w:t>
      </w:r>
      <w:r w:rsidR="003953C9">
        <w:rPr>
          <w:rFonts w:ascii="Times New Roman" w:eastAsia="Times New Roman" w:hAnsi="Times New Roman" w:cs="Times New Roman"/>
          <w:sz w:val="24"/>
          <w:szCs w:val="24"/>
          <w:lang w:val="lt-LT"/>
        </w:rPr>
        <w:t>as</w:t>
      </w:r>
      <w:r w:rsidR="009D313F" w:rsidRPr="004443D5">
        <w:rPr>
          <w:rFonts w:ascii="Times New Roman" w:eastAsia="Times New Roman" w:hAnsi="Times New Roman" w:cs="Times New Roman"/>
          <w:sz w:val="24"/>
          <w:szCs w:val="24"/>
          <w:lang w:val="lt-LT"/>
        </w:rPr>
        <w:t>, kuris visais atvejais nustatė didžiausias galimas kainas pagal Laikinuosius dydžius, taikomas tvirtinant hipotekos, mainų ir servituto sandorius, kuriais įkeičiami, perleidžiami ar apsunkinami keli daiktai</w:t>
      </w:r>
      <w:r w:rsidR="003953C9">
        <w:rPr>
          <w:rFonts w:ascii="Times New Roman" w:eastAsia="Times New Roman" w:hAnsi="Times New Roman" w:cs="Times New Roman"/>
          <w:sz w:val="24"/>
          <w:szCs w:val="24"/>
          <w:lang w:val="lt-LT"/>
        </w:rPr>
        <w:t xml:space="preserve"> (aplinkybė </w:t>
      </w:r>
      <w:r w:rsidR="000B5BEA">
        <w:rPr>
          <w:rFonts w:ascii="Times New Roman" w:eastAsia="Times New Roman" w:hAnsi="Times New Roman" w:cs="Times New Roman"/>
          <w:sz w:val="24"/>
          <w:szCs w:val="24"/>
          <w:lang w:val="lt-LT"/>
        </w:rPr>
        <w:t>dėl maksi</w:t>
      </w:r>
      <w:r w:rsidR="005E3F2E">
        <w:rPr>
          <w:rFonts w:ascii="Times New Roman" w:eastAsia="Times New Roman" w:hAnsi="Times New Roman" w:cs="Times New Roman"/>
          <w:sz w:val="24"/>
          <w:szCs w:val="24"/>
          <w:lang w:val="lt-LT"/>
        </w:rPr>
        <w:t xml:space="preserve">malios kainos </w:t>
      </w:r>
      <w:r w:rsidR="003953C9">
        <w:rPr>
          <w:rFonts w:ascii="Times New Roman" w:eastAsia="Times New Roman" w:hAnsi="Times New Roman" w:cs="Times New Roman"/>
          <w:sz w:val="24"/>
          <w:szCs w:val="24"/>
          <w:lang w:val="lt-LT"/>
        </w:rPr>
        <w:t>byloje negin</w:t>
      </w:r>
      <w:r w:rsidR="004D6BC0">
        <w:rPr>
          <w:rFonts w:ascii="Times New Roman" w:eastAsia="Times New Roman" w:hAnsi="Times New Roman" w:cs="Times New Roman"/>
          <w:sz w:val="24"/>
          <w:szCs w:val="24"/>
          <w:lang w:val="lt-LT"/>
        </w:rPr>
        <w:t>čijama</w:t>
      </w:r>
      <w:r w:rsidR="003953C9" w:rsidRPr="00B56229">
        <w:rPr>
          <w:rFonts w:ascii="Times New Roman" w:eastAsia="Times New Roman" w:hAnsi="Times New Roman" w:cs="Times New Roman"/>
          <w:sz w:val="24"/>
          <w:szCs w:val="24"/>
          <w:lang w:val="lt-LT"/>
        </w:rPr>
        <w:t>)</w:t>
      </w:r>
      <w:r w:rsidR="00420BE8" w:rsidRPr="00B56229">
        <w:rPr>
          <w:rFonts w:ascii="Times New Roman" w:hAnsi="Times New Roman" w:cs="Times New Roman"/>
          <w:color w:val="000000"/>
          <w:sz w:val="24"/>
          <w:szCs w:val="24"/>
          <w:lang w:val="lt-LT"/>
        </w:rPr>
        <w:t>, išplėstinės teisėjų kolegijos vertinimu,</w:t>
      </w:r>
      <w:r w:rsidR="005B6384" w:rsidRPr="00B56229">
        <w:rPr>
          <w:rFonts w:ascii="Times New Roman" w:hAnsi="Times New Roman" w:cs="Times New Roman"/>
          <w:color w:val="000000"/>
          <w:sz w:val="24"/>
          <w:szCs w:val="24"/>
          <w:lang w:val="lt-LT"/>
        </w:rPr>
        <w:t xml:space="preserve"> taip pat </w:t>
      </w:r>
      <w:r w:rsidR="0038288C" w:rsidRPr="00B56229">
        <w:rPr>
          <w:rFonts w:ascii="Times New Roman" w:hAnsi="Times New Roman" w:cs="Times New Roman"/>
          <w:color w:val="000000"/>
          <w:sz w:val="24"/>
          <w:szCs w:val="24"/>
          <w:lang w:val="lt-LT"/>
        </w:rPr>
        <w:t>atskleidžia</w:t>
      </w:r>
      <w:r w:rsidR="00DB5F13" w:rsidRPr="00B56229">
        <w:rPr>
          <w:rFonts w:ascii="Times New Roman" w:hAnsi="Times New Roman" w:cs="Times New Roman"/>
          <w:color w:val="000000"/>
          <w:sz w:val="24"/>
          <w:szCs w:val="24"/>
          <w:lang w:val="lt-LT"/>
        </w:rPr>
        <w:t xml:space="preserve">, kad </w:t>
      </w:r>
      <w:r w:rsidR="005E3F2E" w:rsidRPr="00681A19">
        <w:rPr>
          <w:rFonts w:ascii="Times New Roman" w:hAnsi="Times New Roman" w:cs="Times New Roman"/>
          <w:color w:val="000000"/>
          <w:sz w:val="24"/>
          <w:szCs w:val="24"/>
          <w:lang w:val="lt-LT"/>
        </w:rPr>
        <w:t>Notarų rūm</w:t>
      </w:r>
      <w:r w:rsidR="00706134" w:rsidRPr="00681A19">
        <w:rPr>
          <w:rFonts w:ascii="Times New Roman" w:hAnsi="Times New Roman" w:cs="Times New Roman"/>
          <w:color w:val="000000"/>
          <w:sz w:val="24"/>
          <w:szCs w:val="24"/>
          <w:lang w:val="lt-LT"/>
        </w:rPr>
        <w:t>ų p</w:t>
      </w:r>
      <w:r w:rsidR="00DB5F13" w:rsidRPr="00681A19">
        <w:rPr>
          <w:rFonts w:ascii="Times New Roman" w:hAnsi="Times New Roman" w:cs="Times New Roman"/>
          <w:color w:val="000000"/>
          <w:sz w:val="24"/>
          <w:szCs w:val="24"/>
          <w:lang w:val="lt-LT"/>
        </w:rPr>
        <w:t xml:space="preserve">rezidiumas </w:t>
      </w:r>
      <w:r w:rsidR="00131942" w:rsidRPr="00681A19">
        <w:rPr>
          <w:rFonts w:ascii="Times New Roman" w:hAnsi="Times New Roman" w:cs="Times New Roman"/>
          <w:color w:val="000000"/>
          <w:sz w:val="24"/>
          <w:szCs w:val="24"/>
          <w:lang w:val="lt-LT"/>
        </w:rPr>
        <w:t xml:space="preserve">šiuo atveju </w:t>
      </w:r>
      <w:r w:rsidR="00DB5F13" w:rsidRPr="00681A19">
        <w:rPr>
          <w:rFonts w:ascii="Times New Roman" w:hAnsi="Times New Roman" w:cs="Times New Roman"/>
          <w:color w:val="000000"/>
          <w:sz w:val="24"/>
          <w:szCs w:val="24"/>
          <w:lang w:val="lt-LT"/>
        </w:rPr>
        <w:t>veikė</w:t>
      </w:r>
      <w:r w:rsidR="00CE5800" w:rsidRPr="00681A19">
        <w:rPr>
          <w:rFonts w:ascii="Times New Roman" w:hAnsi="Times New Roman" w:cs="Times New Roman"/>
          <w:color w:val="000000"/>
          <w:sz w:val="24"/>
          <w:szCs w:val="24"/>
          <w:lang w:val="lt-LT"/>
        </w:rPr>
        <w:t xml:space="preserve"> </w:t>
      </w:r>
      <w:r w:rsidR="0038288C" w:rsidRPr="00681A19">
        <w:rPr>
          <w:rFonts w:ascii="Times New Roman" w:hAnsi="Times New Roman" w:cs="Times New Roman"/>
          <w:color w:val="000000"/>
          <w:sz w:val="24"/>
          <w:szCs w:val="24"/>
          <w:lang w:val="lt-LT"/>
        </w:rPr>
        <w:t xml:space="preserve">pirmiausia </w:t>
      </w:r>
      <w:r w:rsidR="00CE5800" w:rsidRPr="00681A19">
        <w:rPr>
          <w:rFonts w:ascii="Times New Roman" w:hAnsi="Times New Roman" w:cs="Times New Roman"/>
          <w:color w:val="000000"/>
          <w:sz w:val="24"/>
          <w:szCs w:val="24"/>
          <w:lang w:val="lt-LT"/>
        </w:rPr>
        <w:t>savo profesinės sąjungos narių interesu</w:t>
      </w:r>
      <w:r w:rsidR="00B27910" w:rsidRPr="00681A19">
        <w:rPr>
          <w:rFonts w:ascii="Times New Roman" w:hAnsi="Times New Roman" w:cs="Times New Roman"/>
          <w:color w:val="000000"/>
          <w:sz w:val="24"/>
          <w:szCs w:val="24"/>
          <w:lang w:val="lt-LT"/>
        </w:rPr>
        <w:t>.</w:t>
      </w:r>
      <w:r w:rsidR="00E917E2" w:rsidRPr="00681A19">
        <w:rPr>
          <w:rFonts w:ascii="Times New Roman" w:hAnsi="Times New Roman" w:cs="Times New Roman"/>
          <w:color w:val="000000"/>
          <w:sz w:val="24"/>
          <w:szCs w:val="24"/>
          <w:lang w:val="lt-LT"/>
        </w:rPr>
        <w:t xml:space="preserve"> </w:t>
      </w:r>
      <w:r w:rsidR="00681A19" w:rsidRPr="00681A19">
        <w:rPr>
          <w:rFonts w:ascii="Times New Roman" w:hAnsi="Times New Roman" w:cs="Times New Roman"/>
          <w:color w:val="000000"/>
          <w:sz w:val="24"/>
          <w:szCs w:val="24"/>
          <w:lang w:val="lt-LT"/>
        </w:rPr>
        <w:t>Bendrasis v</w:t>
      </w:r>
      <w:r w:rsidR="009A0F27" w:rsidRPr="00681A19">
        <w:rPr>
          <w:rFonts w:ascii="Times New Roman" w:hAnsi="Times New Roman" w:cs="Times New Roman"/>
          <w:color w:val="000000"/>
          <w:sz w:val="24"/>
          <w:szCs w:val="24"/>
          <w:lang w:val="lt-LT"/>
        </w:rPr>
        <w:t>iešas</w:t>
      </w:r>
      <w:r w:rsidR="00D87B36">
        <w:rPr>
          <w:rFonts w:ascii="Times New Roman" w:hAnsi="Times New Roman" w:cs="Times New Roman"/>
          <w:color w:val="000000"/>
          <w:sz w:val="24"/>
          <w:szCs w:val="24"/>
          <w:lang w:val="lt-LT"/>
        </w:rPr>
        <w:t xml:space="preserve"> interesas, manytina, </w:t>
      </w:r>
      <w:r w:rsidR="0009435F">
        <w:rPr>
          <w:rFonts w:ascii="Times New Roman" w:hAnsi="Times New Roman" w:cs="Times New Roman"/>
          <w:color w:val="000000"/>
          <w:sz w:val="24"/>
          <w:szCs w:val="24"/>
          <w:lang w:val="lt-LT"/>
        </w:rPr>
        <w:t>implikuoja</w:t>
      </w:r>
      <w:r w:rsidR="00197076">
        <w:rPr>
          <w:rFonts w:ascii="Times New Roman" w:hAnsi="Times New Roman" w:cs="Times New Roman"/>
          <w:color w:val="000000"/>
          <w:sz w:val="24"/>
          <w:szCs w:val="24"/>
          <w:lang w:val="lt-LT"/>
        </w:rPr>
        <w:t xml:space="preserve"> </w:t>
      </w:r>
      <w:r w:rsidR="00143A89">
        <w:rPr>
          <w:rFonts w:ascii="Times New Roman" w:hAnsi="Times New Roman" w:cs="Times New Roman"/>
          <w:color w:val="000000"/>
          <w:sz w:val="24"/>
          <w:szCs w:val="24"/>
          <w:lang w:val="lt-LT"/>
        </w:rPr>
        <w:t>ne tik poreikį, kad</w:t>
      </w:r>
      <w:r w:rsidR="00143A89" w:rsidRPr="00983A41">
        <w:rPr>
          <w:rFonts w:ascii="Times New Roman" w:eastAsia="Times New Roman" w:hAnsi="Times New Roman" w:cs="Times New Roman"/>
          <w:sz w:val="24"/>
          <w:szCs w:val="24"/>
          <w:lang w:val="lt-LT"/>
        </w:rPr>
        <w:t xml:space="preserve"> notarų paslaugų įkaini</w:t>
      </w:r>
      <w:r w:rsidR="00143A89">
        <w:rPr>
          <w:rFonts w:ascii="Times New Roman" w:eastAsia="Times New Roman" w:hAnsi="Times New Roman" w:cs="Times New Roman"/>
          <w:sz w:val="24"/>
          <w:szCs w:val="24"/>
          <w:lang w:val="lt-LT"/>
        </w:rPr>
        <w:t>ai būtų</w:t>
      </w:r>
      <w:r w:rsidR="00143A89" w:rsidRPr="00983A41">
        <w:rPr>
          <w:rFonts w:ascii="Times New Roman" w:eastAsia="Times New Roman" w:hAnsi="Times New Roman" w:cs="Times New Roman"/>
          <w:sz w:val="24"/>
          <w:szCs w:val="24"/>
          <w:lang w:val="lt-LT"/>
        </w:rPr>
        <w:t xml:space="preserve"> aišk</w:t>
      </w:r>
      <w:r w:rsidR="00143A89">
        <w:rPr>
          <w:rFonts w:ascii="Times New Roman" w:eastAsia="Times New Roman" w:hAnsi="Times New Roman" w:cs="Times New Roman"/>
          <w:sz w:val="24"/>
          <w:szCs w:val="24"/>
          <w:lang w:val="lt-LT"/>
        </w:rPr>
        <w:t>ūs</w:t>
      </w:r>
      <w:r w:rsidR="00143A89" w:rsidRPr="00983A41">
        <w:rPr>
          <w:rFonts w:ascii="Times New Roman" w:eastAsia="Times New Roman" w:hAnsi="Times New Roman" w:cs="Times New Roman"/>
          <w:sz w:val="24"/>
          <w:szCs w:val="24"/>
          <w:lang w:val="lt-LT"/>
        </w:rPr>
        <w:t>, skaidr</w:t>
      </w:r>
      <w:r w:rsidR="00143A89">
        <w:rPr>
          <w:rFonts w:ascii="Times New Roman" w:eastAsia="Times New Roman" w:hAnsi="Times New Roman" w:cs="Times New Roman"/>
          <w:sz w:val="24"/>
          <w:szCs w:val="24"/>
          <w:lang w:val="lt-LT"/>
        </w:rPr>
        <w:t>ūs,</w:t>
      </w:r>
      <w:r w:rsidR="00143A89" w:rsidRPr="00983A41">
        <w:rPr>
          <w:rFonts w:ascii="Times New Roman" w:eastAsia="Times New Roman" w:hAnsi="Times New Roman" w:cs="Times New Roman"/>
          <w:sz w:val="24"/>
          <w:szCs w:val="24"/>
          <w:lang w:val="lt-LT"/>
        </w:rPr>
        <w:t xml:space="preserve"> </w:t>
      </w:r>
      <w:r w:rsidR="00143A89">
        <w:rPr>
          <w:rFonts w:ascii="Times New Roman" w:eastAsia="Times New Roman" w:hAnsi="Times New Roman" w:cs="Times New Roman"/>
          <w:sz w:val="24"/>
          <w:szCs w:val="24"/>
          <w:lang w:val="lt-LT"/>
        </w:rPr>
        <w:t xml:space="preserve">o </w:t>
      </w:r>
      <w:r w:rsidR="00143A89" w:rsidRPr="00983A41">
        <w:rPr>
          <w:rFonts w:ascii="Times New Roman" w:eastAsia="Times New Roman" w:hAnsi="Times New Roman" w:cs="Times New Roman"/>
          <w:sz w:val="24"/>
          <w:szCs w:val="24"/>
          <w:lang w:val="lt-LT"/>
        </w:rPr>
        <w:t>teisės akt</w:t>
      </w:r>
      <w:r w:rsidR="00143A89">
        <w:rPr>
          <w:rFonts w:ascii="Times New Roman" w:eastAsia="Times New Roman" w:hAnsi="Times New Roman" w:cs="Times New Roman"/>
          <w:sz w:val="24"/>
          <w:szCs w:val="24"/>
          <w:lang w:val="lt-LT"/>
        </w:rPr>
        <w:t>ai, kuriais jie nustatomi, vienodai taikomi visiems</w:t>
      </w:r>
      <w:r w:rsidR="00F52B1D">
        <w:rPr>
          <w:rFonts w:ascii="Times New Roman" w:eastAsia="Times New Roman" w:hAnsi="Times New Roman" w:cs="Times New Roman"/>
          <w:sz w:val="24"/>
          <w:szCs w:val="24"/>
          <w:lang w:val="lt-LT"/>
        </w:rPr>
        <w:t>, tačiau</w:t>
      </w:r>
      <w:r w:rsidR="00B84DDC">
        <w:rPr>
          <w:rFonts w:ascii="Times New Roman" w:eastAsia="Times New Roman" w:hAnsi="Times New Roman" w:cs="Times New Roman"/>
          <w:sz w:val="24"/>
          <w:szCs w:val="24"/>
          <w:lang w:val="lt-LT"/>
        </w:rPr>
        <w:t xml:space="preserve"> </w:t>
      </w:r>
      <w:r w:rsidR="00316057">
        <w:rPr>
          <w:rFonts w:ascii="Times New Roman" w:eastAsia="Times New Roman" w:hAnsi="Times New Roman" w:cs="Times New Roman"/>
          <w:sz w:val="24"/>
          <w:szCs w:val="24"/>
          <w:lang w:val="lt-LT"/>
        </w:rPr>
        <w:t xml:space="preserve">ir būtinybę tuos </w:t>
      </w:r>
      <w:r w:rsidR="00DB321B">
        <w:rPr>
          <w:rFonts w:ascii="Times New Roman" w:hAnsi="Times New Roman" w:cs="Times New Roman"/>
          <w:color w:val="000000"/>
          <w:sz w:val="24"/>
          <w:szCs w:val="24"/>
          <w:lang w:val="lt-LT"/>
        </w:rPr>
        <w:t>įkaini</w:t>
      </w:r>
      <w:r w:rsidR="00E22160">
        <w:rPr>
          <w:rFonts w:ascii="Times New Roman" w:hAnsi="Times New Roman" w:cs="Times New Roman"/>
          <w:color w:val="000000"/>
          <w:sz w:val="24"/>
          <w:szCs w:val="24"/>
          <w:lang w:val="lt-LT"/>
        </w:rPr>
        <w:t>us</w:t>
      </w:r>
      <w:r w:rsidR="0009435F" w:rsidRPr="006D4D4E">
        <w:rPr>
          <w:rFonts w:ascii="Times New Roman" w:hAnsi="Times New Roman" w:cs="Times New Roman"/>
          <w:color w:val="000000"/>
          <w:sz w:val="24"/>
          <w:szCs w:val="24"/>
          <w:lang w:val="lt-LT"/>
        </w:rPr>
        <w:t xml:space="preserve"> nustatyt</w:t>
      </w:r>
      <w:r w:rsidR="00DB321B">
        <w:rPr>
          <w:rFonts w:ascii="Times New Roman" w:hAnsi="Times New Roman" w:cs="Times New Roman"/>
          <w:color w:val="000000"/>
          <w:sz w:val="24"/>
          <w:szCs w:val="24"/>
          <w:lang w:val="lt-LT"/>
        </w:rPr>
        <w:t>i</w:t>
      </w:r>
      <w:r w:rsidR="00402527">
        <w:rPr>
          <w:rFonts w:ascii="Times New Roman" w:hAnsi="Times New Roman" w:cs="Times New Roman"/>
          <w:color w:val="000000"/>
          <w:sz w:val="24"/>
          <w:szCs w:val="24"/>
          <w:lang w:val="lt-LT"/>
        </w:rPr>
        <w:t xml:space="preserve"> </w:t>
      </w:r>
      <w:r w:rsidR="00402527">
        <w:rPr>
          <w:rFonts w:ascii="Times New Roman" w:hAnsi="Times New Roman" w:cs="Times New Roman"/>
          <w:color w:val="000000"/>
          <w:sz w:val="24"/>
          <w:szCs w:val="24"/>
          <w:lang w:val="lt-LT"/>
        </w:rPr>
        <w:lastRenderedPageBreak/>
        <w:t xml:space="preserve">taip, </w:t>
      </w:r>
      <w:r w:rsidR="00060053">
        <w:rPr>
          <w:rFonts w:ascii="Times New Roman" w:hAnsi="Times New Roman" w:cs="Times New Roman"/>
          <w:color w:val="000000"/>
          <w:sz w:val="24"/>
          <w:szCs w:val="24"/>
          <w:lang w:val="lt-LT"/>
        </w:rPr>
        <w:t>jog</w:t>
      </w:r>
      <w:r w:rsidR="00402527">
        <w:rPr>
          <w:rFonts w:ascii="Times New Roman" w:hAnsi="Times New Roman" w:cs="Times New Roman"/>
          <w:color w:val="000000"/>
          <w:sz w:val="24"/>
          <w:szCs w:val="24"/>
          <w:lang w:val="lt-LT"/>
        </w:rPr>
        <w:t xml:space="preserve"> </w:t>
      </w:r>
      <w:r w:rsidR="00E22160">
        <w:rPr>
          <w:rFonts w:ascii="Times New Roman" w:hAnsi="Times New Roman" w:cs="Times New Roman"/>
          <w:color w:val="000000"/>
          <w:sz w:val="24"/>
          <w:szCs w:val="24"/>
          <w:lang w:val="lt-LT"/>
        </w:rPr>
        <w:t>būtų</w:t>
      </w:r>
      <w:r w:rsidR="00ED670F">
        <w:rPr>
          <w:rFonts w:ascii="Times New Roman" w:hAnsi="Times New Roman" w:cs="Times New Roman"/>
          <w:color w:val="000000"/>
          <w:sz w:val="24"/>
          <w:szCs w:val="24"/>
          <w:lang w:val="lt-LT"/>
        </w:rPr>
        <w:t xml:space="preserve"> atspindėta s</w:t>
      </w:r>
      <w:r w:rsidR="00ED670F" w:rsidRPr="006D4D4E">
        <w:rPr>
          <w:rFonts w:ascii="Times New Roman" w:hAnsi="Times New Roman" w:cs="Times New Roman"/>
          <w:color w:val="000000"/>
          <w:sz w:val="24"/>
          <w:szCs w:val="24"/>
          <w:lang w:val="lt-LT"/>
        </w:rPr>
        <w:t>ąžiningo atlygio notarams ir paslaugų prieinamumo visuomenei</w:t>
      </w:r>
      <w:r w:rsidR="00ED670F">
        <w:rPr>
          <w:rFonts w:ascii="Times New Roman" w:hAnsi="Times New Roman" w:cs="Times New Roman"/>
          <w:color w:val="000000"/>
          <w:sz w:val="24"/>
          <w:szCs w:val="24"/>
          <w:lang w:val="lt-LT"/>
        </w:rPr>
        <w:t xml:space="preserve"> </w:t>
      </w:r>
      <w:r w:rsidR="0009435F" w:rsidRPr="006D4D4E">
        <w:rPr>
          <w:rFonts w:ascii="Times New Roman" w:hAnsi="Times New Roman" w:cs="Times New Roman"/>
          <w:color w:val="000000"/>
          <w:sz w:val="24"/>
          <w:szCs w:val="24"/>
          <w:lang w:val="lt-LT"/>
        </w:rPr>
        <w:t>pusiausvyr</w:t>
      </w:r>
      <w:r w:rsidR="00ED670F">
        <w:rPr>
          <w:rFonts w:ascii="Times New Roman" w:hAnsi="Times New Roman" w:cs="Times New Roman"/>
          <w:color w:val="000000"/>
          <w:sz w:val="24"/>
          <w:szCs w:val="24"/>
          <w:lang w:val="lt-LT"/>
        </w:rPr>
        <w:t>a</w:t>
      </w:r>
      <w:r w:rsidR="00FE62EB">
        <w:rPr>
          <w:rFonts w:ascii="Times New Roman" w:hAnsi="Times New Roman" w:cs="Times New Roman"/>
          <w:color w:val="000000"/>
          <w:sz w:val="24"/>
          <w:szCs w:val="24"/>
          <w:lang w:val="lt-LT"/>
        </w:rPr>
        <w:t>.</w:t>
      </w:r>
      <w:r w:rsidR="00E7511B">
        <w:rPr>
          <w:rFonts w:ascii="Times New Roman" w:eastAsia="Times New Roman" w:hAnsi="Times New Roman" w:cs="Times New Roman"/>
          <w:sz w:val="24"/>
          <w:szCs w:val="24"/>
          <w:lang w:val="lt-LT"/>
        </w:rPr>
        <w:t xml:space="preserve"> </w:t>
      </w:r>
      <w:r w:rsidR="00EC2C3B">
        <w:rPr>
          <w:rFonts w:ascii="Times New Roman" w:hAnsi="Times New Roman" w:cs="Times New Roman"/>
          <w:color w:val="000000"/>
          <w:sz w:val="24"/>
          <w:szCs w:val="24"/>
          <w:lang w:val="lt-LT"/>
        </w:rPr>
        <w:t>Tokiomis aplinkybėmis d</w:t>
      </w:r>
      <w:r w:rsidR="005D5FB7" w:rsidRPr="005D5FB7">
        <w:rPr>
          <w:rFonts w:ascii="Times New Roman" w:hAnsi="Times New Roman" w:cs="Times New Roman"/>
          <w:color w:val="000000"/>
          <w:sz w:val="24"/>
          <w:szCs w:val="24"/>
          <w:lang w:val="lt-LT"/>
        </w:rPr>
        <w:t xml:space="preserve">idžiausios galimos </w:t>
      </w:r>
      <w:r w:rsidR="00832CE8">
        <w:rPr>
          <w:rFonts w:ascii="Times New Roman" w:hAnsi="Times New Roman" w:cs="Times New Roman"/>
          <w:color w:val="000000"/>
          <w:sz w:val="24"/>
          <w:szCs w:val="24"/>
          <w:lang w:val="lt-LT"/>
        </w:rPr>
        <w:t xml:space="preserve">notarinės </w:t>
      </w:r>
      <w:r w:rsidR="005D5FB7" w:rsidRPr="005D5FB7">
        <w:rPr>
          <w:rFonts w:ascii="Times New Roman" w:hAnsi="Times New Roman" w:cs="Times New Roman"/>
          <w:color w:val="000000"/>
          <w:sz w:val="24"/>
          <w:szCs w:val="24"/>
          <w:lang w:val="lt-LT"/>
        </w:rPr>
        <w:t xml:space="preserve">paslaugos kainos nustatymas </w:t>
      </w:r>
      <w:r w:rsidR="008A4F2F">
        <w:rPr>
          <w:rFonts w:ascii="Times New Roman" w:hAnsi="Times New Roman" w:cs="Times New Roman"/>
          <w:color w:val="000000"/>
          <w:sz w:val="24"/>
          <w:szCs w:val="24"/>
          <w:lang w:val="lt-LT"/>
        </w:rPr>
        <w:t xml:space="preserve">(ypač atsižvelgiant į </w:t>
      </w:r>
      <w:r w:rsidR="00775DF4" w:rsidRPr="00775DF4">
        <w:rPr>
          <w:rFonts w:ascii="Times New Roman" w:hAnsi="Times New Roman" w:cs="Times New Roman"/>
          <w:color w:val="000000"/>
          <w:sz w:val="24"/>
          <w:szCs w:val="24"/>
          <w:lang w:val="lt-LT"/>
        </w:rPr>
        <w:t>įstatym</w:t>
      </w:r>
      <w:r w:rsidR="005E1E2A">
        <w:rPr>
          <w:rFonts w:ascii="Times New Roman" w:hAnsi="Times New Roman" w:cs="Times New Roman"/>
          <w:color w:val="000000"/>
          <w:sz w:val="24"/>
          <w:szCs w:val="24"/>
          <w:lang w:val="lt-LT"/>
        </w:rPr>
        <w:t>ų</w:t>
      </w:r>
      <w:r w:rsidR="00775DF4" w:rsidRPr="00775DF4">
        <w:rPr>
          <w:rFonts w:ascii="Times New Roman" w:hAnsi="Times New Roman" w:cs="Times New Roman"/>
          <w:color w:val="000000"/>
          <w:sz w:val="24"/>
          <w:szCs w:val="24"/>
          <w:lang w:val="lt-LT"/>
        </w:rPr>
        <w:t xml:space="preserve"> nustat</w:t>
      </w:r>
      <w:r w:rsidR="005E1E2A">
        <w:rPr>
          <w:rFonts w:ascii="Times New Roman" w:hAnsi="Times New Roman" w:cs="Times New Roman"/>
          <w:color w:val="000000"/>
          <w:sz w:val="24"/>
          <w:szCs w:val="24"/>
          <w:lang w:val="lt-LT"/>
        </w:rPr>
        <w:t>ytą</w:t>
      </w:r>
      <w:r w:rsidR="00775DF4" w:rsidRPr="00775DF4">
        <w:rPr>
          <w:rFonts w:ascii="Times New Roman" w:hAnsi="Times New Roman" w:cs="Times New Roman"/>
          <w:color w:val="000000"/>
          <w:sz w:val="24"/>
          <w:szCs w:val="24"/>
          <w:lang w:val="lt-LT"/>
        </w:rPr>
        <w:t xml:space="preserve"> privalomą notarinę </w:t>
      </w:r>
      <w:r w:rsidR="005E1E2A">
        <w:rPr>
          <w:rFonts w:ascii="Times New Roman" w:hAnsi="Times New Roman" w:cs="Times New Roman"/>
          <w:color w:val="000000"/>
          <w:sz w:val="24"/>
          <w:szCs w:val="24"/>
          <w:lang w:val="lt-LT"/>
        </w:rPr>
        <w:t xml:space="preserve">tam tikrų sandorių </w:t>
      </w:r>
      <w:r w:rsidR="00775DF4" w:rsidRPr="00775DF4">
        <w:rPr>
          <w:rFonts w:ascii="Times New Roman" w:hAnsi="Times New Roman" w:cs="Times New Roman"/>
          <w:color w:val="000000"/>
          <w:sz w:val="24"/>
          <w:szCs w:val="24"/>
          <w:lang w:val="lt-LT"/>
        </w:rPr>
        <w:t>formą</w:t>
      </w:r>
      <w:r w:rsidR="00EF0744">
        <w:rPr>
          <w:rFonts w:ascii="Times New Roman" w:hAnsi="Times New Roman" w:cs="Times New Roman"/>
          <w:color w:val="000000"/>
          <w:sz w:val="24"/>
          <w:szCs w:val="24"/>
          <w:lang w:val="lt-LT"/>
        </w:rPr>
        <w:t xml:space="preserve">) </w:t>
      </w:r>
      <w:r w:rsidR="005D5FB7" w:rsidRPr="005D5FB7">
        <w:rPr>
          <w:rFonts w:ascii="Times New Roman" w:hAnsi="Times New Roman" w:cs="Times New Roman"/>
          <w:color w:val="000000"/>
          <w:sz w:val="24"/>
          <w:szCs w:val="24"/>
          <w:lang w:val="lt-LT"/>
        </w:rPr>
        <w:t>kaip viešojo intereso naudos argumentas</w:t>
      </w:r>
      <w:r w:rsidR="006B19C3">
        <w:rPr>
          <w:rFonts w:ascii="Times New Roman" w:hAnsi="Times New Roman" w:cs="Times New Roman"/>
          <w:color w:val="000000"/>
          <w:sz w:val="24"/>
          <w:szCs w:val="24"/>
          <w:lang w:val="lt-LT"/>
        </w:rPr>
        <w:t>, išplėstinės teisėjų kolegijos vertinimu,</w:t>
      </w:r>
      <w:r w:rsidR="005D5FB7" w:rsidRPr="005D5FB7">
        <w:rPr>
          <w:rFonts w:ascii="Times New Roman" w:hAnsi="Times New Roman" w:cs="Times New Roman"/>
          <w:color w:val="000000"/>
          <w:sz w:val="24"/>
          <w:szCs w:val="24"/>
          <w:lang w:val="lt-LT"/>
        </w:rPr>
        <w:t xml:space="preserve"> nėra teisingas nei </w:t>
      </w:r>
      <w:r w:rsidR="00F36FED" w:rsidRPr="005D5FB7">
        <w:rPr>
          <w:rFonts w:ascii="Times New Roman" w:hAnsi="Times New Roman" w:cs="Times New Roman"/>
          <w:color w:val="000000"/>
          <w:sz w:val="24"/>
          <w:szCs w:val="24"/>
          <w:lang w:val="lt-LT"/>
        </w:rPr>
        <w:t>soci</w:t>
      </w:r>
      <w:r w:rsidR="00EA17C1">
        <w:rPr>
          <w:rFonts w:ascii="Times New Roman" w:hAnsi="Times New Roman" w:cs="Times New Roman"/>
          <w:color w:val="000000"/>
          <w:sz w:val="24"/>
          <w:szCs w:val="24"/>
          <w:lang w:val="lt-LT"/>
        </w:rPr>
        <w:t>aliniu</w:t>
      </w:r>
      <w:r w:rsidR="00F36FED" w:rsidRPr="005D5FB7">
        <w:rPr>
          <w:rFonts w:ascii="Times New Roman" w:hAnsi="Times New Roman" w:cs="Times New Roman"/>
          <w:color w:val="000000"/>
          <w:sz w:val="24"/>
          <w:szCs w:val="24"/>
          <w:lang w:val="lt-LT"/>
        </w:rPr>
        <w:t xml:space="preserve">, </w:t>
      </w:r>
      <w:r w:rsidR="00F36FED">
        <w:rPr>
          <w:rFonts w:ascii="Times New Roman" w:hAnsi="Times New Roman" w:cs="Times New Roman"/>
          <w:color w:val="000000"/>
          <w:sz w:val="24"/>
          <w:szCs w:val="24"/>
          <w:lang w:val="lt-LT"/>
        </w:rPr>
        <w:t>nei</w:t>
      </w:r>
      <w:r w:rsidR="00F36FED" w:rsidRPr="005D5FB7">
        <w:rPr>
          <w:rFonts w:ascii="Times New Roman" w:hAnsi="Times New Roman" w:cs="Times New Roman"/>
          <w:color w:val="000000"/>
          <w:sz w:val="24"/>
          <w:szCs w:val="24"/>
          <w:lang w:val="lt-LT"/>
        </w:rPr>
        <w:t xml:space="preserve"> </w:t>
      </w:r>
      <w:r w:rsidR="00782284" w:rsidRPr="005D5FB7">
        <w:rPr>
          <w:rFonts w:ascii="Times New Roman" w:hAnsi="Times New Roman" w:cs="Times New Roman"/>
          <w:color w:val="000000"/>
          <w:sz w:val="24"/>
          <w:szCs w:val="24"/>
          <w:lang w:val="lt-LT"/>
        </w:rPr>
        <w:t>teisiniu</w:t>
      </w:r>
      <w:r w:rsidR="005D5FB7" w:rsidRPr="005D5FB7">
        <w:rPr>
          <w:rFonts w:ascii="Times New Roman" w:hAnsi="Times New Roman" w:cs="Times New Roman"/>
          <w:color w:val="000000"/>
          <w:sz w:val="24"/>
          <w:szCs w:val="24"/>
          <w:lang w:val="lt-LT"/>
        </w:rPr>
        <w:t xml:space="preserve"> požiūriu</w:t>
      </w:r>
      <w:r w:rsidR="00D977E6">
        <w:rPr>
          <w:rFonts w:ascii="Times New Roman" w:hAnsi="Times New Roman" w:cs="Times New Roman"/>
          <w:color w:val="000000"/>
          <w:sz w:val="24"/>
          <w:szCs w:val="24"/>
          <w:lang w:val="lt-LT"/>
        </w:rPr>
        <w:t xml:space="preserve">. </w:t>
      </w:r>
    </w:p>
    <w:p w14:paraId="1B897BB2" w14:textId="28987FA8" w:rsidR="00F47BC3" w:rsidRPr="00F97F64" w:rsidRDefault="007E3D65" w:rsidP="00BA63D8">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hAnsi="Times New Roman" w:cs="Times New Roman"/>
          <w:color w:val="000000"/>
          <w:sz w:val="24"/>
          <w:szCs w:val="24"/>
          <w:lang w:val="lt-LT"/>
        </w:rPr>
        <w:t xml:space="preserve"> </w:t>
      </w:r>
      <w:r w:rsidR="00073B87">
        <w:rPr>
          <w:rFonts w:ascii="Times New Roman" w:hAnsi="Times New Roman" w:cs="Times New Roman"/>
          <w:color w:val="000000"/>
          <w:sz w:val="24"/>
          <w:szCs w:val="24"/>
          <w:lang w:val="lt-LT"/>
        </w:rPr>
        <w:t xml:space="preserve">Be to, </w:t>
      </w:r>
      <w:r w:rsidR="00073B87" w:rsidRPr="00073B87">
        <w:rPr>
          <w:rFonts w:ascii="Times New Roman" w:hAnsi="Times New Roman" w:cs="Times New Roman"/>
          <w:color w:val="000000"/>
          <w:sz w:val="24"/>
          <w:szCs w:val="24"/>
          <w:lang w:val="lt-LT"/>
        </w:rPr>
        <w:t>aptart</w:t>
      </w:r>
      <w:r w:rsidR="00B52ACD">
        <w:rPr>
          <w:rFonts w:ascii="Times New Roman" w:hAnsi="Times New Roman" w:cs="Times New Roman"/>
          <w:color w:val="000000"/>
          <w:sz w:val="24"/>
          <w:szCs w:val="24"/>
          <w:lang w:val="lt-LT"/>
        </w:rPr>
        <w:t>as teisinis</w:t>
      </w:r>
      <w:r w:rsidR="00073B87" w:rsidRPr="00073B87">
        <w:rPr>
          <w:rFonts w:ascii="Times New Roman" w:hAnsi="Times New Roman" w:cs="Times New Roman"/>
          <w:color w:val="000000"/>
          <w:sz w:val="24"/>
          <w:szCs w:val="24"/>
          <w:lang w:val="lt-LT"/>
        </w:rPr>
        <w:t xml:space="preserve"> reguliavim</w:t>
      </w:r>
      <w:r w:rsidR="00B52ACD">
        <w:rPr>
          <w:rFonts w:ascii="Times New Roman" w:hAnsi="Times New Roman" w:cs="Times New Roman"/>
          <w:color w:val="000000"/>
          <w:sz w:val="24"/>
          <w:szCs w:val="24"/>
          <w:lang w:val="lt-LT"/>
        </w:rPr>
        <w:t>as</w:t>
      </w:r>
      <w:r w:rsidR="00073B87" w:rsidRPr="00073B87">
        <w:rPr>
          <w:rFonts w:ascii="Times New Roman" w:hAnsi="Times New Roman" w:cs="Times New Roman"/>
          <w:color w:val="000000"/>
          <w:sz w:val="24"/>
          <w:szCs w:val="24"/>
          <w:lang w:val="lt-LT"/>
        </w:rPr>
        <w:t xml:space="preserve"> išplėstin</w:t>
      </w:r>
      <w:r w:rsidR="00B52ACD">
        <w:rPr>
          <w:rFonts w:ascii="Times New Roman" w:hAnsi="Times New Roman" w:cs="Times New Roman"/>
          <w:color w:val="000000"/>
          <w:sz w:val="24"/>
          <w:szCs w:val="24"/>
          <w:lang w:val="lt-LT"/>
        </w:rPr>
        <w:t>ei</w:t>
      </w:r>
      <w:r w:rsidR="00073B87" w:rsidRPr="00073B87">
        <w:rPr>
          <w:rFonts w:ascii="Times New Roman" w:hAnsi="Times New Roman" w:cs="Times New Roman"/>
          <w:color w:val="000000"/>
          <w:sz w:val="24"/>
          <w:szCs w:val="24"/>
          <w:lang w:val="lt-LT"/>
        </w:rPr>
        <w:t xml:space="preserve"> teisėjų kolegija</w:t>
      </w:r>
      <w:r w:rsidR="00B52ACD">
        <w:rPr>
          <w:rFonts w:ascii="Times New Roman" w:hAnsi="Times New Roman" w:cs="Times New Roman"/>
          <w:color w:val="000000"/>
          <w:sz w:val="24"/>
          <w:szCs w:val="24"/>
          <w:lang w:val="lt-LT"/>
        </w:rPr>
        <w:t>i nesuteikia</w:t>
      </w:r>
      <w:r w:rsidR="00073B87" w:rsidRPr="00073B87">
        <w:rPr>
          <w:rFonts w:ascii="Times New Roman" w:hAnsi="Times New Roman" w:cs="Times New Roman"/>
          <w:color w:val="000000"/>
          <w:sz w:val="24"/>
          <w:szCs w:val="24"/>
          <w:lang w:val="lt-LT"/>
        </w:rPr>
        <w:t xml:space="preserve"> pagrindo pagrįstai</w:t>
      </w:r>
      <w:r w:rsidR="00B52ACD">
        <w:rPr>
          <w:rFonts w:ascii="Times New Roman" w:hAnsi="Times New Roman" w:cs="Times New Roman"/>
          <w:color w:val="000000"/>
          <w:sz w:val="24"/>
          <w:szCs w:val="24"/>
          <w:lang w:val="lt-LT"/>
        </w:rPr>
        <w:t xml:space="preserve"> spręsti</w:t>
      </w:r>
      <w:r w:rsidR="00073B87" w:rsidRPr="00073B87">
        <w:rPr>
          <w:rFonts w:ascii="Times New Roman" w:hAnsi="Times New Roman" w:cs="Times New Roman"/>
          <w:color w:val="000000"/>
          <w:sz w:val="24"/>
          <w:szCs w:val="24"/>
          <w:lang w:val="lt-LT"/>
        </w:rPr>
        <w:t>, kad Notarų rūm</w:t>
      </w:r>
      <w:r w:rsidR="00232A5F">
        <w:rPr>
          <w:rFonts w:ascii="Times New Roman" w:hAnsi="Times New Roman" w:cs="Times New Roman"/>
          <w:color w:val="000000"/>
          <w:sz w:val="24"/>
          <w:szCs w:val="24"/>
          <w:lang w:val="lt-LT"/>
        </w:rPr>
        <w:t>ų</w:t>
      </w:r>
      <w:r w:rsidR="00073B87" w:rsidRPr="00073B87">
        <w:rPr>
          <w:rFonts w:ascii="Times New Roman" w:hAnsi="Times New Roman" w:cs="Times New Roman"/>
          <w:color w:val="000000"/>
          <w:sz w:val="24"/>
          <w:szCs w:val="24"/>
          <w:lang w:val="lt-LT"/>
        </w:rPr>
        <w:t xml:space="preserve"> ir jų Prezidium</w:t>
      </w:r>
      <w:r w:rsidR="00880797">
        <w:rPr>
          <w:rFonts w:ascii="Times New Roman" w:hAnsi="Times New Roman" w:cs="Times New Roman"/>
          <w:color w:val="000000"/>
          <w:sz w:val="24"/>
          <w:szCs w:val="24"/>
          <w:lang w:val="lt-LT"/>
        </w:rPr>
        <w:t>o veikl</w:t>
      </w:r>
      <w:r w:rsidR="00DF1E7F">
        <w:rPr>
          <w:rFonts w:ascii="Times New Roman" w:hAnsi="Times New Roman" w:cs="Times New Roman"/>
          <w:color w:val="000000"/>
          <w:sz w:val="24"/>
          <w:szCs w:val="24"/>
          <w:lang w:val="lt-LT"/>
        </w:rPr>
        <w:t>a</w:t>
      </w:r>
      <w:r w:rsidR="00073B87" w:rsidRPr="00073B87">
        <w:rPr>
          <w:rFonts w:ascii="Times New Roman" w:hAnsi="Times New Roman" w:cs="Times New Roman"/>
          <w:color w:val="000000"/>
          <w:sz w:val="24"/>
          <w:szCs w:val="24"/>
          <w:lang w:val="lt-LT"/>
        </w:rPr>
        <w:t xml:space="preserve"> </w:t>
      </w:r>
      <w:r w:rsidR="00F10932">
        <w:rPr>
          <w:rFonts w:ascii="Times New Roman" w:hAnsi="Times New Roman" w:cs="Times New Roman"/>
          <w:color w:val="000000"/>
          <w:sz w:val="24"/>
          <w:szCs w:val="24"/>
          <w:lang w:val="lt-LT"/>
        </w:rPr>
        <w:t xml:space="preserve">laikytina </w:t>
      </w:r>
      <w:r w:rsidR="00073B87" w:rsidRPr="00073B87">
        <w:rPr>
          <w:rFonts w:ascii="Times New Roman" w:hAnsi="Times New Roman" w:cs="Times New Roman"/>
          <w:color w:val="000000"/>
          <w:sz w:val="24"/>
          <w:szCs w:val="24"/>
          <w:lang w:val="lt-LT"/>
        </w:rPr>
        <w:t>veiksmingai kontroliuoja</w:t>
      </w:r>
      <w:r w:rsidR="00F10932">
        <w:rPr>
          <w:rFonts w:ascii="Times New Roman" w:hAnsi="Times New Roman" w:cs="Times New Roman"/>
          <w:color w:val="000000"/>
          <w:sz w:val="24"/>
          <w:szCs w:val="24"/>
          <w:lang w:val="lt-LT"/>
        </w:rPr>
        <w:t>ma</w:t>
      </w:r>
      <w:r w:rsidR="00073B87" w:rsidRPr="00073B87">
        <w:rPr>
          <w:rFonts w:ascii="Times New Roman" w:hAnsi="Times New Roman" w:cs="Times New Roman"/>
          <w:color w:val="000000"/>
          <w:sz w:val="24"/>
          <w:szCs w:val="24"/>
          <w:lang w:val="lt-LT"/>
        </w:rPr>
        <w:t xml:space="preserve"> valstybė</w:t>
      </w:r>
      <w:r w:rsidR="00F10932">
        <w:rPr>
          <w:rFonts w:ascii="Times New Roman" w:hAnsi="Times New Roman" w:cs="Times New Roman"/>
          <w:color w:val="000000"/>
          <w:sz w:val="24"/>
          <w:szCs w:val="24"/>
          <w:lang w:val="lt-LT"/>
        </w:rPr>
        <w:t>s</w:t>
      </w:r>
      <w:r w:rsidR="00073B87" w:rsidRPr="00073B87">
        <w:rPr>
          <w:rFonts w:ascii="Times New Roman" w:hAnsi="Times New Roman" w:cs="Times New Roman"/>
          <w:color w:val="000000"/>
          <w:sz w:val="24"/>
          <w:szCs w:val="24"/>
          <w:lang w:val="lt-LT"/>
        </w:rPr>
        <w:t xml:space="preserve">. </w:t>
      </w:r>
      <w:r w:rsidR="004E0643">
        <w:rPr>
          <w:rFonts w:ascii="Times New Roman" w:hAnsi="Times New Roman" w:cs="Times New Roman"/>
          <w:color w:val="000000"/>
          <w:sz w:val="24"/>
          <w:szCs w:val="24"/>
          <w:lang w:val="lt-LT"/>
        </w:rPr>
        <w:t>Ši</w:t>
      </w:r>
      <w:r w:rsidR="00AC33C5">
        <w:rPr>
          <w:rFonts w:ascii="Times New Roman" w:hAnsi="Times New Roman" w:cs="Times New Roman"/>
          <w:color w:val="000000"/>
          <w:sz w:val="24"/>
          <w:szCs w:val="24"/>
          <w:lang w:val="lt-LT"/>
        </w:rPr>
        <w:t>ame kontekste</w:t>
      </w:r>
      <w:r w:rsidR="004E0643">
        <w:rPr>
          <w:rFonts w:ascii="Times New Roman" w:hAnsi="Times New Roman" w:cs="Times New Roman"/>
          <w:color w:val="000000"/>
          <w:sz w:val="24"/>
          <w:szCs w:val="24"/>
          <w:lang w:val="lt-LT"/>
        </w:rPr>
        <w:t xml:space="preserve"> svarbus ne pats </w:t>
      </w:r>
      <w:r w:rsidR="00E65DA5">
        <w:rPr>
          <w:rFonts w:ascii="Times New Roman" w:hAnsi="Times New Roman" w:cs="Times New Roman"/>
          <w:color w:val="000000"/>
          <w:sz w:val="24"/>
          <w:szCs w:val="24"/>
          <w:lang w:val="lt-LT"/>
        </w:rPr>
        <w:t xml:space="preserve">notarų ir Notarų rūmų veiklos </w:t>
      </w:r>
      <w:r w:rsidR="00F81C7F">
        <w:rPr>
          <w:rFonts w:ascii="Times New Roman" w:hAnsi="Times New Roman" w:cs="Times New Roman"/>
          <w:color w:val="000000"/>
          <w:sz w:val="24"/>
          <w:szCs w:val="24"/>
          <w:lang w:val="lt-LT"/>
        </w:rPr>
        <w:t>į</w:t>
      </w:r>
      <w:r w:rsidR="00F5555E">
        <w:rPr>
          <w:rFonts w:ascii="Times New Roman" w:hAnsi="Times New Roman" w:cs="Times New Roman"/>
          <w:color w:val="000000"/>
          <w:sz w:val="24"/>
          <w:szCs w:val="24"/>
          <w:lang w:val="lt-LT"/>
        </w:rPr>
        <w:t xml:space="preserve">vairių aspektų </w:t>
      </w:r>
      <w:r w:rsidR="00F81C7F">
        <w:rPr>
          <w:rFonts w:ascii="Times New Roman" w:hAnsi="Times New Roman" w:cs="Times New Roman"/>
          <w:color w:val="000000"/>
          <w:sz w:val="24"/>
          <w:szCs w:val="24"/>
          <w:lang w:val="lt-LT"/>
        </w:rPr>
        <w:t>teisinio reguliavimo</w:t>
      </w:r>
      <w:r w:rsidR="0080475B">
        <w:rPr>
          <w:rFonts w:ascii="Times New Roman" w:hAnsi="Times New Roman" w:cs="Times New Roman"/>
          <w:color w:val="000000"/>
          <w:sz w:val="24"/>
          <w:szCs w:val="24"/>
          <w:lang w:val="lt-LT"/>
        </w:rPr>
        <w:t xml:space="preserve"> </w:t>
      </w:r>
      <w:proofErr w:type="spellStart"/>
      <w:r w:rsidR="006730AF">
        <w:rPr>
          <w:rFonts w:ascii="Times New Roman" w:hAnsi="Times New Roman" w:cs="Times New Roman"/>
          <w:color w:val="000000"/>
          <w:sz w:val="24"/>
          <w:szCs w:val="24"/>
          <w:lang w:val="lt-LT"/>
        </w:rPr>
        <w:t>ekstensyvum</w:t>
      </w:r>
      <w:r w:rsidR="0025136E">
        <w:rPr>
          <w:rFonts w:ascii="Times New Roman" w:hAnsi="Times New Roman" w:cs="Times New Roman"/>
          <w:color w:val="000000"/>
          <w:sz w:val="24"/>
          <w:szCs w:val="24"/>
          <w:lang w:val="lt-LT"/>
        </w:rPr>
        <w:t>as</w:t>
      </w:r>
      <w:proofErr w:type="spellEnd"/>
      <w:r w:rsidR="001566F4">
        <w:rPr>
          <w:rFonts w:ascii="Times New Roman" w:hAnsi="Times New Roman" w:cs="Times New Roman"/>
          <w:color w:val="000000"/>
          <w:sz w:val="24"/>
          <w:szCs w:val="24"/>
          <w:lang w:val="lt-LT"/>
        </w:rPr>
        <w:t xml:space="preserve"> </w:t>
      </w:r>
      <w:r w:rsidR="001566F4" w:rsidRPr="001566F4">
        <w:rPr>
          <w:rFonts w:ascii="Times New Roman" w:hAnsi="Times New Roman" w:cs="Times New Roman"/>
          <w:i/>
          <w:iCs/>
          <w:color w:val="000000"/>
          <w:sz w:val="24"/>
          <w:szCs w:val="24"/>
          <w:lang w:val="lt-LT"/>
        </w:rPr>
        <w:t xml:space="preserve">per </w:t>
      </w:r>
      <w:proofErr w:type="spellStart"/>
      <w:r w:rsidR="001566F4" w:rsidRPr="001566F4">
        <w:rPr>
          <w:rFonts w:ascii="Times New Roman" w:hAnsi="Times New Roman" w:cs="Times New Roman"/>
          <w:i/>
          <w:iCs/>
          <w:color w:val="000000"/>
          <w:sz w:val="24"/>
          <w:szCs w:val="24"/>
          <w:lang w:val="lt-LT"/>
        </w:rPr>
        <w:t>se</w:t>
      </w:r>
      <w:proofErr w:type="spellEnd"/>
      <w:r w:rsidR="00F5555E">
        <w:rPr>
          <w:rFonts w:ascii="Times New Roman" w:hAnsi="Times New Roman" w:cs="Times New Roman"/>
          <w:color w:val="000000"/>
          <w:sz w:val="24"/>
          <w:szCs w:val="24"/>
          <w:lang w:val="lt-LT"/>
        </w:rPr>
        <w:t xml:space="preserve">, </w:t>
      </w:r>
      <w:r w:rsidR="006730AF">
        <w:rPr>
          <w:rFonts w:ascii="Times New Roman" w:hAnsi="Times New Roman" w:cs="Times New Roman"/>
          <w:color w:val="000000"/>
          <w:sz w:val="24"/>
          <w:szCs w:val="24"/>
          <w:lang w:val="lt-LT"/>
        </w:rPr>
        <w:t xml:space="preserve">tačiau </w:t>
      </w:r>
      <w:r w:rsidR="00A35CF8">
        <w:rPr>
          <w:rFonts w:ascii="Times New Roman" w:hAnsi="Times New Roman" w:cs="Times New Roman"/>
          <w:color w:val="000000"/>
          <w:sz w:val="24"/>
          <w:szCs w:val="24"/>
          <w:lang w:val="lt-LT"/>
        </w:rPr>
        <w:t>nagrinėjamos</w:t>
      </w:r>
      <w:r w:rsidR="00207AC7">
        <w:rPr>
          <w:rFonts w:ascii="Times New Roman" w:hAnsi="Times New Roman" w:cs="Times New Roman"/>
          <w:color w:val="000000"/>
          <w:sz w:val="24"/>
          <w:szCs w:val="24"/>
          <w:lang w:val="lt-LT"/>
        </w:rPr>
        <w:t xml:space="preserve"> konkrečios profesijo</w:t>
      </w:r>
      <w:r w:rsidR="00DF1E7F">
        <w:rPr>
          <w:rFonts w:ascii="Times New Roman" w:hAnsi="Times New Roman" w:cs="Times New Roman"/>
          <w:color w:val="000000"/>
          <w:sz w:val="24"/>
          <w:szCs w:val="24"/>
          <w:lang w:val="lt-LT"/>
        </w:rPr>
        <w:t>s atstovų</w:t>
      </w:r>
      <w:r w:rsidR="00A35CF8" w:rsidRPr="00A35CF8">
        <w:rPr>
          <w:rFonts w:ascii="Times New Roman" w:hAnsi="Times New Roman" w:cs="Times New Roman"/>
          <w:color w:val="000000"/>
          <w:sz w:val="24"/>
          <w:szCs w:val="24"/>
          <w:lang w:val="lt-LT"/>
        </w:rPr>
        <w:t xml:space="preserve"> savivaldos institucij</w:t>
      </w:r>
      <w:r w:rsidR="001F16A8">
        <w:rPr>
          <w:rFonts w:ascii="Times New Roman" w:hAnsi="Times New Roman" w:cs="Times New Roman"/>
          <w:color w:val="000000"/>
          <w:sz w:val="24"/>
          <w:szCs w:val="24"/>
          <w:lang w:val="lt-LT"/>
        </w:rPr>
        <w:t>os</w:t>
      </w:r>
      <w:r w:rsidR="00A35CF8" w:rsidRPr="00A35CF8">
        <w:rPr>
          <w:rFonts w:ascii="Times New Roman" w:hAnsi="Times New Roman" w:cs="Times New Roman"/>
          <w:color w:val="000000"/>
          <w:sz w:val="24"/>
          <w:szCs w:val="24"/>
          <w:lang w:val="lt-LT"/>
        </w:rPr>
        <w:t xml:space="preserve"> </w:t>
      </w:r>
      <w:r w:rsidR="00DE0EA5">
        <w:rPr>
          <w:rFonts w:ascii="Times New Roman" w:hAnsi="Times New Roman" w:cs="Times New Roman"/>
          <w:color w:val="000000"/>
          <w:sz w:val="24"/>
          <w:szCs w:val="24"/>
          <w:lang w:val="lt-LT"/>
        </w:rPr>
        <w:t>subordinacini</w:t>
      </w:r>
      <w:r w:rsidR="00DD51F4">
        <w:rPr>
          <w:rFonts w:ascii="Times New Roman" w:hAnsi="Times New Roman" w:cs="Times New Roman"/>
          <w:color w:val="000000"/>
          <w:sz w:val="24"/>
          <w:szCs w:val="24"/>
          <w:lang w:val="lt-LT"/>
        </w:rPr>
        <w:t>o</w:t>
      </w:r>
      <w:r w:rsidR="00DE0EA5">
        <w:rPr>
          <w:rFonts w:ascii="Times New Roman" w:hAnsi="Times New Roman" w:cs="Times New Roman"/>
          <w:color w:val="000000"/>
          <w:sz w:val="24"/>
          <w:szCs w:val="24"/>
          <w:lang w:val="lt-LT"/>
        </w:rPr>
        <w:t xml:space="preserve"> santyki</w:t>
      </w:r>
      <w:r w:rsidR="00DD51F4">
        <w:rPr>
          <w:rFonts w:ascii="Times New Roman" w:hAnsi="Times New Roman" w:cs="Times New Roman"/>
          <w:color w:val="000000"/>
          <w:sz w:val="24"/>
          <w:szCs w:val="24"/>
          <w:lang w:val="lt-LT"/>
        </w:rPr>
        <w:t xml:space="preserve">o su </w:t>
      </w:r>
      <w:r w:rsidR="001F16A8">
        <w:rPr>
          <w:rFonts w:ascii="Times New Roman" w:hAnsi="Times New Roman" w:cs="Times New Roman"/>
          <w:color w:val="000000"/>
          <w:sz w:val="24"/>
          <w:szCs w:val="24"/>
          <w:lang w:val="lt-LT"/>
        </w:rPr>
        <w:t xml:space="preserve">kompetentinga </w:t>
      </w:r>
      <w:r w:rsidR="00DD51F4">
        <w:rPr>
          <w:rFonts w:ascii="Times New Roman" w:hAnsi="Times New Roman" w:cs="Times New Roman"/>
          <w:color w:val="000000"/>
          <w:sz w:val="24"/>
          <w:szCs w:val="24"/>
          <w:lang w:val="lt-LT"/>
        </w:rPr>
        <w:t xml:space="preserve">kontroliuojančia </w:t>
      </w:r>
      <w:r w:rsidR="00FF1F27">
        <w:rPr>
          <w:rFonts w:ascii="Times New Roman" w:hAnsi="Times New Roman" w:cs="Times New Roman"/>
          <w:color w:val="000000"/>
          <w:sz w:val="24"/>
          <w:szCs w:val="24"/>
          <w:lang w:val="lt-LT"/>
        </w:rPr>
        <w:t xml:space="preserve">valdžios </w:t>
      </w:r>
      <w:r w:rsidR="00DD51F4">
        <w:rPr>
          <w:rFonts w:ascii="Times New Roman" w:hAnsi="Times New Roman" w:cs="Times New Roman"/>
          <w:color w:val="000000"/>
          <w:sz w:val="24"/>
          <w:szCs w:val="24"/>
          <w:lang w:val="lt-LT"/>
        </w:rPr>
        <w:t>institucija</w:t>
      </w:r>
      <w:r w:rsidR="008E0B37">
        <w:rPr>
          <w:rFonts w:ascii="Times New Roman" w:hAnsi="Times New Roman" w:cs="Times New Roman"/>
          <w:color w:val="000000"/>
          <w:sz w:val="24"/>
          <w:szCs w:val="24"/>
          <w:lang w:val="lt-LT"/>
        </w:rPr>
        <w:t xml:space="preserve"> aspektas.</w:t>
      </w:r>
      <w:r w:rsidR="00DD51F4">
        <w:rPr>
          <w:rFonts w:ascii="Times New Roman" w:hAnsi="Times New Roman" w:cs="Times New Roman"/>
          <w:color w:val="000000"/>
          <w:sz w:val="24"/>
          <w:szCs w:val="24"/>
          <w:lang w:val="lt-LT"/>
        </w:rPr>
        <w:t xml:space="preserve"> </w:t>
      </w:r>
      <w:r w:rsidR="00480FAE">
        <w:rPr>
          <w:rFonts w:ascii="Times New Roman" w:hAnsi="Times New Roman" w:cs="Times New Roman"/>
          <w:color w:val="000000"/>
          <w:sz w:val="24"/>
          <w:szCs w:val="24"/>
          <w:lang w:val="lt-LT"/>
        </w:rPr>
        <w:t xml:space="preserve">Aktualų </w:t>
      </w:r>
      <w:r w:rsidR="0096130D">
        <w:rPr>
          <w:rFonts w:ascii="Times New Roman" w:hAnsi="Times New Roman" w:cs="Times New Roman"/>
          <w:color w:val="000000"/>
          <w:sz w:val="24"/>
          <w:szCs w:val="24"/>
          <w:lang w:val="lt-LT"/>
        </w:rPr>
        <w:t>reglamentavimą</w:t>
      </w:r>
      <w:r w:rsidR="00DE4F7D">
        <w:rPr>
          <w:rFonts w:ascii="Times New Roman" w:hAnsi="Times New Roman" w:cs="Times New Roman"/>
          <w:color w:val="000000"/>
          <w:sz w:val="24"/>
          <w:szCs w:val="24"/>
          <w:lang w:val="lt-LT"/>
        </w:rPr>
        <w:t xml:space="preserve"> (</w:t>
      </w:r>
      <w:proofErr w:type="spellStart"/>
      <w:r w:rsidR="00C67A9C" w:rsidRPr="00C67A9C">
        <w:rPr>
          <w:rFonts w:ascii="Times New Roman" w:hAnsi="Times New Roman" w:cs="Times New Roman"/>
          <w:i/>
          <w:iCs/>
          <w:color w:val="000000"/>
          <w:sz w:val="24"/>
          <w:szCs w:val="24"/>
          <w:lang w:val="lt-LT"/>
        </w:rPr>
        <w:t>inter</w:t>
      </w:r>
      <w:proofErr w:type="spellEnd"/>
      <w:r w:rsidR="00C67A9C" w:rsidRPr="00C67A9C">
        <w:rPr>
          <w:rFonts w:ascii="Times New Roman" w:hAnsi="Times New Roman" w:cs="Times New Roman"/>
          <w:i/>
          <w:iCs/>
          <w:color w:val="000000"/>
          <w:sz w:val="24"/>
          <w:szCs w:val="24"/>
          <w:lang w:val="lt-LT"/>
        </w:rPr>
        <w:t xml:space="preserve"> alia</w:t>
      </w:r>
      <w:r w:rsidR="00C67A9C">
        <w:rPr>
          <w:rFonts w:ascii="Times New Roman" w:hAnsi="Times New Roman" w:cs="Times New Roman"/>
          <w:color w:val="000000"/>
          <w:sz w:val="24"/>
          <w:szCs w:val="24"/>
          <w:lang w:val="lt-LT"/>
        </w:rPr>
        <w:t xml:space="preserve"> </w:t>
      </w:r>
      <w:r w:rsidR="00DE4F7D" w:rsidRPr="00F10932">
        <w:rPr>
          <w:rFonts w:ascii="Times New Roman" w:eastAsia="Times New Roman" w:hAnsi="Times New Roman" w:cs="Times New Roman"/>
          <w:sz w:val="24"/>
          <w:szCs w:val="24"/>
          <w:lang w:val="lt-LT"/>
        </w:rPr>
        <w:t>Notariato įstatymo 7 ir 11 str</w:t>
      </w:r>
      <w:r w:rsidR="00DE4F7D">
        <w:rPr>
          <w:rFonts w:ascii="Times New Roman" w:eastAsia="Times New Roman" w:hAnsi="Times New Roman" w:cs="Times New Roman"/>
          <w:sz w:val="24"/>
          <w:szCs w:val="24"/>
          <w:lang w:val="lt-LT"/>
        </w:rPr>
        <w:t xml:space="preserve">., </w:t>
      </w:r>
      <w:r w:rsidR="00DE4F7D" w:rsidRPr="00F10932">
        <w:rPr>
          <w:rFonts w:ascii="Times New Roman" w:eastAsia="Times New Roman" w:hAnsi="Times New Roman" w:cs="Times New Roman"/>
          <w:sz w:val="24"/>
          <w:szCs w:val="24"/>
          <w:lang w:val="lt-LT"/>
        </w:rPr>
        <w:t>Statuto 6 str</w:t>
      </w:r>
      <w:r w:rsidR="00DE4F7D">
        <w:rPr>
          <w:rFonts w:ascii="Times New Roman" w:eastAsia="Times New Roman" w:hAnsi="Times New Roman" w:cs="Times New Roman"/>
          <w:sz w:val="24"/>
          <w:szCs w:val="24"/>
          <w:lang w:val="lt-LT"/>
        </w:rPr>
        <w:t>.</w:t>
      </w:r>
      <w:r w:rsidR="00DE4F7D">
        <w:rPr>
          <w:rFonts w:ascii="Times New Roman" w:hAnsi="Times New Roman" w:cs="Times New Roman"/>
          <w:color w:val="000000"/>
          <w:sz w:val="24"/>
          <w:szCs w:val="24"/>
          <w:lang w:val="lt-LT"/>
        </w:rPr>
        <w:t>)</w:t>
      </w:r>
      <w:r w:rsidR="00480FAE">
        <w:rPr>
          <w:rFonts w:ascii="Times New Roman" w:hAnsi="Times New Roman" w:cs="Times New Roman"/>
          <w:color w:val="000000"/>
          <w:sz w:val="24"/>
          <w:szCs w:val="24"/>
          <w:lang w:val="lt-LT"/>
        </w:rPr>
        <w:t xml:space="preserve"> vertinant š</w:t>
      </w:r>
      <w:r w:rsidR="000C1416">
        <w:rPr>
          <w:rFonts w:ascii="Times New Roman" w:hAnsi="Times New Roman" w:cs="Times New Roman"/>
          <w:color w:val="000000"/>
          <w:sz w:val="24"/>
          <w:szCs w:val="24"/>
          <w:lang w:val="lt-LT"/>
        </w:rPr>
        <w:t>ia prasme</w:t>
      </w:r>
      <w:r w:rsidR="0096130D">
        <w:rPr>
          <w:rFonts w:ascii="Times New Roman" w:hAnsi="Times New Roman" w:cs="Times New Roman"/>
          <w:color w:val="000000"/>
          <w:sz w:val="24"/>
          <w:szCs w:val="24"/>
          <w:lang w:val="lt-LT"/>
        </w:rPr>
        <w:t xml:space="preserve">, matyti, kad </w:t>
      </w:r>
      <w:r w:rsidR="00073B87" w:rsidRPr="00073B87">
        <w:rPr>
          <w:rFonts w:ascii="Times New Roman" w:hAnsi="Times New Roman" w:cs="Times New Roman"/>
          <w:color w:val="000000"/>
          <w:sz w:val="24"/>
          <w:szCs w:val="24"/>
          <w:lang w:val="lt-LT"/>
        </w:rPr>
        <w:t xml:space="preserve">Notarų rūmai </w:t>
      </w:r>
      <w:r w:rsidR="00982DA2">
        <w:rPr>
          <w:rFonts w:ascii="Times New Roman" w:hAnsi="Times New Roman" w:cs="Times New Roman"/>
          <w:color w:val="000000"/>
          <w:sz w:val="24"/>
          <w:szCs w:val="24"/>
          <w:lang w:val="lt-LT"/>
        </w:rPr>
        <w:t xml:space="preserve">turi </w:t>
      </w:r>
      <w:r w:rsidR="001F39D5">
        <w:rPr>
          <w:rFonts w:ascii="Times New Roman" w:hAnsi="Times New Roman" w:cs="Times New Roman"/>
          <w:color w:val="000000"/>
          <w:sz w:val="24"/>
          <w:szCs w:val="24"/>
          <w:lang w:val="lt-LT"/>
        </w:rPr>
        <w:t>konkrečias</w:t>
      </w:r>
      <w:r w:rsidR="00982DA2">
        <w:rPr>
          <w:rFonts w:ascii="Times New Roman" w:hAnsi="Times New Roman" w:cs="Times New Roman"/>
          <w:color w:val="000000"/>
          <w:sz w:val="24"/>
          <w:szCs w:val="24"/>
          <w:lang w:val="lt-LT"/>
        </w:rPr>
        <w:t xml:space="preserve"> </w:t>
      </w:r>
      <w:r w:rsidR="00D46595">
        <w:rPr>
          <w:rFonts w:ascii="Times New Roman" w:hAnsi="Times New Roman" w:cs="Times New Roman"/>
          <w:color w:val="000000"/>
          <w:sz w:val="24"/>
          <w:szCs w:val="24"/>
          <w:lang w:val="lt-LT"/>
        </w:rPr>
        <w:t>teisės aktuose įtvirtint</w:t>
      </w:r>
      <w:r w:rsidR="001F39D5">
        <w:rPr>
          <w:rFonts w:ascii="Times New Roman" w:hAnsi="Times New Roman" w:cs="Times New Roman"/>
          <w:color w:val="000000"/>
          <w:sz w:val="24"/>
          <w:szCs w:val="24"/>
          <w:lang w:val="lt-LT"/>
        </w:rPr>
        <w:t>as</w:t>
      </w:r>
      <w:r w:rsidR="00D46595">
        <w:rPr>
          <w:rFonts w:ascii="Times New Roman" w:hAnsi="Times New Roman" w:cs="Times New Roman"/>
          <w:color w:val="000000"/>
          <w:sz w:val="24"/>
          <w:szCs w:val="24"/>
          <w:lang w:val="lt-LT"/>
        </w:rPr>
        <w:t xml:space="preserve"> </w:t>
      </w:r>
      <w:r w:rsidR="00982DA2">
        <w:rPr>
          <w:rFonts w:ascii="Times New Roman" w:hAnsi="Times New Roman" w:cs="Times New Roman"/>
          <w:color w:val="000000"/>
          <w:sz w:val="24"/>
          <w:szCs w:val="24"/>
          <w:lang w:val="lt-LT"/>
        </w:rPr>
        <w:t>pareig</w:t>
      </w:r>
      <w:r w:rsidR="001F39D5">
        <w:rPr>
          <w:rFonts w:ascii="Times New Roman" w:hAnsi="Times New Roman" w:cs="Times New Roman"/>
          <w:color w:val="000000"/>
          <w:sz w:val="24"/>
          <w:szCs w:val="24"/>
          <w:lang w:val="lt-LT"/>
        </w:rPr>
        <w:t>as</w:t>
      </w:r>
      <w:r w:rsidR="00982DA2">
        <w:rPr>
          <w:rFonts w:ascii="Times New Roman" w:hAnsi="Times New Roman" w:cs="Times New Roman"/>
          <w:color w:val="000000"/>
          <w:sz w:val="24"/>
          <w:szCs w:val="24"/>
          <w:lang w:val="lt-LT"/>
        </w:rPr>
        <w:t xml:space="preserve"> </w:t>
      </w:r>
      <w:r w:rsidR="008B643F">
        <w:rPr>
          <w:rFonts w:ascii="Times New Roman" w:hAnsi="Times New Roman" w:cs="Times New Roman"/>
          <w:color w:val="000000"/>
          <w:sz w:val="24"/>
          <w:szCs w:val="24"/>
          <w:lang w:val="lt-LT"/>
        </w:rPr>
        <w:t>T</w:t>
      </w:r>
      <w:r w:rsidR="00073B87" w:rsidRPr="00073B87">
        <w:rPr>
          <w:rFonts w:ascii="Times New Roman" w:hAnsi="Times New Roman" w:cs="Times New Roman"/>
          <w:color w:val="000000"/>
          <w:sz w:val="24"/>
          <w:szCs w:val="24"/>
          <w:lang w:val="lt-LT"/>
        </w:rPr>
        <w:t xml:space="preserve">eisingumo ministerijai, o </w:t>
      </w:r>
      <w:r w:rsidR="008B643F">
        <w:rPr>
          <w:rFonts w:ascii="Times New Roman" w:hAnsi="Times New Roman" w:cs="Times New Roman"/>
          <w:color w:val="000000"/>
          <w:sz w:val="24"/>
          <w:szCs w:val="24"/>
          <w:lang w:val="lt-LT"/>
        </w:rPr>
        <w:t>šioji vykdomosios valdžios institucija</w:t>
      </w:r>
      <w:r w:rsidR="007D5837">
        <w:rPr>
          <w:rFonts w:ascii="Times New Roman" w:hAnsi="Times New Roman" w:cs="Times New Roman"/>
          <w:color w:val="000000"/>
          <w:sz w:val="24"/>
          <w:szCs w:val="24"/>
          <w:lang w:val="lt-LT"/>
        </w:rPr>
        <w:t xml:space="preserve"> atitinkam</w:t>
      </w:r>
      <w:r w:rsidR="00946CAA">
        <w:rPr>
          <w:rFonts w:ascii="Times New Roman" w:hAnsi="Times New Roman" w:cs="Times New Roman"/>
          <w:color w:val="000000"/>
          <w:sz w:val="24"/>
          <w:szCs w:val="24"/>
          <w:lang w:val="lt-LT"/>
        </w:rPr>
        <w:t xml:space="preserve">a apimtimi </w:t>
      </w:r>
      <w:r w:rsidR="00073B87" w:rsidRPr="00073B87">
        <w:rPr>
          <w:rFonts w:ascii="Times New Roman" w:hAnsi="Times New Roman" w:cs="Times New Roman"/>
          <w:color w:val="000000"/>
          <w:sz w:val="24"/>
          <w:szCs w:val="24"/>
          <w:lang w:val="lt-LT"/>
        </w:rPr>
        <w:t xml:space="preserve">turi </w:t>
      </w:r>
      <w:r w:rsidR="00E92D07">
        <w:rPr>
          <w:rFonts w:ascii="Times New Roman" w:hAnsi="Times New Roman" w:cs="Times New Roman"/>
          <w:color w:val="000000"/>
          <w:sz w:val="24"/>
          <w:szCs w:val="24"/>
          <w:lang w:val="lt-LT"/>
        </w:rPr>
        <w:t xml:space="preserve">reikalavimo </w:t>
      </w:r>
      <w:r w:rsidR="00073B87" w:rsidRPr="00073B87">
        <w:rPr>
          <w:rFonts w:ascii="Times New Roman" w:hAnsi="Times New Roman" w:cs="Times New Roman"/>
          <w:color w:val="000000"/>
          <w:sz w:val="24"/>
          <w:szCs w:val="24"/>
          <w:lang w:val="lt-LT"/>
        </w:rPr>
        <w:t>teisę</w:t>
      </w:r>
      <w:r w:rsidR="001D0ADE">
        <w:rPr>
          <w:rFonts w:ascii="Times New Roman" w:hAnsi="Times New Roman" w:cs="Times New Roman"/>
          <w:color w:val="000000"/>
          <w:sz w:val="24"/>
          <w:szCs w:val="24"/>
          <w:lang w:val="lt-LT"/>
        </w:rPr>
        <w:t xml:space="preserve"> šiai savivaldos institucijai</w:t>
      </w:r>
      <w:r w:rsidR="007200C6">
        <w:rPr>
          <w:rFonts w:ascii="Times New Roman" w:hAnsi="Times New Roman" w:cs="Times New Roman"/>
          <w:color w:val="000000"/>
          <w:sz w:val="24"/>
          <w:szCs w:val="24"/>
          <w:lang w:val="lt-LT"/>
        </w:rPr>
        <w:t>. Vis dėlto</w:t>
      </w:r>
      <w:r w:rsidR="00E66BEA">
        <w:rPr>
          <w:rFonts w:ascii="Times New Roman" w:hAnsi="Times New Roman" w:cs="Times New Roman"/>
          <w:color w:val="000000"/>
          <w:sz w:val="24"/>
          <w:szCs w:val="24"/>
          <w:lang w:val="lt-LT"/>
        </w:rPr>
        <w:t xml:space="preserve"> </w:t>
      </w:r>
      <w:r w:rsidR="00073B87" w:rsidRPr="00073B87">
        <w:rPr>
          <w:rFonts w:ascii="Times New Roman" w:hAnsi="Times New Roman" w:cs="Times New Roman"/>
          <w:color w:val="000000"/>
          <w:sz w:val="24"/>
          <w:szCs w:val="24"/>
          <w:lang w:val="lt-LT"/>
        </w:rPr>
        <w:t>ši</w:t>
      </w:r>
      <w:r w:rsidR="004D4E64">
        <w:rPr>
          <w:rFonts w:ascii="Times New Roman" w:hAnsi="Times New Roman" w:cs="Times New Roman"/>
          <w:color w:val="000000"/>
          <w:sz w:val="24"/>
          <w:szCs w:val="24"/>
          <w:lang w:val="lt-LT"/>
        </w:rPr>
        <w:t>o</w:t>
      </w:r>
      <w:r w:rsidR="005E1D4E">
        <w:rPr>
          <w:rFonts w:ascii="Times New Roman" w:hAnsi="Times New Roman" w:cs="Times New Roman"/>
          <w:color w:val="000000"/>
          <w:sz w:val="24"/>
          <w:szCs w:val="24"/>
          <w:lang w:val="lt-LT"/>
        </w:rPr>
        <w:t xml:space="preserve"> subordinacini</w:t>
      </w:r>
      <w:r w:rsidR="004D4E64">
        <w:rPr>
          <w:rFonts w:ascii="Times New Roman" w:hAnsi="Times New Roman" w:cs="Times New Roman"/>
          <w:color w:val="000000"/>
          <w:sz w:val="24"/>
          <w:szCs w:val="24"/>
          <w:lang w:val="lt-LT"/>
        </w:rPr>
        <w:t>o</w:t>
      </w:r>
      <w:r w:rsidR="005E1D4E">
        <w:rPr>
          <w:rFonts w:ascii="Times New Roman" w:hAnsi="Times New Roman" w:cs="Times New Roman"/>
          <w:color w:val="000000"/>
          <w:sz w:val="24"/>
          <w:szCs w:val="24"/>
          <w:lang w:val="lt-LT"/>
        </w:rPr>
        <w:t xml:space="preserve"> </w:t>
      </w:r>
      <w:r w:rsidR="00615514">
        <w:rPr>
          <w:rFonts w:ascii="Times New Roman" w:hAnsi="Times New Roman" w:cs="Times New Roman"/>
          <w:color w:val="000000"/>
          <w:sz w:val="24"/>
          <w:szCs w:val="24"/>
          <w:lang w:val="lt-LT"/>
        </w:rPr>
        <w:t>santyki</w:t>
      </w:r>
      <w:r w:rsidR="004D4E64">
        <w:rPr>
          <w:rFonts w:ascii="Times New Roman" w:hAnsi="Times New Roman" w:cs="Times New Roman"/>
          <w:color w:val="000000"/>
          <w:sz w:val="24"/>
          <w:szCs w:val="24"/>
          <w:lang w:val="lt-LT"/>
        </w:rPr>
        <w:t>o turinys</w:t>
      </w:r>
      <w:r w:rsidR="00615514">
        <w:rPr>
          <w:rFonts w:ascii="Times New Roman" w:hAnsi="Times New Roman" w:cs="Times New Roman"/>
          <w:color w:val="000000"/>
          <w:sz w:val="24"/>
          <w:szCs w:val="24"/>
          <w:lang w:val="lt-LT"/>
        </w:rPr>
        <w:t xml:space="preserve"> </w:t>
      </w:r>
      <w:r w:rsidR="00AB484E">
        <w:rPr>
          <w:rFonts w:ascii="Times New Roman" w:hAnsi="Times New Roman" w:cs="Times New Roman"/>
          <w:color w:val="000000"/>
          <w:sz w:val="24"/>
          <w:szCs w:val="24"/>
          <w:lang w:val="lt-LT"/>
        </w:rPr>
        <w:t xml:space="preserve">pagal </w:t>
      </w:r>
      <w:r w:rsidR="00615514">
        <w:rPr>
          <w:rFonts w:ascii="Times New Roman" w:hAnsi="Times New Roman" w:cs="Times New Roman"/>
          <w:color w:val="000000"/>
          <w:sz w:val="24"/>
          <w:szCs w:val="24"/>
          <w:lang w:val="lt-LT"/>
        </w:rPr>
        <w:t>intensyvum</w:t>
      </w:r>
      <w:r w:rsidR="009B144A">
        <w:rPr>
          <w:rFonts w:ascii="Times New Roman" w:hAnsi="Times New Roman" w:cs="Times New Roman"/>
          <w:color w:val="000000"/>
          <w:sz w:val="24"/>
          <w:szCs w:val="24"/>
          <w:lang w:val="lt-LT"/>
        </w:rPr>
        <w:t xml:space="preserve">ą ir </w:t>
      </w:r>
      <w:r w:rsidR="00DC2A20">
        <w:rPr>
          <w:rFonts w:ascii="Times New Roman" w:hAnsi="Times New Roman" w:cs="Times New Roman"/>
          <w:color w:val="000000"/>
          <w:sz w:val="24"/>
          <w:szCs w:val="24"/>
          <w:lang w:val="lt-LT"/>
        </w:rPr>
        <w:t>pasekmes</w:t>
      </w:r>
      <w:r w:rsidR="008F4CBA">
        <w:rPr>
          <w:rFonts w:ascii="Times New Roman" w:hAnsi="Times New Roman" w:cs="Times New Roman"/>
          <w:color w:val="000000"/>
          <w:sz w:val="24"/>
          <w:szCs w:val="24"/>
          <w:lang w:val="lt-LT"/>
        </w:rPr>
        <w:t xml:space="preserve">, išplėstinės teisėjų kolegijos vertinimu, </w:t>
      </w:r>
      <w:r w:rsidR="00056F5B">
        <w:rPr>
          <w:rFonts w:ascii="Times New Roman" w:hAnsi="Times New Roman" w:cs="Times New Roman"/>
          <w:color w:val="000000"/>
          <w:sz w:val="24"/>
          <w:szCs w:val="24"/>
          <w:lang w:val="lt-LT"/>
        </w:rPr>
        <w:t xml:space="preserve">nesuponuoja </w:t>
      </w:r>
      <w:r w:rsidR="00073B87" w:rsidRPr="00073B87">
        <w:rPr>
          <w:rFonts w:ascii="Times New Roman" w:hAnsi="Times New Roman" w:cs="Times New Roman"/>
          <w:color w:val="000000"/>
          <w:sz w:val="24"/>
          <w:szCs w:val="24"/>
          <w:lang w:val="lt-LT"/>
        </w:rPr>
        <w:t>pakankam</w:t>
      </w:r>
      <w:r w:rsidR="00056F5B">
        <w:rPr>
          <w:rFonts w:ascii="Times New Roman" w:hAnsi="Times New Roman" w:cs="Times New Roman"/>
          <w:color w:val="000000"/>
          <w:sz w:val="24"/>
          <w:szCs w:val="24"/>
          <w:lang w:val="lt-LT"/>
        </w:rPr>
        <w:t>os</w:t>
      </w:r>
      <w:r w:rsidR="00073B87" w:rsidRPr="00073B87">
        <w:rPr>
          <w:rFonts w:ascii="Times New Roman" w:hAnsi="Times New Roman" w:cs="Times New Roman"/>
          <w:color w:val="000000"/>
          <w:sz w:val="24"/>
          <w:szCs w:val="24"/>
          <w:lang w:val="lt-LT"/>
        </w:rPr>
        <w:t xml:space="preserve"> valstybės kontrolės</w:t>
      </w:r>
      <w:r w:rsidR="009E76C9">
        <w:rPr>
          <w:rFonts w:ascii="Times New Roman" w:hAnsi="Times New Roman" w:cs="Times New Roman"/>
          <w:color w:val="000000"/>
          <w:sz w:val="24"/>
          <w:szCs w:val="24"/>
          <w:lang w:val="lt-LT"/>
        </w:rPr>
        <w:t>.</w:t>
      </w:r>
      <w:r w:rsidR="00081FEC">
        <w:rPr>
          <w:rFonts w:ascii="Times New Roman" w:hAnsi="Times New Roman" w:cs="Times New Roman"/>
          <w:color w:val="000000"/>
          <w:sz w:val="24"/>
          <w:szCs w:val="24"/>
          <w:lang w:val="lt-LT"/>
        </w:rPr>
        <w:t xml:space="preserve"> Tokiomis aplinkybėmis</w:t>
      </w:r>
      <w:r w:rsidR="009E76C9">
        <w:rPr>
          <w:rFonts w:ascii="Times New Roman" w:hAnsi="Times New Roman" w:cs="Times New Roman"/>
          <w:color w:val="000000"/>
          <w:sz w:val="24"/>
          <w:szCs w:val="24"/>
          <w:lang w:val="lt-LT"/>
        </w:rPr>
        <w:t xml:space="preserve"> </w:t>
      </w:r>
      <w:r w:rsidR="00081FEC">
        <w:rPr>
          <w:rFonts w:ascii="Times New Roman" w:hAnsi="Times New Roman" w:cs="Times New Roman"/>
          <w:color w:val="000000"/>
          <w:sz w:val="24"/>
          <w:szCs w:val="24"/>
          <w:lang w:val="lt-LT"/>
        </w:rPr>
        <w:t>i</w:t>
      </w:r>
      <w:r w:rsidR="003948F7">
        <w:rPr>
          <w:rFonts w:ascii="Times New Roman" w:hAnsi="Times New Roman" w:cs="Times New Roman"/>
          <w:color w:val="000000"/>
          <w:sz w:val="24"/>
          <w:szCs w:val="24"/>
          <w:lang w:val="lt-LT"/>
        </w:rPr>
        <w:t xml:space="preserve">šplėstinė teisėjų kolegija </w:t>
      </w:r>
      <w:r w:rsidR="00081FEC">
        <w:rPr>
          <w:rFonts w:ascii="Times New Roman" w:hAnsi="Times New Roman" w:cs="Times New Roman"/>
          <w:color w:val="000000"/>
          <w:sz w:val="24"/>
          <w:szCs w:val="24"/>
          <w:lang w:val="lt-LT"/>
        </w:rPr>
        <w:t>neturi pagrindo šį klausimą vertinti kitaip.</w:t>
      </w:r>
      <w:r w:rsidR="00C97A84" w:rsidRPr="00F97F64">
        <w:rPr>
          <w:rFonts w:ascii="Times New Roman" w:hAnsi="Times New Roman" w:cs="Times New Roman"/>
          <w:color w:val="000000"/>
          <w:sz w:val="24"/>
          <w:szCs w:val="24"/>
          <w:lang w:val="lt-LT"/>
        </w:rPr>
        <w:t xml:space="preserve"> </w:t>
      </w:r>
      <w:r w:rsidR="00731EEA" w:rsidRPr="00F97F64">
        <w:rPr>
          <w:rFonts w:ascii="Times New Roman" w:hAnsi="Times New Roman" w:cs="Times New Roman"/>
          <w:color w:val="000000"/>
          <w:sz w:val="24"/>
          <w:szCs w:val="24"/>
          <w:lang w:val="lt-LT"/>
        </w:rPr>
        <w:t xml:space="preserve"> </w:t>
      </w:r>
      <w:r w:rsidR="00C676AB" w:rsidRPr="00F97F64">
        <w:rPr>
          <w:rFonts w:ascii="Times New Roman" w:hAnsi="Times New Roman" w:cs="Times New Roman"/>
          <w:color w:val="000000"/>
          <w:sz w:val="24"/>
          <w:szCs w:val="24"/>
          <w:lang w:val="lt-LT"/>
        </w:rPr>
        <w:t xml:space="preserve"> </w:t>
      </w:r>
    </w:p>
    <w:p w14:paraId="3543FCFB" w14:textId="08422C7E" w:rsidR="00FF5531" w:rsidRPr="00981A19" w:rsidRDefault="00981A19" w:rsidP="00712C82">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81A19">
        <w:rPr>
          <w:rFonts w:ascii="Times New Roman" w:hAnsi="Times New Roman" w:cs="Times New Roman"/>
          <w:color w:val="000000"/>
          <w:sz w:val="24"/>
          <w:szCs w:val="24"/>
          <w:lang w:val="lt-LT"/>
        </w:rPr>
        <w:t xml:space="preserve"> </w:t>
      </w:r>
      <w:r w:rsidR="00FF5531" w:rsidRPr="00981A19">
        <w:rPr>
          <w:rFonts w:ascii="Times New Roman" w:eastAsia="Times New Roman" w:hAnsi="Times New Roman" w:cs="Times New Roman"/>
          <w:sz w:val="24"/>
          <w:szCs w:val="24"/>
          <w:lang w:val="lt-LT"/>
        </w:rPr>
        <w:t>Atsižvelgiant į tai, konstatuotina, kad Notarų rūmai, kiek tai susiję su nagrinėjamoje byloje ginčijamame Nutarime nurodytais Išaiškinimais, laikytini įmonių (ūkio subjektų) asociacija SESV 101 straipsnio ir Konkurencijos įstatymo 3 straipsnio 22 dalies prasme.</w:t>
      </w:r>
    </w:p>
    <w:p w14:paraId="18E37079" w14:textId="77777777" w:rsidR="009C57B3" w:rsidRPr="0013227C" w:rsidRDefault="009C57B3" w:rsidP="00FF5531">
      <w:pPr>
        <w:tabs>
          <w:tab w:val="left" w:pos="567"/>
          <w:tab w:val="left" w:pos="1134"/>
        </w:tabs>
        <w:spacing w:after="0" w:line="240" w:lineRule="auto"/>
        <w:contextualSpacing/>
        <w:jc w:val="both"/>
        <w:rPr>
          <w:rFonts w:ascii="Times New Roman" w:eastAsia="Times New Roman" w:hAnsi="Times New Roman" w:cs="Times New Roman"/>
          <w:sz w:val="24"/>
          <w:szCs w:val="24"/>
          <w:lang w:val="lt-LT"/>
        </w:rPr>
      </w:pPr>
    </w:p>
    <w:p w14:paraId="1B7DC6B9" w14:textId="77777777" w:rsidR="00FF5531" w:rsidRPr="009C64EB" w:rsidRDefault="00FF5531" w:rsidP="00FF5531">
      <w:pPr>
        <w:tabs>
          <w:tab w:val="left" w:pos="993"/>
          <w:tab w:val="left" w:pos="1276"/>
        </w:tabs>
        <w:spacing w:after="0" w:line="240" w:lineRule="auto"/>
        <w:ind w:firstLine="680"/>
        <w:jc w:val="both"/>
        <w:rPr>
          <w:rFonts w:ascii="Times New Roman" w:eastAsia="Times New Roman" w:hAnsi="Times New Roman" w:cs="Times New Roman"/>
          <w:i/>
          <w:iCs/>
          <w:sz w:val="24"/>
          <w:szCs w:val="24"/>
          <w:lang w:val="lt-LT"/>
        </w:rPr>
      </w:pPr>
      <w:r w:rsidRPr="009C64EB">
        <w:rPr>
          <w:rFonts w:ascii="Times New Roman" w:eastAsia="Times New Roman" w:hAnsi="Times New Roman" w:cs="Times New Roman"/>
          <w:i/>
          <w:iCs/>
          <w:sz w:val="24"/>
          <w:szCs w:val="24"/>
          <w:lang w:val="lt-LT"/>
        </w:rPr>
        <w:t>Dėl susitarimo Konkurencijos įstatymo 5 straipsnio ir SESV 101 straipsnio prasme egzistavimo</w:t>
      </w:r>
    </w:p>
    <w:p w14:paraId="433D63D3" w14:textId="77777777" w:rsidR="00FF5531" w:rsidRPr="009C64EB" w:rsidRDefault="00FF5531" w:rsidP="00FF5531">
      <w:pPr>
        <w:tabs>
          <w:tab w:val="left" w:pos="567"/>
          <w:tab w:val="left" w:pos="1134"/>
        </w:tabs>
        <w:spacing w:after="0" w:line="240" w:lineRule="auto"/>
        <w:contextualSpacing/>
        <w:jc w:val="both"/>
        <w:rPr>
          <w:rFonts w:ascii="Times New Roman" w:eastAsia="Times New Roman" w:hAnsi="Times New Roman" w:cs="Times New Roman"/>
          <w:sz w:val="24"/>
          <w:szCs w:val="24"/>
          <w:lang w:val="lt-LT"/>
        </w:rPr>
      </w:pPr>
    </w:p>
    <w:p w14:paraId="252B6D78" w14:textId="67584207" w:rsidR="00FF5531" w:rsidRPr="009C64EB" w:rsidRDefault="0064164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 </w:t>
      </w:r>
      <w:r w:rsidR="00FF5531" w:rsidRPr="009C64EB">
        <w:rPr>
          <w:rFonts w:ascii="Times New Roman" w:hAnsi="Times New Roman" w:cs="Times New Roman"/>
          <w:sz w:val="24"/>
          <w:szCs w:val="24"/>
          <w:lang w:val="lt-LT"/>
        </w:rPr>
        <w:t>Ginčijamame Nutarime konstatuota, jog Notarų rūmai ir Notarai sudarė draudžiamą susitarimą, kuriuo buvo nustatyti atlyginimo dydžiai už tam tikrų notarinių veiksmų atlikimą, ir toks susitarimas pažeidžia Konkurencijos įstatymo 5 straipsnio 1 dalies 1 punkto ir SESV 101 straipsnio 1 dalies a punkto reikalavimus (Nutarimo rezoliucinės dalies 1 punktas).</w:t>
      </w:r>
      <w:r w:rsidR="00FA1E8B">
        <w:rPr>
          <w:rFonts w:ascii="Times New Roman" w:hAnsi="Times New Roman" w:cs="Times New Roman"/>
          <w:sz w:val="24"/>
          <w:szCs w:val="24"/>
          <w:lang w:val="lt-LT"/>
        </w:rPr>
        <w:t xml:space="preserve"> </w:t>
      </w:r>
      <w:r w:rsidR="005626D4">
        <w:rPr>
          <w:rFonts w:ascii="Times New Roman" w:hAnsi="Times New Roman" w:cs="Times New Roman"/>
          <w:sz w:val="24"/>
          <w:szCs w:val="24"/>
          <w:lang w:val="lt-LT"/>
        </w:rPr>
        <w:t>T</w:t>
      </w:r>
      <w:r w:rsidR="008A42BC">
        <w:rPr>
          <w:rFonts w:ascii="Times New Roman" w:hAnsi="Times New Roman" w:cs="Times New Roman"/>
          <w:sz w:val="24"/>
          <w:szCs w:val="24"/>
          <w:lang w:val="lt-LT"/>
        </w:rPr>
        <w:t>oki</w:t>
      </w:r>
      <w:r w:rsidR="005626D4">
        <w:rPr>
          <w:rFonts w:ascii="Times New Roman" w:hAnsi="Times New Roman" w:cs="Times New Roman"/>
          <w:sz w:val="24"/>
          <w:szCs w:val="24"/>
          <w:lang w:val="lt-LT"/>
        </w:rPr>
        <w:t>us</w:t>
      </w:r>
      <w:r w:rsidR="008A42BC">
        <w:rPr>
          <w:rFonts w:ascii="Times New Roman" w:hAnsi="Times New Roman" w:cs="Times New Roman"/>
          <w:sz w:val="24"/>
          <w:szCs w:val="24"/>
          <w:lang w:val="lt-LT"/>
        </w:rPr>
        <w:t xml:space="preserve"> </w:t>
      </w:r>
      <w:r w:rsidR="00097154">
        <w:rPr>
          <w:rFonts w:ascii="Times New Roman" w:hAnsi="Times New Roman" w:cs="Times New Roman"/>
          <w:sz w:val="24"/>
          <w:szCs w:val="24"/>
          <w:lang w:val="lt-LT"/>
        </w:rPr>
        <w:t>Notarų rūmų ir Prezidiumą sudariusių notarų veiksm</w:t>
      </w:r>
      <w:r w:rsidR="005626D4">
        <w:rPr>
          <w:rFonts w:ascii="Times New Roman" w:hAnsi="Times New Roman" w:cs="Times New Roman"/>
          <w:sz w:val="24"/>
          <w:szCs w:val="24"/>
          <w:lang w:val="lt-LT"/>
        </w:rPr>
        <w:t>us Taryba</w:t>
      </w:r>
      <w:r w:rsidR="00C32EF2">
        <w:rPr>
          <w:rFonts w:ascii="Times New Roman" w:hAnsi="Times New Roman" w:cs="Times New Roman"/>
          <w:sz w:val="24"/>
          <w:szCs w:val="24"/>
          <w:lang w:val="lt-LT"/>
        </w:rPr>
        <w:t xml:space="preserve"> vertin</w:t>
      </w:r>
      <w:r w:rsidR="005626D4">
        <w:rPr>
          <w:rFonts w:ascii="Times New Roman" w:hAnsi="Times New Roman" w:cs="Times New Roman"/>
          <w:sz w:val="24"/>
          <w:szCs w:val="24"/>
          <w:lang w:val="lt-LT"/>
        </w:rPr>
        <w:t>o</w:t>
      </w:r>
      <w:r w:rsidR="00C32EF2">
        <w:rPr>
          <w:rFonts w:ascii="Times New Roman" w:hAnsi="Times New Roman" w:cs="Times New Roman"/>
          <w:sz w:val="24"/>
          <w:szCs w:val="24"/>
          <w:lang w:val="lt-LT"/>
        </w:rPr>
        <w:t xml:space="preserve"> </w:t>
      </w:r>
      <w:r w:rsidR="00FA1596">
        <w:rPr>
          <w:rFonts w:ascii="Times New Roman" w:hAnsi="Times New Roman" w:cs="Times New Roman"/>
          <w:sz w:val="24"/>
          <w:szCs w:val="24"/>
          <w:lang w:val="lt-LT"/>
        </w:rPr>
        <w:t>kaip susitarim</w:t>
      </w:r>
      <w:r w:rsidR="005626D4">
        <w:rPr>
          <w:rFonts w:ascii="Times New Roman" w:hAnsi="Times New Roman" w:cs="Times New Roman"/>
          <w:sz w:val="24"/>
          <w:szCs w:val="24"/>
          <w:lang w:val="lt-LT"/>
        </w:rPr>
        <w:t>ą</w:t>
      </w:r>
      <w:r w:rsidR="00FA1596">
        <w:rPr>
          <w:rFonts w:ascii="Times New Roman" w:hAnsi="Times New Roman" w:cs="Times New Roman"/>
          <w:sz w:val="24"/>
          <w:szCs w:val="24"/>
          <w:lang w:val="lt-LT"/>
        </w:rPr>
        <w:t xml:space="preserve">, kurio tikslas buvo apriboti notarų konkurenciją (Nutarimo </w:t>
      </w:r>
      <w:r w:rsidR="00F80C5E">
        <w:rPr>
          <w:rFonts w:ascii="Times New Roman" w:hAnsi="Times New Roman" w:cs="Times New Roman"/>
          <w:sz w:val="24"/>
          <w:szCs w:val="24"/>
          <w:lang w:val="lt-LT"/>
        </w:rPr>
        <w:t>191 p</w:t>
      </w:r>
      <w:r w:rsidR="00220C07">
        <w:rPr>
          <w:rFonts w:ascii="Times New Roman" w:hAnsi="Times New Roman" w:cs="Times New Roman"/>
          <w:sz w:val="24"/>
          <w:szCs w:val="24"/>
          <w:lang w:val="lt-LT"/>
        </w:rPr>
        <w:t>.</w:t>
      </w:r>
      <w:r w:rsidR="00FA1596">
        <w:rPr>
          <w:rFonts w:ascii="Times New Roman" w:hAnsi="Times New Roman" w:cs="Times New Roman"/>
          <w:sz w:val="24"/>
          <w:szCs w:val="24"/>
          <w:lang w:val="lt-LT"/>
        </w:rPr>
        <w:t>).</w:t>
      </w:r>
    </w:p>
    <w:p w14:paraId="0E1369F1" w14:textId="07A3CE80" w:rsidR="00FF5531" w:rsidRPr="006750F0" w:rsidRDefault="00FF553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C64EB">
        <w:rPr>
          <w:rFonts w:ascii="Times New Roman" w:hAnsi="Times New Roman" w:cs="Times New Roman"/>
          <w:sz w:val="24"/>
          <w:szCs w:val="24"/>
          <w:lang w:val="lt-LT"/>
        </w:rPr>
        <w:t xml:space="preserve"> Skundžiamame sprendime pirmosios instancijos teismas nurodė, kad</w:t>
      </w:r>
      <w:r w:rsidRPr="009C64EB">
        <w:rPr>
          <w:rFonts w:ascii="Times New Roman" w:eastAsia="Times New Roman" w:hAnsi="Times New Roman" w:cs="Times New Roman"/>
          <w:sz w:val="24"/>
          <w:szCs w:val="24"/>
          <w:lang w:val="lt-LT"/>
        </w:rPr>
        <w:t xml:space="preserve"> </w:t>
      </w:r>
      <w:r w:rsidRPr="009C64EB">
        <w:rPr>
          <w:rFonts w:ascii="Times New Roman" w:hAnsi="Times New Roman" w:cs="Times New Roman"/>
          <w:sz w:val="24"/>
          <w:szCs w:val="24"/>
          <w:lang w:val="lt-LT"/>
        </w:rPr>
        <w:t>konkurencijos teisę pažeidžiančiais galėtų būti pripažinti tik tokie Notarų rūmų (Prezidiumo) susitarimai, kurių tikrasis tikslas būtų riboti konkurenciją. Pasak pirmosios instancijos teismo, įvertinus Išaiškinimų turinį antikonkurenciniu požiūriu, nėra pagrindo išvadai, kad jų priėmimas galėtų sukelti neigiamas pasekmes konkurencijai, kurias nagrinėjamu atveju privalėjo įvertinti Konkurencijos taryba, kadangi tariamas konkurencijos teisės pažeidimas negalėjo nuo pat pradžių būti vertinamas kaip toks akivaizdus, jog savo prigimtimi automatiškai daro neigiamą poveikį rinkai. Pirmosios instancijos teismas pažymėjo, jog iš byloje surinktų įrodymų nustatyta, kad Išaiškinimų priėmimas visiškai pateisina teisėtą jų parengimo tikslą, t. y. siekiant sureguliuoti (</w:t>
      </w:r>
      <w:r w:rsidRPr="006750F0">
        <w:rPr>
          <w:rFonts w:ascii="Times New Roman" w:hAnsi="Times New Roman" w:cs="Times New Roman"/>
          <w:sz w:val="24"/>
          <w:szCs w:val="24"/>
          <w:lang w:val="lt-LT"/>
        </w:rPr>
        <w:t>suvienodinti) Laikinuosiuose dydžiuose abstrakčiai nurodytus notarų atlyginimų įkainius (Notariato įstatymo 9 str. 5 d. ir Statuto 8 str. 6, 7 p.). Pirmosios instancijos teismas darė išvadą, jog Taryba neįrodė, kad pareiškėjai sudarė draudžiamą susitarimą siekdami riboti konkurenciją.</w:t>
      </w:r>
    </w:p>
    <w:p w14:paraId="19D3F1C2" w14:textId="77777777" w:rsidR="00FF5531" w:rsidRPr="00E5103F" w:rsidRDefault="00FF5531"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C64EB">
        <w:rPr>
          <w:rFonts w:ascii="Times New Roman" w:hAnsi="Times New Roman" w:cs="Times New Roman"/>
          <w:sz w:val="24"/>
          <w:szCs w:val="24"/>
          <w:lang w:val="lt-LT"/>
        </w:rPr>
        <w:t xml:space="preserve"> </w:t>
      </w:r>
      <w:r w:rsidRPr="00E5103F">
        <w:rPr>
          <w:rFonts w:ascii="Times New Roman" w:hAnsi="Times New Roman" w:cs="Times New Roman"/>
          <w:sz w:val="24"/>
          <w:szCs w:val="24"/>
          <w:lang w:val="lt-LT"/>
        </w:rPr>
        <w:t>Apeliaciniame skunde Konkurencijos taryba, be kita ko, pažymi, kad Notarų rūmai ir Notarai sudarė horizontalų susitarimą dėl kainų nustatymo, o tokio pobūdžio susitarimas yra draudžiamas vien pagal tikslą riboti konkurenciją, todėl Konkurencijos taryba neprivalėjo nustatyti tokio susitarimo poveikio konkurencijai.</w:t>
      </w:r>
    </w:p>
    <w:p w14:paraId="72EE6395" w14:textId="55303B8C" w:rsidR="00906129" w:rsidRPr="00E5103F" w:rsidRDefault="00FF5531" w:rsidP="00906129">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E5103F">
        <w:rPr>
          <w:rFonts w:ascii="Times New Roman" w:eastAsia="Times New Roman" w:hAnsi="Times New Roman" w:cs="Times New Roman"/>
          <w:sz w:val="24"/>
          <w:szCs w:val="24"/>
          <w:lang w:val="lt-LT"/>
        </w:rPr>
        <w:t xml:space="preserve"> </w:t>
      </w:r>
      <w:r w:rsidR="005D4F5E" w:rsidRPr="00E5103F">
        <w:rPr>
          <w:rFonts w:ascii="Times New Roman" w:eastAsia="Times New Roman" w:hAnsi="Times New Roman" w:cs="Times New Roman"/>
          <w:sz w:val="24"/>
          <w:szCs w:val="24"/>
          <w:lang w:val="lt-LT"/>
        </w:rPr>
        <w:t>Sprendim</w:t>
      </w:r>
      <w:r w:rsidR="00E85870" w:rsidRPr="00E5103F">
        <w:rPr>
          <w:rFonts w:ascii="Times New Roman" w:eastAsia="Times New Roman" w:hAnsi="Times New Roman" w:cs="Times New Roman"/>
          <w:sz w:val="24"/>
          <w:szCs w:val="24"/>
          <w:lang w:val="lt-LT"/>
        </w:rPr>
        <w:t>e</w:t>
      </w:r>
      <w:r w:rsidR="005D4F5E" w:rsidRPr="00E5103F">
        <w:rPr>
          <w:rFonts w:ascii="Times New Roman" w:eastAsia="Times New Roman" w:hAnsi="Times New Roman" w:cs="Times New Roman"/>
          <w:sz w:val="24"/>
          <w:szCs w:val="24"/>
          <w:lang w:val="lt-LT"/>
        </w:rPr>
        <w:t xml:space="preserve"> </w:t>
      </w:r>
      <w:r w:rsidR="005D4F5E" w:rsidRPr="00E5103F">
        <w:rPr>
          <w:rFonts w:ascii="Times New Roman" w:eastAsia="Times New Roman" w:hAnsi="Times New Roman" w:cs="Times New Roman"/>
          <w:i/>
          <w:iCs/>
          <w:sz w:val="24"/>
          <w:szCs w:val="24"/>
          <w:lang w:val="lt-LT"/>
        </w:rPr>
        <w:t>Notarų rūmai</w:t>
      </w:r>
      <w:r w:rsidR="005D4F5E" w:rsidRPr="00E5103F">
        <w:rPr>
          <w:rFonts w:ascii="Times New Roman" w:eastAsia="Times New Roman" w:hAnsi="Times New Roman" w:cs="Times New Roman"/>
          <w:sz w:val="24"/>
          <w:szCs w:val="24"/>
          <w:lang w:val="lt-LT"/>
        </w:rPr>
        <w:t xml:space="preserve"> </w:t>
      </w:r>
      <w:r w:rsidR="001B6732" w:rsidRPr="00E5103F">
        <w:rPr>
          <w:rFonts w:ascii="Times New Roman" w:eastAsia="Times New Roman" w:hAnsi="Times New Roman" w:cs="Times New Roman"/>
          <w:sz w:val="24"/>
          <w:szCs w:val="24"/>
          <w:lang w:val="lt-LT"/>
        </w:rPr>
        <w:t xml:space="preserve">Teisingumo Teismas </w:t>
      </w:r>
      <w:r w:rsidR="00E85870" w:rsidRPr="00E5103F">
        <w:rPr>
          <w:rFonts w:ascii="Times New Roman" w:eastAsia="Times New Roman" w:hAnsi="Times New Roman" w:cs="Times New Roman"/>
          <w:sz w:val="24"/>
          <w:szCs w:val="24"/>
          <w:lang w:val="lt-LT"/>
        </w:rPr>
        <w:t>kon</w:t>
      </w:r>
      <w:r w:rsidR="0075685F" w:rsidRPr="00E5103F">
        <w:rPr>
          <w:rFonts w:ascii="Times New Roman" w:eastAsia="Times New Roman" w:hAnsi="Times New Roman" w:cs="Times New Roman"/>
          <w:sz w:val="24"/>
          <w:szCs w:val="24"/>
          <w:lang w:val="lt-LT"/>
        </w:rPr>
        <w:t>statavo</w:t>
      </w:r>
      <w:r w:rsidR="001B6732" w:rsidRPr="00E5103F">
        <w:rPr>
          <w:rFonts w:ascii="Times New Roman" w:eastAsia="Times New Roman" w:hAnsi="Times New Roman" w:cs="Times New Roman"/>
          <w:sz w:val="24"/>
          <w:szCs w:val="24"/>
          <w:lang w:val="lt-LT"/>
        </w:rPr>
        <w:t xml:space="preserve">, jog SESV 101 straipsnio 1 dalis turi būti aiškinama taip, kad tokios profesinės organizacijos, kaip valstybės narės notarų rūmų, priimtos taisyklės, suvienodinančios tvarką, kaip šios valstybės narės notarai turi apskaičiuoti už jų vykdomą tam </w:t>
      </w:r>
      <w:r w:rsidR="001B6732" w:rsidRPr="00E5103F">
        <w:rPr>
          <w:rFonts w:ascii="Times New Roman" w:eastAsia="Times New Roman" w:hAnsi="Times New Roman" w:cs="Times New Roman"/>
          <w:sz w:val="24"/>
          <w:szCs w:val="24"/>
          <w:lang w:val="lt-LT"/>
        </w:rPr>
        <w:lastRenderedPageBreak/>
        <w:t>tikrą veiklą imamo atlyginimo dydį, yra įmonių asociacijos sprendimai, kaip jie suprantami pagal šią nuostatą (</w:t>
      </w:r>
      <w:r w:rsidR="00251FDD" w:rsidRPr="00E5103F">
        <w:rPr>
          <w:rFonts w:ascii="Times New Roman" w:eastAsia="Times New Roman" w:hAnsi="Times New Roman" w:cs="Times New Roman"/>
          <w:sz w:val="24"/>
          <w:szCs w:val="24"/>
          <w:lang w:val="lt-LT"/>
        </w:rPr>
        <w:t xml:space="preserve">Sprendimo </w:t>
      </w:r>
      <w:r w:rsidR="00251FDD" w:rsidRPr="00E5103F">
        <w:rPr>
          <w:rFonts w:ascii="Times New Roman" w:eastAsia="Times New Roman" w:hAnsi="Times New Roman" w:cs="Times New Roman"/>
          <w:i/>
          <w:iCs/>
          <w:sz w:val="24"/>
          <w:szCs w:val="24"/>
          <w:lang w:val="lt-LT"/>
        </w:rPr>
        <w:t>Notarų rūmai</w:t>
      </w:r>
      <w:r w:rsidR="00251FDD" w:rsidRPr="00E5103F">
        <w:rPr>
          <w:rFonts w:ascii="Times New Roman" w:eastAsia="Times New Roman" w:hAnsi="Times New Roman" w:cs="Times New Roman"/>
          <w:sz w:val="24"/>
          <w:szCs w:val="24"/>
          <w:lang w:val="lt-LT"/>
        </w:rPr>
        <w:t xml:space="preserve"> </w:t>
      </w:r>
      <w:r w:rsidR="001B6732" w:rsidRPr="00E5103F">
        <w:rPr>
          <w:rFonts w:ascii="Times New Roman" w:eastAsia="Times New Roman" w:hAnsi="Times New Roman" w:cs="Times New Roman"/>
          <w:sz w:val="24"/>
          <w:szCs w:val="24"/>
          <w:lang w:val="lt-LT"/>
        </w:rPr>
        <w:t>87 p.).</w:t>
      </w:r>
    </w:p>
    <w:p w14:paraId="402AE45C" w14:textId="3A532155" w:rsidR="008D3532" w:rsidRPr="00E5103F" w:rsidRDefault="00B85A59" w:rsidP="00FF5531">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E5103F">
        <w:rPr>
          <w:rFonts w:ascii="Times New Roman" w:eastAsia="Times New Roman" w:hAnsi="Times New Roman" w:cs="Times New Roman"/>
          <w:sz w:val="24"/>
          <w:szCs w:val="24"/>
          <w:lang w:val="lt-LT"/>
        </w:rPr>
        <w:t xml:space="preserve"> Vis dėlto </w:t>
      </w:r>
      <w:r w:rsidR="00D95315" w:rsidRPr="00E5103F">
        <w:rPr>
          <w:rFonts w:ascii="Times New Roman" w:eastAsia="Times New Roman" w:hAnsi="Times New Roman" w:cs="Times New Roman"/>
          <w:sz w:val="24"/>
          <w:szCs w:val="24"/>
          <w:lang w:val="lt-LT"/>
        </w:rPr>
        <w:t>tam, kad būtų taikomas SESV 101 straipsnio 1 dalyje nustatytas draudimas, įmonių asociacijos sprendimo „tikslas ar poveikis“ turi būti konkurencijos trukdymas, ribojimas arba iškraipymas vidaus rinkoje</w:t>
      </w:r>
      <w:r w:rsidRPr="00E5103F">
        <w:rPr>
          <w:rFonts w:ascii="Times New Roman" w:eastAsia="Times New Roman" w:hAnsi="Times New Roman" w:cs="Times New Roman"/>
          <w:sz w:val="24"/>
          <w:szCs w:val="24"/>
          <w:lang w:val="lt-LT"/>
        </w:rPr>
        <w:t xml:space="preserve"> (Sprendimo </w:t>
      </w:r>
      <w:r w:rsidRPr="00E5103F">
        <w:rPr>
          <w:rFonts w:ascii="Times New Roman" w:eastAsia="Times New Roman" w:hAnsi="Times New Roman" w:cs="Times New Roman"/>
          <w:i/>
          <w:iCs/>
          <w:sz w:val="24"/>
          <w:szCs w:val="24"/>
          <w:lang w:val="lt-LT"/>
        </w:rPr>
        <w:t>Notarų rūmai</w:t>
      </w:r>
      <w:r w:rsidRPr="00E5103F">
        <w:rPr>
          <w:rFonts w:ascii="Times New Roman" w:eastAsia="Times New Roman" w:hAnsi="Times New Roman" w:cs="Times New Roman"/>
          <w:sz w:val="24"/>
          <w:szCs w:val="24"/>
          <w:lang w:val="lt-LT"/>
        </w:rPr>
        <w:t xml:space="preserve"> 91 p.). </w:t>
      </w:r>
    </w:p>
    <w:p w14:paraId="7D908AB3" w14:textId="1C052833" w:rsidR="00667FC9" w:rsidRPr="00E5103F" w:rsidRDefault="008D3532" w:rsidP="00211747">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E5103F">
        <w:rPr>
          <w:rFonts w:ascii="Times New Roman" w:eastAsia="Times New Roman" w:hAnsi="Times New Roman" w:cs="Times New Roman"/>
          <w:sz w:val="24"/>
          <w:szCs w:val="24"/>
          <w:lang w:val="lt-LT"/>
        </w:rPr>
        <w:t xml:space="preserve"> Š</w:t>
      </w:r>
      <w:r w:rsidR="00203726" w:rsidRPr="00E5103F">
        <w:rPr>
          <w:rFonts w:ascii="Times New Roman" w:eastAsia="Times New Roman" w:hAnsi="Times New Roman" w:cs="Times New Roman"/>
          <w:sz w:val="24"/>
          <w:szCs w:val="24"/>
          <w:lang w:val="lt-LT"/>
        </w:rPr>
        <w:t>i</w:t>
      </w:r>
      <w:r w:rsidRPr="00E5103F">
        <w:rPr>
          <w:rFonts w:ascii="Times New Roman" w:eastAsia="Times New Roman" w:hAnsi="Times New Roman" w:cs="Times New Roman"/>
          <w:sz w:val="24"/>
          <w:szCs w:val="24"/>
          <w:lang w:val="lt-LT"/>
        </w:rPr>
        <w:t>uo aspektu</w:t>
      </w:r>
      <w:r w:rsidR="0047704C">
        <w:rPr>
          <w:rFonts w:ascii="Times New Roman" w:eastAsia="Times New Roman" w:hAnsi="Times New Roman" w:cs="Times New Roman"/>
          <w:sz w:val="24"/>
          <w:szCs w:val="24"/>
          <w:lang w:val="lt-LT"/>
        </w:rPr>
        <w:t>, išplėstinės teisėjų kolegijos vertinimu,</w:t>
      </w:r>
      <w:r w:rsidRPr="00E5103F">
        <w:rPr>
          <w:rFonts w:ascii="Times New Roman" w:eastAsia="Times New Roman" w:hAnsi="Times New Roman" w:cs="Times New Roman"/>
          <w:sz w:val="24"/>
          <w:szCs w:val="24"/>
          <w:lang w:val="lt-LT"/>
        </w:rPr>
        <w:t xml:space="preserve"> pirmiausia </w:t>
      </w:r>
      <w:r w:rsidR="0047704C">
        <w:rPr>
          <w:rFonts w:ascii="Times New Roman" w:eastAsia="Times New Roman" w:hAnsi="Times New Roman" w:cs="Times New Roman"/>
          <w:sz w:val="24"/>
          <w:szCs w:val="24"/>
          <w:lang w:val="lt-LT"/>
        </w:rPr>
        <w:t xml:space="preserve">svarbu </w:t>
      </w:r>
      <w:r w:rsidR="00504135">
        <w:rPr>
          <w:rFonts w:ascii="Times New Roman" w:eastAsia="Times New Roman" w:hAnsi="Times New Roman" w:cs="Times New Roman"/>
          <w:sz w:val="24"/>
          <w:szCs w:val="24"/>
          <w:lang w:val="lt-LT"/>
        </w:rPr>
        <w:t>pabrėžti</w:t>
      </w:r>
      <w:r w:rsidRPr="00E5103F">
        <w:rPr>
          <w:rFonts w:ascii="Times New Roman" w:eastAsia="Times New Roman" w:hAnsi="Times New Roman" w:cs="Times New Roman"/>
          <w:sz w:val="24"/>
          <w:szCs w:val="24"/>
          <w:lang w:val="lt-LT"/>
        </w:rPr>
        <w:t xml:space="preserve">, kad </w:t>
      </w:r>
      <w:r w:rsidR="00EC7313" w:rsidRPr="00E5103F">
        <w:rPr>
          <w:rFonts w:ascii="Times New Roman" w:eastAsia="Times New Roman" w:hAnsi="Times New Roman" w:cs="Times New Roman"/>
          <w:sz w:val="24"/>
          <w:szCs w:val="24"/>
          <w:lang w:val="lt-LT"/>
        </w:rPr>
        <w:t xml:space="preserve">nors </w:t>
      </w:r>
      <w:r w:rsidR="006F5148" w:rsidRPr="00E5103F">
        <w:rPr>
          <w:rFonts w:ascii="Times New Roman" w:eastAsia="Times New Roman" w:hAnsi="Times New Roman" w:cs="Times New Roman"/>
          <w:sz w:val="24"/>
          <w:szCs w:val="24"/>
          <w:lang w:val="lt-LT"/>
        </w:rPr>
        <w:t>pareiškėj</w:t>
      </w:r>
      <w:r w:rsidR="00A343D9" w:rsidRPr="00E5103F">
        <w:rPr>
          <w:rFonts w:ascii="Times New Roman" w:eastAsia="Times New Roman" w:hAnsi="Times New Roman" w:cs="Times New Roman"/>
          <w:sz w:val="24"/>
          <w:szCs w:val="24"/>
          <w:lang w:val="lt-LT"/>
        </w:rPr>
        <w:t>ai laikėsi pozicijos</w:t>
      </w:r>
      <w:r w:rsidR="004328F7" w:rsidRPr="00E5103F">
        <w:rPr>
          <w:rFonts w:ascii="Times New Roman" w:eastAsia="Times New Roman" w:hAnsi="Times New Roman" w:cs="Times New Roman"/>
          <w:sz w:val="24"/>
          <w:szCs w:val="24"/>
          <w:lang w:val="lt-LT"/>
        </w:rPr>
        <w:t>,</w:t>
      </w:r>
      <w:r w:rsidR="006F5148" w:rsidRPr="00E5103F">
        <w:rPr>
          <w:rFonts w:ascii="Times New Roman" w:eastAsia="Times New Roman" w:hAnsi="Times New Roman" w:cs="Times New Roman"/>
          <w:sz w:val="24"/>
          <w:szCs w:val="24"/>
          <w:lang w:val="lt-LT"/>
        </w:rPr>
        <w:t xml:space="preserve"> </w:t>
      </w:r>
      <w:r w:rsidR="00A343D9" w:rsidRPr="00E5103F">
        <w:rPr>
          <w:rFonts w:ascii="Times New Roman" w:eastAsia="Times New Roman" w:hAnsi="Times New Roman" w:cs="Times New Roman"/>
          <w:sz w:val="24"/>
          <w:szCs w:val="24"/>
          <w:lang w:val="lt-LT"/>
        </w:rPr>
        <w:t xml:space="preserve">kad </w:t>
      </w:r>
      <w:r w:rsidR="00667FC9" w:rsidRPr="009E76C9">
        <w:rPr>
          <w:rFonts w:ascii="Times New Roman" w:eastAsia="Times New Roman" w:hAnsi="Times New Roman" w:cs="Times New Roman"/>
          <w:sz w:val="24"/>
          <w:szCs w:val="24"/>
          <w:lang w:val="lt-LT"/>
        </w:rPr>
        <w:t>Išaiškinimai negali paveikti valstybių narių tarpusavio prekybos, kaip</w:t>
      </w:r>
      <w:r w:rsidR="00667FC9" w:rsidRPr="00E5103F">
        <w:rPr>
          <w:rFonts w:ascii="Times New Roman" w:eastAsia="Times New Roman" w:hAnsi="Times New Roman" w:cs="Times New Roman"/>
          <w:sz w:val="24"/>
          <w:szCs w:val="24"/>
          <w:lang w:val="lt-LT"/>
        </w:rPr>
        <w:t xml:space="preserve"> tai suprantama pagal </w:t>
      </w:r>
      <w:r w:rsidR="006F5148" w:rsidRPr="00E5103F">
        <w:rPr>
          <w:rFonts w:ascii="Times New Roman" w:eastAsia="Times New Roman" w:hAnsi="Times New Roman" w:cs="Times New Roman"/>
          <w:sz w:val="24"/>
          <w:szCs w:val="24"/>
          <w:lang w:val="lt-LT"/>
        </w:rPr>
        <w:t xml:space="preserve">SESV 101 straipsnio 1 dalį, </w:t>
      </w:r>
      <w:r w:rsidR="007A4E4C">
        <w:rPr>
          <w:rFonts w:ascii="Times New Roman" w:eastAsia="Times New Roman" w:hAnsi="Times New Roman" w:cs="Times New Roman"/>
          <w:sz w:val="24"/>
          <w:szCs w:val="24"/>
          <w:lang w:val="lt-LT"/>
        </w:rPr>
        <w:t xml:space="preserve">nes </w:t>
      </w:r>
      <w:r w:rsidR="00785915" w:rsidRPr="00785915">
        <w:rPr>
          <w:rFonts w:ascii="Times New Roman" w:eastAsia="Times New Roman" w:hAnsi="Times New Roman" w:cs="Times New Roman"/>
          <w:sz w:val="24"/>
          <w:szCs w:val="24"/>
          <w:lang w:val="lt-LT"/>
        </w:rPr>
        <w:t>nėra bendros notarinių paslaugų rinkos, kuriai Išaiškinimai galėtų daryti poveikį</w:t>
      </w:r>
      <w:r w:rsidR="007A4E4C">
        <w:rPr>
          <w:rFonts w:ascii="Times New Roman" w:eastAsia="Times New Roman" w:hAnsi="Times New Roman" w:cs="Times New Roman"/>
          <w:sz w:val="24"/>
          <w:szCs w:val="24"/>
          <w:lang w:val="lt-LT"/>
        </w:rPr>
        <w:t xml:space="preserve">, </w:t>
      </w:r>
      <w:r w:rsidR="00667FC9" w:rsidRPr="00E5103F">
        <w:rPr>
          <w:rFonts w:ascii="Times New Roman" w:eastAsia="Times New Roman" w:hAnsi="Times New Roman" w:cs="Times New Roman"/>
          <w:sz w:val="24"/>
          <w:szCs w:val="24"/>
          <w:lang w:val="lt-LT"/>
        </w:rPr>
        <w:t xml:space="preserve">Teisingumo Teismas </w:t>
      </w:r>
      <w:r w:rsidR="00A343D9" w:rsidRPr="00E5103F">
        <w:rPr>
          <w:rFonts w:ascii="Times New Roman" w:eastAsia="Times New Roman" w:hAnsi="Times New Roman" w:cs="Times New Roman"/>
          <w:sz w:val="24"/>
          <w:szCs w:val="24"/>
          <w:lang w:val="lt-LT"/>
        </w:rPr>
        <w:t xml:space="preserve">tokiam požiūriui nepritarė. </w:t>
      </w:r>
      <w:r w:rsidR="00667FC9" w:rsidRPr="00E5103F">
        <w:rPr>
          <w:rFonts w:ascii="Times New Roman" w:eastAsia="Times New Roman" w:hAnsi="Times New Roman" w:cs="Times New Roman"/>
          <w:sz w:val="24"/>
          <w:szCs w:val="24"/>
          <w:lang w:val="lt-LT"/>
        </w:rPr>
        <w:t xml:space="preserve">Atsižvelgęs į tai, kad Išaiškinimai taikomi visoje Lietuvos Respublikos teritorijoje, nes jie privalomi visiems šioje valstybėje narėje įsteigusiems notarams, o </w:t>
      </w:r>
      <w:bookmarkStart w:id="120" w:name="_Hlk169696626"/>
      <w:r w:rsidR="00667FC9" w:rsidRPr="00E5103F">
        <w:rPr>
          <w:rFonts w:ascii="Times New Roman" w:eastAsia="Times New Roman" w:hAnsi="Times New Roman" w:cs="Times New Roman"/>
          <w:sz w:val="24"/>
          <w:szCs w:val="24"/>
          <w:lang w:val="lt-LT"/>
        </w:rPr>
        <w:t>notaro profesijai iš esmės taikoma įsisteigimo laisvė</w:t>
      </w:r>
      <w:bookmarkEnd w:id="120"/>
      <w:r w:rsidR="00667FC9" w:rsidRPr="00E5103F">
        <w:rPr>
          <w:rFonts w:ascii="Times New Roman" w:eastAsia="Times New Roman" w:hAnsi="Times New Roman" w:cs="Times New Roman"/>
          <w:sz w:val="24"/>
          <w:szCs w:val="24"/>
          <w:lang w:val="lt-LT"/>
        </w:rPr>
        <w:t xml:space="preserve">, Teisingumo Teismas laikėsi pozicijos, kad tokios taisyklės, kaip Išaiškinimai, susiję su esminiu vertimosi šia profesija atitinkamoje valstybėje narėje aspektu, iš esmės gali daryti didelę įtaką kitų valstybių narių piliečių pasirinkimui įsisteigti šioje pirmojoje valstybėje narėje, kad galėtų dirbti pagal šią profesiją. </w:t>
      </w:r>
      <w:bookmarkStart w:id="121" w:name="_Hlk169696444"/>
      <w:r w:rsidR="00667FC9" w:rsidRPr="00E5103F">
        <w:rPr>
          <w:rFonts w:ascii="Times New Roman" w:eastAsia="Times New Roman" w:hAnsi="Times New Roman" w:cs="Times New Roman"/>
          <w:sz w:val="24"/>
          <w:szCs w:val="24"/>
          <w:lang w:val="lt-LT"/>
        </w:rPr>
        <w:t xml:space="preserve">Be to, </w:t>
      </w:r>
      <w:r w:rsidR="00222AC8" w:rsidRPr="00E5103F">
        <w:rPr>
          <w:rFonts w:ascii="Times New Roman" w:eastAsia="Times New Roman" w:hAnsi="Times New Roman" w:cs="Times New Roman"/>
          <w:sz w:val="24"/>
          <w:szCs w:val="24"/>
          <w:lang w:val="lt-LT"/>
        </w:rPr>
        <w:t xml:space="preserve">Teisingumo Teismas </w:t>
      </w:r>
      <w:r w:rsidR="00667FC9" w:rsidRPr="00E5103F">
        <w:rPr>
          <w:rFonts w:ascii="Times New Roman" w:eastAsia="Times New Roman" w:hAnsi="Times New Roman" w:cs="Times New Roman"/>
          <w:sz w:val="24"/>
          <w:szCs w:val="24"/>
          <w:lang w:val="lt-LT"/>
        </w:rPr>
        <w:t>pažymė</w:t>
      </w:r>
      <w:r w:rsidR="00222AC8" w:rsidRPr="00E5103F">
        <w:rPr>
          <w:rFonts w:ascii="Times New Roman" w:eastAsia="Times New Roman" w:hAnsi="Times New Roman" w:cs="Times New Roman"/>
          <w:sz w:val="24"/>
          <w:szCs w:val="24"/>
          <w:lang w:val="lt-LT"/>
        </w:rPr>
        <w:t>jo</w:t>
      </w:r>
      <w:r w:rsidR="00667FC9" w:rsidRPr="00E5103F">
        <w:rPr>
          <w:rFonts w:ascii="Times New Roman" w:eastAsia="Times New Roman" w:hAnsi="Times New Roman" w:cs="Times New Roman"/>
          <w:sz w:val="24"/>
          <w:szCs w:val="24"/>
          <w:lang w:val="lt-LT"/>
        </w:rPr>
        <w:t>, kad kitų nei Lietuvos Respublika valstybių narių piliečiai gali naudotis šioje valstybėje narėje įsisteigusių notarų paslaugomis</w:t>
      </w:r>
      <w:bookmarkEnd w:id="121"/>
      <w:r w:rsidR="00667FC9" w:rsidRPr="00E5103F">
        <w:rPr>
          <w:rFonts w:ascii="Times New Roman" w:eastAsia="Times New Roman" w:hAnsi="Times New Roman" w:cs="Times New Roman"/>
          <w:sz w:val="24"/>
          <w:szCs w:val="24"/>
          <w:lang w:val="lt-LT"/>
        </w:rPr>
        <w:t xml:space="preserve">. Tokiomis aplinkybėmis Išaiškinimai, </w:t>
      </w:r>
      <w:bookmarkStart w:id="122" w:name="_Hlk169077456"/>
      <w:r w:rsidR="00667FC9" w:rsidRPr="00E5103F">
        <w:rPr>
          <w:rFonts w:ascii="Times New Roman" w:eastAsia="Times New Roman" w:hAnsi="Times New Roman" w:cs="Times New Roman"/>
          <w:sz w:val="24"/>
          <w:szCs w:val="24"/>
          <w:lang w:val="lt-LT"/>
        </w:rPr>
        <w:t xml:space="preserve">jeigu jie turi būti kvalifikuojami kaip įmonių susitarimai arba įmonių asociacijų sprendimai, kaip jie suprantami pagal SESV 101 straipsnio 1 dalį, </w:t>
      </w:r>
      <w:bookmarkEnd w:id="122"/>
      <w:r w:rsidR="00667FC9" w:rsidRPr="00E5103F">
        <w:rPr>
          <w:rFonts w:ascii="Times New Roman" w:eastAsia="Times New Roman" w:hAnsi="Times New Roman" w:cs="Times New Roman"/>
          <w:sz w:val="24"/>
          <w:szCs w:val="24"/>
          <w:lang w:val="lt-LT"/>
        </w:rPr>
        <w:t xml:space="preserve">Teisingumo Teismo vertinimu, galėtų paveikti valstybių narių tarpusavio prekybą, kaip tai suprantama pagal šią nuostatą (Sprendimo </w:t>
      </w:r>
      <w:r w:rsidR="00667FC9" w:rsidRPr="00E5103F">
        <w:rPr>
          <w:rFonts w:ascii="Times New Roman" w:eastAsia="Times New Roman" w:hAnsi="Times New Roman" w:cs="Times New Roman"/>
          <w:i/>
          <w:iCs/>
          <w:sz w:val="24"/>
          <w:szCs w:val="24"/>
          <w:lang w:val="lt-LT"/>
        </w:rPr>
        <w:t>Notarų rūmai</w:t>
      </w:r>
      <w:r w:rsidR="007A2B59" w:rsidRPr="00E5103F">
        <w:rPr>
          <w:rFonts w:ascii="Times New Roman" w:eastAsia="Times New Roman" w:hAnsi="Times New Roman" w:cs="Times New Roman"/>
          <w:i/>
          <w:iCs/>
          <w:sz w:val="24"/>
          <w:szCs w:val="24"/>
          <w:lang w:val="lt-LT"/>
        </w:rPr>
        <w:t xml:space="preserve"> </w:t>
      </w:r>
      <w:r w:rsidR="007A2B59" w:rsidRPr="00E5103F">
        <w:rPr>
          <w:rFonts w:ascii="Times New Roman" w:eastAsia="Times New Roman" w:hAnsi="Times New Roman" w:cs="Times New Roman"/>
          <w:sz w:val="24"/>
          <w:szCs w:val="24"/>
          <w:lang w:val="lt-LT"/>
        </w:rPr>
        <w:t>47, 52</w:t>
      </w:r>
      <w:r w:rsidR="00216EBF" w:rsidRPr="00E5103F">
        <w:rPr>
          <w:rFonts w:ascii="Times New Roman" w:eastAsia="Times New Roman" w:hAnsi="Times New Roman" w:cs="Times New Roman"/>
          <w:sz w:val="24"/>
          <w:szCs w:val="24"/>
          <w:lang w:val="lt-LT"/>
        </w:rPr>
        <w:t>–</w:t>
      </w:r>
      <w:r w:rsidR="007A2B59" w:rsidRPr="00E5103F">
        <w:rPr>
          <w:rFonts w:ascii="Times New Roman" w:eastAsia="Times New Roman" w:hAnsi="Times New Roman" w:cs="Times New Roman"/>
          <w:sz w:val="24"/>
          <w:szCs w:val="24"/>
          <w:lang w:val="lt-LT"/>
        </w:rPr>
        <w:t>54</w:t>
      </w:r>
      <w:r w:rsidR="00216EBF" w:rsidRPr="00E5103F">
        <w:rPr>
          <w:rFonts w:ascii="Times New Roman" w:eastAsia="Times New Roman" w:hAnsi="Times New Roman" w:cs="Times New Roman"/>
          <w:sz w:val="24"/>
          <w:szCs w:val="24"/>
          <w:lang w:val="lt-LT"/>
        </w:rPr>
        <w:t xml:space="preserve"> p.</w:t>
      </w:r>
      <w:r w:rsidR="00667FC9" w:rsidRPr="00E5103F">
        <w:rPr>
          <w:rFonts w:ascii="Times New Roman" w:eastAsia="Times New Roman" w:hAnsi="Times New Roman" w:cs="Times New Roman"/>
          <w:sz w:val="24"/>
          <w:szCs w:val="24"/>
          <w:lang w:val="lt-LT"/>
        </w:rPr>
        <w:t>).</w:t>
      </w:r>
    </w:p>
    <w:p w14:paraId="5F89274A" w14:textId="77E90A8F" w:rsidR="00A0703F" w:rsidRPr="009E76C9" w:rsidRDefault="008D3532" w:rsidP="00756768">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E5103F">
        <w:rPr>
          <w:rFonts w:ascii="Times New Roman" w:eastAsia="Times New Roman" w:hAnsi="Times New Roman" w:cs="Times New Roman"/>
          <w:sz w:val="24"/>
          <w:szCs w:val="24"/>
          <w:lang w:val="lt-LT"/>
        </w:rPr>
        <w:t xml:space="preserve"> </w:t>
      </w:r>
      <w:r w:rsidR="00440575">
        <w:rPr>
          <w:rFonts w:ascii="Times New Roman" w:eastAsia="Times New Roman" w:hAnsi="Times New Roman" w:cs="Times New Roman"/>
          <w:sz w:val="24"/>
          <w:szCs w:val="24"/>
          <w:lang w:val="lt-LT"/>
        </w:rPr>
        <w:t xml:space="preserve">Taigi, </w:t>
      </w:r>
      <w:r w:rsidR="00E72BDC">
        <w:rPr>
          <w:rFonts w:ascii="Times New Roman" w:eastAsia="Times New Roman" w:hAnsi="Times New Roman" w:cs="Times New Roman"/>
          <w:sz w:val="24"/>
          <w:szCs w:val="24"/>
          <w:lang w:val="lt-LT"/>
        </w:rPr>
        <w:t xml:space="preserve">vadovaudamasi šio procesinio sprendimo </w:t>
      </w:r>
      <w:r w:rsidR="00DE5F09">
        <w:rPr>
          <w:rFonts w:ascii="Times New Roman" w:eastAsia="Times New Roman" w:hAnsi="Times New Roman" w:cs="Times New Roman"/>
          <w:sz w:val="24"/>
          <w:szCs w:val="24"/>
          <w:lang w:val="lt-LT"/>
        </w:rPr>
        <w:t>12</w:t>
      </w:r>
      <w:r w:rsidR="00EA17C1">
        <w:rPr>
          <w:rFonts w:ascii="Times New Roman" w:eastAsia="Times New Roman" w:hAnsi="Times New Roman" w:cs="Times New Roman"/>
          <w:sz w:val="24"/>
          <w:szCs w:val="24"/>
          <w:lang w:val="lt-LT"/>
        </w:rPr>
        <w:t>3</w:t>
      </w:r>
      <w:r w:rsidR="004F5CFF">
        <w:rPr>
          <w:rFonts w:ascii="Times New Roman" w:eastAsia="Times New Roman" w:hAnsi="Times New Roman" w:cs="Times New Roman"/>
          <w:sz w:val="24"/>
          <w:szCs w:val="24"/>
          <w:lang w:val="lt-LT"/>
        </w:rPr>
        <w:t>–</w:t>
      </w:r>
      <w:r w:rsidR="00E72BDC">
        <w:rPr>
          <w:rFonts w:ascii="Times New Roman" w:eastAsia="Times New Roman" w:hAnsi="Times New Roman" w:cs="Times New Roman"/>
          <w:sz w:val="24"/>
          <w:szCs w:val="24"/>
          <w:lang w:val="lt-LT"/>
        </w:rPr>
        <w:t>12</w:t>
      </w:r>
      <w:r w:rsidR="00EA17C1">
        <w:rPr>
          <w:rFonts w:ascii="Times New Roman" w:eastAsia="Times New Roman" w:hAnsi="Times New Roman" w:cs="Times New Roman"/>
          <w:sz w:val="24"/>
          <w:szCs w:val="24"/>
          <w:lang w:val="lt-LT"/>
        </w:rPr>
        <w:t>5</w:t>
      </w:r>
      <w:r w:rsidR="00DE5F09">
        <w:rPr>
          <w:rFonts w:ascii="Times New Roman" w:eastAsia="Times New Roman" w:hAnsi="Times New Roman" w:cs="Times New Roman"/>
          <w:sz w:val="24"/>
          <w:szCs w:val="24"/>
          <w:lang w:val="lt-LT"/>
        </w:rPr>
        <w:t xml:space="preserve"> punktuose </w:t>
      </w:r>
      <w:r w:rsidR="00EA17C1">
        <w:rPr>
          <w:rFonts w:ascii="Times New Roman" w:eastAsia="Times New Roman" w:hAnsi="Times New Roman" w:cs="Times New Roman"/>
          <w:sz w:val="24"/>
          <w:szCs w:val="24"/>
          <w:lang w:val="lt-LT"/>
        </w:rPr>
        <w:t>nustatytomis</w:t>
      </w:r>
      <w:r w:rsidR="00DE5F09">
        <w:rPr>
          <w:rFonts w:ascii="Times New Roman" w:eastAsia="Times New Roman" w:hAnsi="Times New Roman" w:cs="Times New Roman"/>
          <w:sz w:val="24"/>
          <w:szCs w:val="24"/>
          <w:lang w:val="lt-LT"/>
        </w:rPr>
        <w:t xml:space="preserve"> aplinkybėmis, išplėstinė teisėjų kolegija </w:t>
      </w:r>
      <w:r w:rsidR="000F7A60">
        <w:rPr>
          <w:rFonts w:ascii="Times New Roman" w:eastAsia="Times New Roman" w:hAnsi="Times New Roman" w:cs="Times New Roman"/>
          <w:sz w:val="24"/>
          <w:szCs w:val="24"/>
          <w:lang w:val="lt-LT"/>
        </w:rPr>
        <w:t>sprendžia</w:t>
      </w:r>
      <w:r w:rsidR="00440575">
        <w:rPr>
          <w:rFonts w:ascii="Times New Roman" w:eastAsia="Times New Roman" w:hAnsi="Times New Roman" w:cs="Times New Roman"/>
          <w:sz w:val="24"/>
          <w:szCs w:val="24"/>
          <w:lang w:val="lt-LT"/>
        </w:rPr>
        <w:t xml:space="preserve">, kad </w:t>
      </w:r>
      <w:r w:rsidR="00F26197">
        <w:rPr>
          <w:rFonts w:ascii="Times New Roman" w:eastAsia="Times New Roman" w:hAnsi="Times New Roman" w:cs="Times New Roman"/>
          <w:sz w:val="24"/>
          <w:szCs w:val="24"/>
          <w:lang w:val="lt-LT"/>
        </w:rPr>
        <w:t xml:space="preserve">nagrinėjamoje administracinėje byloje </w:t>
      </w:r>
      <w:r w:rsidR="00FC04C2">
        <w:rPr>
          <w:rFonts w:ascii="Times New Roman" w:eastAsia="Times New Roman" w:hAnsi="Times New Roman" w:cs="Times New Roman"/>
          <w:sz w:val="24"/>
          <w:szCs w:val="24"/>
          <w:lang w:val="lt-LT"/>
        </w:rPr>
        <w:t xml:space="preserve">SESV 101 straipsnio 1 dalies </w:t>
      </w:r>
      <w:r w:rsidR="006E1F41">
        <w:rPr>
          <w:rFonts w:ascii="Times New Roman" w:eastAsia="Times New Roman" w:hAnsi="Times New Roman" w:cs="Times New Roman"/>
          <w:sz w:val="24"/>
          <w:szCs w:val="24"/>
          <w:lang w:val="lt-LT"/>
        </w:rPr>
        <w:t xml:space="preserve">kontekste analizuojami Išaiškinimai gali paveikti valstybių narių tarpusavio prekybą, </w:t>
      </w:r>
      <w:r w:rsidR="000F7A60">
        <w:rPr>
          <w:rFonts w:ascii="Times New Roman" w:eastAsia="Times New Roman" w:hAnsi="Times New Roman" w:cs="Times New Roman"/>
          <w:sz w:val="24"/>
          <w:szCs w:val="24"/>
          <w:lang w:val="lt-LT"/>
        </w:rPr>
        <w:t xml:space="preserve">todėl </w:t>
      </w:r>
      <w:r w:rsidR="00DC1898">
        <w:rPr>
          <w:rFonts w:ascii="Times New Roman" w:eastAsia="Times New Roman" w:hAnsi="Times New Roman" w:cs="Times New Roman"/>
          <w:sz w:val="24"/>
          <w:szCs w:val="24"/>
          <w:lang w:val="lt-LT"/>
        </w:rPr>
        <w:t xml:space="preserve">toliau </w:t>
      </w:r>
      <w:r w:rsidR="00E337F7">
        <w:rPr>
          <w:rFonts w:ascii="Times New Roman" w:eastAsia="Times New Roman" w:hAnsi="Times New Roman" w:cs="Times New Roman"/>
          <w:sz w:val="24"/>
          <w:szCs w:val="24"/>
          <w:lang w:val="lt-LT"/>
        </w:rPr>
        <w:t>vertin</w:t>
      </w:r>
      <w:r w:rsidR="00892674">
        <w:rPr>
          <w:rFonts w:ascii="Times New Roman" w:eastAsia="Times New Roman" w:hAnsi="Times New Roman" w:cs="Times New Roman"/>
          <w:sz w:val="24"/>
          <w:szCs w:val="24"/>
          <w:lang w:val="lt-LT"/>
        </w:rPr>
        <w:t>s</w:t>
      </w:r>
      <w:r w:rsidR="00E337F7">
        <w:rPr>
          <w:rFonts w:ascii="Times New Roman" w:eastAsia="Times New Roman" w:hAnsi="Times New Roman" w:cs="Times New Roman"/>
          <w:sz w:val="24"/>
          <w:szCs w:val="24"/>
          <w:lang w:val="lt-LT"/>
        </w:rPr>
        <w:t xml:space="preserve">, ar </w:t>
      </w:r>
      <w:r w:rsidR="002731A4">
        <w:rPr>
          <w:rFonts w:ascii="Times New Roman" w:eastAsia="Times New Roman" w:hAnsi="Times New Roman" w:cs="Times New Roman"/>
          <w:sz w:val="24"/>
          <w:szCs w:val="24"/>
          <w:lang w:val="lt-LT"/>
        </w:rPr>
        <w:t>jų</w:t>
      </w:r>
      <w:r w:rsidR="00AE60A1" w:rsidRPr="00AE60A1">
        <w:rPr>
          <w:rFonts w:ascii="Times New Roman" w:eastAsia="Times New Roman" w:hAnsi="Times New Roman" w:cs="Times New Roman"/>
          <w:sz w:val="24"/>
          <w:szCs w:val="24"/>
          <w:lang w:val="lt-LT"/>
        </w:rPr>
        <w:t xml:space="preserve"> „tikslas ar poveikis“ </w:t>
      </w:r>
      <w:r w:rsidR="00C32532">
        <w:rPr>
          <w:rFonts w:ascii="Times New Roman" w:eastAsia="Times New Roman" w:hAnsi="Times New Roman" w:cs="Times New Roman"/>
          <w:sz w:val="24"/>
          <w:szCs w:val="24"/>
          <w:lang w:val="lt-LT"/>
        </w:rPr>
        <w:t xml:space="preserve">yra </w:t>
      </w:r>
      <w:r w:rsidR="00AE60A1" w:rsidRPr="00AE60A1">
        <w:rPr>
          <w:rFonts w:ascii="Times New Roman" w:eastAsia="Times New Roman" w:hAnsi="Times New Roman" w:cs="Times New Roman"/>
          <w:sz w:val="24"/>
          <w:szCs w:val="24"/>
          <w:lang w:val="lt-LT"/>
        </w:rPr>
        <w:t>konkurencijos trukdymas, ribojimas arba iškraipymas vidaus rinkoje</w:t>
      </w:r>
      <w:r w:rsidR="00CB57AC">
        <w:rPr>
          <w:rFonts w:ascii="Times New Roman" w:eastAsia="Times New Roman" w:hAnsi="Times New Roman" w:cs="Times New Roman"/>
          <w:sz w:val="24"/>
          <w:szCs w:val="24"/>
          <w:lang w:val="lt-LT"/>
        </w:rPr>
        <w:t xml:space="preserve"> minėtos SESV nuostatos prasme</w:t>
      </w:r>
      <w:r w:rsidR="00C41788">
        <w:rPr>
          <w:rFonts w:ascii="Times New Roman" w:eastAsia="Times New Roman" w:hAnsi="Times New Roman" w:cs="Times New Roman"/>
          <w:sz w:val="24"/>
          <w:szCs w:val="24"/>
          <w:lang w:val="lt-LT"/>
        </w:rPr>
        <w:t xml:space="preserve">. </w:t>
      </w:r>
      <w:r w:rsidR="00B82A61" w:rsidRPr="00756768">
        <w:rPr>
          <w:rFonts w:ascii="Times New Roman" w:eastAsia="Times New Roman" w:hAnsi="Times New Roman" w:cs="Times New Roman"/>
          <w:sz w:val="24"/>
          <w:szCs w:val="24"/>
          <w:lang w:val="lt-LT"/>
        </w:rPr>
        <w:t xml:space="preserve">Iš </w:t>
      </w:r>
      <w:r w:rsidR="00CB3B30" w:rsidRPr="00756768">
        <w:rPr>
          <w:rFonts w:ascii="Times New Roman" w:eastAsia="Times New Roman" w:hAnsi="Times New Roman" w:cs="Times New Roman"/>
          <w:sz w:val="24"/>
          <w:szCs w:val="24"/>
          <w:lang w:val="lt-LT"/>
        </w:rPr>
        <w:t xml:space="preserve">gausios ir </w:t>
      </w:r>
      <w:r w:rsidR="00B82A61" w:rsidRPr="00756768">
        <w:rPr>
          <w:rFonts w:ascii="Times New Roman" w:eastAsia="Times New Roman" w:hAnsi="Times New Roman" w:cs="Times New Roman"/>
          <w:sz w:val="24"/>
          <w:szCs w:val="24"/>
          <w:lang w:val="lt-LT"/>
        </w:rPr>
        <w:t>nuoseklios</w:t>
      </w:r>
      <w:r w:rsidR="00FF5531" w:rsidRPr="00756768">
        <w:rPr>
          <w:rFonts w:ascii="Times New Roman" w:hAnsi="Times New Roman" w:cs="Times New Roman"/>
          <w:sz w:val="24"/>
          <w:szCs w:val="24"/>
          <w:lang w:val="lt-LT"/>
        </w:rPr>
        <w:t xml:space="preserve"> Teisingumo Teismo jurisprudencij</w:t>
      </w:r>
      <w:r w:rsidR="00B82A61" w:rsidRPr="00756768">
        <w:rPr>
          <w:rFonts w:ascii="Times New Roman" w:hAnsi="Times New Roman" w:cs="Times New Roman"/>
          <w:sz w:val="24"/>
          <w:szCs w:val="24"/>
          <w:lang w:val="lt-LT"/>
        </w:rPr>
        <w:t xml:space="preserve">os yra aišku, kad </w:t>
      </w:r>
      <w:r w:rsidR="00D75584" w:rsidRPr="00756768">
        <w:rPr>
          <w:rFonts w:ascii="Times New Roman" w:hAnsi="Times New Roman" w:cs="Times New Roman"/>
          <w:sz w:val="24"/>
          <w:szCs w:val="24"/>
          <w:lang w:val="lt-LT"/>
        </w:rPr>
        <w:t xml:space="preserve">tam </w:t>
      </w:r>
      <w:r w:rsidR="00FF5531" w:rsidRPr="00756768">
        <w:rPr>
          <w:rFonts w:ascii="Times New Roman" w:hAnsi="Times New Roman" w:cs="Times New Roman"/>
          <w:sz w:val="24"/>
          <w:szCs w:val="24"/>
          <w:lang w:val="lt-LT"/>
        </w:rPr>
        <w:t xml:space="preserve">pirmiausia reikia įvertinti </w:t>
      </w:r>
      <w:r w:rsidR="00E85A34">
        <w:rPr>
          <w:rFonts w:ascii="Times New Roman" w:hAnsi="Times New Roman" w:cs="Times New Roman"/>
          <w:sz w:val="24"/>
          <w:szCs w:val="24"/>
          <w:lang w:val="lt-LT"/>
        </w:rPr>
        <w:t xml:space="preserve">analizuojamo </w:t>
      </w:r>
      <w:r w:rsidR="00FF5531" w:rsidRPr="00756768">
        <w:rPr>
          <w:rFonts w:ascii="Times New Roman" w:hAnsi="Times New Roman" w:cs="Times New Roman"/>
          <w:sz w:val="24"/>
          <w:szCs w:val="24"/>
          <w:lang w:val="lt-LT"/>
        </w:rPr>
        <w:t xml:space="preserve">įmonių asociacijos sprendimo </w:t>
      </w:r>
      <w:r w:rsidR="00FF5531" w:rsidRPr="009E76C9">
        <w:rPr>
          <w:rFonts w:ascii="Times New Roman" w:hAnsi="Times New Roman" w:cs="Times New Roman"/>
          <w:sz w:val="24"/>
          <w:szCs w:val="24"/>
          <w:lang w:val="lt-LT"/>
        </w:rPr>
        <w:t>tikslą (</w:t>
      </w:r>
      <w:r w:rsidR="00E95C60" w:rsidRPr="009E76C9">
        <w:rPr>
          <w:rFonts w:ascii="Times New Roman" w:eastAsia="Times New Roman" w:hAnsi="Times New Roman" w:cs="Times New Roman"/>
          <w:sz w:val="24"/>
          <w:szCs w:val="24"/>
          <w:lang w:val="lt-LT"/>
        </w:rPr>
        <w:t xml:space="preserve">Sprendimo </w:t>
      </w:r>
      <w:r w:rsidR="00E95C60" w:rsidRPr="009E76C9">
        <w:rPr>
          <w:rFonts w:ascii="Times New Roman" w:eastAsia="Times New Roman" w:hAnsi="Times New Roman" w:cs="Times New Roman"/>
          <w:i/>
          <w:iCs/>
          <w:sz w:val="24"/>
          <w:szCs w:val="24"/>
          <w:lang w:val="lt-LT"/>
        </w:rPr>
        <w:t xml:space="preserve">Notarų rūmai </w:t>
      </w:r>
      <w:r w:rsidR="00E95C60" w:rsidRPr="009E76C9">
        <w:rPr>
          <w:rFonts w:ascii="Times New Roman" w:eastAsia="Times New Roman" w:hAnsi="Times New Roman" w:cs="Times New Roman"/>
          <w:sz w:val="24"/>
          <w:szCs w:val="24"/>
          <w:lang w:val="lt-LT"/>
        </w:rPr>
        <w:t>9</w:t>
      </w:r>
      <w:r w:rsidR="00B94D8D" w:rsidRPr="009E76C9">
        <w:rPr>
          <w:rFonts w:ascii="Times New Roman" w:eastAsia="Times New Roman" w:hAnsi="Times New Roman" w:cs="Times New Roman"/>
          <w:sz w:val="24"/>
          <w:szCs w:val="24"/>
          <w:lang w:val="lt-LT"/>
        </w:rPr>
        <w:t>2</w:t>
      </w:r>
      <w:r w:rsidR="00E95C60" w:rsidRPr="009E76C9">
        <w:rPr>
          <w:rFonts w:ascii="Times New Roman" w:eastAsia="Times New Roman" w:hAnsi="Times New Roman" w:cs="Times New Roman"/>
          <w:sz w:val="24"/>
          <w:szCs w:val="24"/>
          <w:lang w:val="lt-LT"/>
        </w:rPr>
        <w:t xml:space="preserve"> p</w:t>
      </w:r>
      <w:r w:rsidR="006A7CA1" w:rsidRPr="009E76C9">
        <w:rPr>
          <w:rFonts w:ascii="Times New Roman" w:eastAsia="Times New Roman" w:hAnsi="Times New Roman" w:cs="Times New Roman"/>
          <w:sz w:val="24"/>
          <w:szCs w:val="24"/>
          <w:lang w:val="lt-LT"/>
        </w:rPr>
        <w:t>unktas</w:t>
      </w:r>
      <w:r w:rsidR="00E95C60" w:rsidRPr="009E76C9">
        <w:rPr>
          <w:rFonts w:ascii="Times New Roman" w:eastAsia="Times New Roman" w:hAnsi="Times New Roman" w:cs="Times New Roman"/>
          <w:sz w:val="24"/>
          <w:szCs w:val="24"/>
          <w:lang w:val="lt-LT"/>
        </w:rPr>
        <w:t xml:space="preserve"> ir jame nurodyta jurisprudencija</w:t>
      </w:r>
      <w:r w:rsidR="00FF5531" w:rsidRPr="009E76C9">
        <w:rPr>
          <w:rFonts w:ascii="Times New Roman" w:hAnsi="Times New Roman" w:cs="Times New Roman"/>
          <w:sz w:val="24"/>
          <w:szCs w:val="24"/>
          <w:lang w:val="lt-LT"/>
        </w:rPr>
        <w:t>).</w:t>
      </w:r>
      <w:r w:rsidR="00AF18D5" w:rsidRPr="009E76C9">
        <w:rPr>
          <w:rFonts w:ascii="Times New Roman" w:hAnsi="Times New Roman" w:cs="Times New Roman"/>
          <w:sz w:val="24"/>
          <w:szCs w:val="24"/>
          <w:lang w:val="lt-LT"/>
        </w:rPr>
        <w:t xml:space="preserve"> </w:t>
      </w:r>
    </w:p>
    <w:p w14:paraId="1CD3A67F" w14:textId="15E1CD57" w:rsidR="00802A3A" w:rsidRPr="00802A3A" w:rsidRDefault="00336669" w:rsidP="002C37CD">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9E76C9">
        <w:rPr>
          <w:rFonts w:ascii="Times New Roman" w:hAnsi="Times New Roman" w:cs="Times New Roman"/>
          <w:sz w:val="24"/>
          <w:szCs w:val="24"/>
          <w:lang w:val="lt-LT"/>
        </w:rPr>
        <w:t xml:space="preserve"> </w:t>
      </w:r>
      <w:r w:rsidR="00304FB8" w:rsidRPr="009E76C9">
        <w:rPr>
          <w:rFonts w:ascii="Times New Roman" w:hAnsi="Times New Roman" w:cs="Times New Roman"/>
          <w:sz w:val="24"/>
          <w:szCs w:val="24"/>
          <w:lang w:val="lt-LT"/>
        </w:rPr>
        <w:t xml:space="preserve">Šiuo aspektu </w:t>
      </w:r>
      <w:r w:rsidR="00885A20" w:rsidRPr="009E76C9">
        <w:rPr>
          <w:rFonts w:ascii="Times New Roman" w:hAnsi="Times New Roman" w:cs="Times New Roman"/>
          <w:sz w:val="24"/>
          <w:szCs w:val="24"/>
          <w:lang w:val="lt-LT"/>
        </w:rPr>
        <w:t>Teisingumo Teism</w:t>
      </w:r>
      <w:r w:rsidR="002C37CD" w:rsidRPr="009E76C9">
        <w:rPr>
          <w:rFonts w:ascii="Times New Roman" w:hAnsi="Times New Roman" w:cs="Times New Roman"/>
          <w:sz w:val="24"/>
          <w:szCs w:val="24"/>
          <w:lang w:val="lt-LT"/>
        </w:rPr>
        <w:t>as</w:t>
      </w:r>
      <w:r w:rsidR="00294682" w:rsidRPr="009E76C9">
        <w:rPr>
          <w:rFonts w:ascii="Times New Roman" w:hAnsi="Times New Roman" w:cs="Times New Roman"/>
          <w:sz w:val="24"/>
          <w:szCs w:val="24"/>
          <w:lang w:val="lt-LT"/>
        </w:rPr>
        <w:t xml:space="preserve"> laikosi pozicijos, jog </w:t>
      </w:r>
      <w:r w:rsidR="00885A20" w:rsidRPr="009E76C9">
        <w:rPr>
          <w:rFonts w:ascii="Times New Roman" w:hAnsi="Times New Roman" w:cs="Times New Roman"/>
          <w:sz w:val="24"/>
          <w:szCs w:val="24"/>
          <w:lang w:val="lt-LT"/>
        </w:rPr>
        <w:t xml:space="preserve">tam tikros įmonių veiksmų derinimo rūšys yra pakankamai kenksmingos konkurencijai, kad būtų kvalifikuojamos kaip ribojimas pagal tikslą, todėl jų poveikio nagrinėti nebūtina. Ši jurisprudencija susijusi su aplinkybe, kad tam tikros įmonių veiksmų derinimo formos gali būti savaime laikomos žalingomis tinkamam konkurencijos veikimui (2021 m. lapkričio 18 d. sprendimo </w:t>
      </w:r>
      <w:proofErr w:type="spellStart"/>
      <w:r w:rsidR="00885A20" w:rsidRPr="009E76C9">
        <w:rPr>
          <w:rFonts w:ascii="Times New Roman" w:hAnsi="Times New Roman" w:cs="Times New Roman"/>
          <w:i/>
          <w:iCs/>
          <w:sz w:val="24"/>
          <w:szCs w:val="24"/>
          <w:lang w:val="lt-LT"/>
        </w:rPr>
        <w:t>Visma</w:t>
      </w:r>
      <w:proofErr w:type="spellEnd"/>
      <w:r w:rsidR="00885A20" w:rsidRPr="009E76C9">
        <w:rPr>
          <w:rFonts w:ascii="Times New Roman" w:hAnsi="Times New Roman" w:cs="Times New Roman"/>
          <w:i/>
          <w:iCs/>
          <w:sz w:val="24"/>
          <w:szCs w:val="24"/>
          <w:lang w:val="lt-LT"/>
        </w:rPr>
        <w:t xml:space="preserve"> </w:t>
      </w:r>
      <w:proofErr w:type="spellStart"/>
      <w:r w:rsidR="00885A20" w:rsidRPr="009E76C9">
        <w:rPr>
          <w:rFonts w:ascii="Times New Roman" w:hAnsi="Times New Roman" w:cs="Times New Roman"/>
          <w:i/>
          <w:iCs/>
          <w:sz w:val="24"/>
          <w:szCs w:val="24"/>
          <w:lang w:val="lt-LT"/>
        </w:rPr>
        <w:t>Enterprise</w:t>
      </w:r>
      <w:proofErr w:type="spellEnd"/>
      <w:r w:rsidR="00885A20" w:rsidRPr="009E76C9">
        <w:rPr>
          <w:rFonts w:ascii="Times New Roman" w:hAnsi="Times New Roman" w:cs="Times New Roman"/>
          <w:sz w:val="24"/>
          <w:szCs w:val="24"/>
          <w:lang w:val="lt-LT"/>
        </w:rPr>
        <w:t xml:space="preserve">, C-306/20, EU:C:2021:935, 57 p. ir jame nurodyta jurisprudencija). </w:t>
      </w:r>
      <w:r w:rsidR="00BB2B9B" w:rsidRPr="009E76C9">
        <w:rPr>
          <w:rFonts w:ascii="Times New Roman" w:hAnsi="Times New Roman" w:cs="Times New Roman"/>
          <w:sz w:val="24"/>
          <w:szCs w:val="24"/>
          <w:lang w:val="lt-LT"/>
        </w:rPr>
        <w:t xml:space="preserve">Pavyzdžiui, </w:t>
      </w:r>
      <w:r w:rsidR="00885A20" w:rsidRPr="009E76C9">
        <w:rPr>
          <w:rFonts w:ascii="Times New Roman" w:hAnsi="Times New Roman" w:cs="Times New Roman"/>
          <w:sz w:val="24"/>
          <w:szCs w:val="24"/>
          <w:lang w:val="lt-LT"/>
        </w:rPr>
        <w:t xml:space="preserve">pripažįstama, kad tam tikri slapti </w:t>
      </w:r>
      <w:bookmarkStart w:id="123" w:name="_Hlk175056196"/>
      <w:r w:rsidR="00885A20" w:rsidRPr="009E76C9">
        <w:rPr>
          <w:rFonts w:ascii="Times New Roman" w:hAnsi="Times New Roman" w:cs="Times New Roman"/>
          <w:sz w:val="24"/>
          <w:szCs w:val="24"/>
          <w:lang w:val="lt-LT"/>
        </w:rPr>
        <w:t xml:space="preserve">veiksmai, lemiantys horizontalų kainų nustatymą, </w:t>
      </w:r>
      <w:bookmarkStart w:id="124" w:name="_Hlk174374288"/>
      <w:r w:rsidR="00885A20" w:rsidRPr="009E76C9">
        <w:rPr>
          <w:rFonts w:ascii="Times New Roman" w:hAnsi="Times New Roman" w:cs="Times New Roman"/>
          <w:sz w:val="24"/>
          <w:szCs w:val="24"/>
          <w:lang w:val="lt-LT"/>
        </w:rPr>
        <w:t>gali būti laikomi darančiais tokią didelę neigiamą įtaką konkrečiai prekių ir paslaugų kainai, kiekiui ar kokybei, kad gali būti laikoma, jog SESV 101 straipsnio 1 dalies taikymo tikslais neverta įrodinėti, kad tais veiksmais daromas konkretus poveikis rinkai</w:t>
      </w:r>
      <w:bookmarkEnd w:id="123"/>
      <w:r w:rsidR="00885A20" w:rsidRPr="009E76C9">
        <w:rPr>
          <w:rFonts w:ascii="Times New Roman" w:hAnsi="Times New Roman" w:cs="Times New Roman"/>
          <w:sz w:val="24"/>
          <w:szCs w:val="24"/>
          <w:lang w:val="lt-LT"/>
        </w:rPr>
        <w:t xml:space="preserve"> </w:t>
      </w:r>
      <w:bookmarkEnd w:id="124"/>
      <w:r w:rsidR="00885A20" w:rsidRPr="009E76C9">
        <w:rPr>
          <w:rFonts w:ascii="Times New Roman" w:hAnsi="Times New Roman" w:cs="Times New Roman"/>
          <w:sz w:val="24"/>
          <w:szCs w:val="24"/>
          <w:lang w:val="lt-LT"/>
        </w:rPr>
        <w:t>(</w:t>
      </w:r>
      <w:r w:rsidR="00885A20" w:rsidRPr="00CF2E95">
        <w:rPr>
          <w:rFonts w:ascii="Times New Roman" w:hAnsi="Times New Roman" w:cs="Times New Roman"/>
          <w:sz w:val="24"/>
          <w:szCs w:val="24"/>
          <w:lang w:val="lt-LT"/>
        </w:rPr>
        <w:t>Teisingumo Teismo 2020 balandžio 2</w:t>
      </w:r>
      <w:r w:rsidR="00911B47" w:rsidRPr="00CF2E95">
        <w:rPr>
          <w:rFonts w:ascii="Times New Roman" w:hAnsi="Times New Roman" w:cs="Times New Roman"/>
          <w:sz w:val="24"/>
          <w:szCs w:val="24"/>
          <w:lang w:val="lt-LT"/>
        </w:rPr>
        <w:t> </w:t>
      </w:r>
      <w:r w:rsidR="00885A20" w:rsidRPr="00CF2E95">
        <w:rPr>
          <w:rFonts w:ascii="Times New Roman" w:hAnsi="Times New Roman" w:cs="Times New Roman"/>
          <w:sz w:val="24"/>
          <w:szCs w:val="24"/>
          <w:lang w:val="lt-LT"/>
        </w:rPr>
        <w:t xml:space="preserve">d. sprendimo </w:t>
      </w:r>
      <w:proofErr w:type="spellStart"/>
      <w:r w:rsidR="00885A20" w:rsidRPr="00CF2E95">
        <w:rPr>
          <w:rFonts w:ascii="Times New Roman" w:hAnsi="Times New Roman" w:cs="Times New Roman"/>
          <w:i/>
          <w:iCs/>
          <w:sz w:val="24"/>
          <w:szCs w:val="24"/>
          <w:lang w:val="lt-LT"/>
        </w:rPr>
        <w:t>Budapest</w:t>
      </w:r>
      <w:proofErr w:type="spellEnd"/>
      <w:r w:rsidR="00885A20" w:rsidRPr="00CF2E95">
        <w:rPr>
          <w:rFonts w:ascii="Times New Roman" w:hAnsi="Times New Roman" w:cs="Times New Roman"/>
          <w:i/>
          <w:iCs/>
          <w:sz w:val="24"/>
          <w:szCs w:val="24"/>
          <w:lang w:val="lt-LT"/>
        </w:rPr>
        <w:t xml:space="preserve"> Bank ir kt.</w:t>
      </w:r>
      <w:r w:rsidR="00885A20" w:rsidRPr="00CF2E95">
        <w:rPr>
          <w:rFonts w:ascii="Times New Roman" w:hAnsi="Times New Roman" w:cs="Times New Roman"/>
          <w:sz w:val="24"/>
          <w:szCs w:val="24"/>
          <w:lang w:val="lt-LT"/>
        </w:rPr>
        <w:t>, C-228/18, EU:C:2020:265, 36 p</w:t>
      </w:r>
      <w:r w:rsidR="00885A20" w:rsidRPr="002C37CD">
        <w:rPr>
          <w:rFonts w:ascii="Times New Roman" w:hAnsi="Times New Roman" w:cs="Times New Roman"/>
          <w:sz w:val="24"/>
          <w:szCs w:val="24"/>
          <w:lang w:val="lt-LT"/>
        </w:rPr>
        <w:t xml:space="preserve">. ir jame nurodyta jurisprudencija, Sprendimo </w:t>
      </w:r>
      <w:r w:rsidR="00885A20" w:rsidRPr="002C37CD">
        <w:rPr>
          <w:rFonts w:ascii="Times New Roman" w:hAnsi="Times New Roman" w:cs="Times New Roman"/>
          <w:i/>
          <w:iCs/>
          <w:sz w:val="24"/>
          <w:szCs w:val="24"/>
          <w:lang w:val="lt-LT"/>
        </w:rPr>
        <w:t>Notarų rūmai</w:t>
      </w:r>
      <w:r w:rsidR="00885A20" w:rsidRPr="002C37CD">
        <w:rPr>
          <w:rFonts w:ascii="Times New Roman" w:hAnsi="Times New Roman" w:cs="Times New Roman"/>
          <w:sz w:val="24"/>
          <w:szCs w:val="24"/>
          <w:lang w:val="lt-LT"/>
        </w:rPr>
        <w:t xml:space="preserve"> 92 – 94 p.).</w:t>
      </w:r>
    </w:p>
    <w:p w14:paraId="67822EB9" w14:textId="5C56530D" w:rsidR="00CB3B30" w:rsidRPr="002C37CD" w:rsidRDefault="00464AF9" w:rsidP="002C37CD">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 </w:t>
      </w:r>
      <w:r w:rsidR="00D5242B">
        <w:rPr>
          <w:rFonts w:ascii="Times New Roman" w:hAnsi="Times New Roman" w:cs="Times New Roman"/>
          <w:sz w:val="24"/>
          <w:szCs w:val="24"/>
          <w:lang w:val="lt-LT"/>
        </w:rPr>
        <w:t>R</w:t>
      </w:r>
      <w:r w:rsidR="002479A4">
        <w:rPr>
          <w:rFonts w:ascii="Times New Roman" w:hAnsi="Times New Roman" w:cs="Times New Roman"/>
          <w:sz w:val="24"/>
          <w:szCs w:val="24"/>
          <w:lang w:val="lt-LT"/>
        </w:rPr>
        <w:t xml:space="preserve">eferavęs į šią reikšmingą </w:t>
      </w:r>
      <w:r w:rsidR="00834EE4">
        <w:rPr>
          <w:rFonts w:ascii="Times New Roman" w:hAnsi="Times New Roman" w:cs="Times New Roman"/>
          <w:sz w:val="24"/>
          <w:szCs w:val="24"/>
          <w:lang w:val="lt-LT"/>
        </w:rPr>
        <w:t xml:space="preserve">savo </w:t>
      </w:r>
      <w:r w:rsidR="002479A4">
        <w:rPr>
          <w:rFonts w:ascii="Times New Roman" w:hAnsi="Times New Roman" w:cs="Times New Roman"/>
          <w:sz w:val="24"/>
          <w:szCs w:val="24"/>
          <w:lang w:val="lt-LT"/>
        </w:rPr>
        <w:t>praktiką</w:t>
      </w:r>
      <w:r w:rsidR="005564E1">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6353EF" w:rsidRPr="002C37CD">
        <w:rPr>
          <w:rFonts w:ascii="Times New Roman" w:hAnsi="Times New Roman" w:cs="Times New Roman"/>
          <w:sz w:val="24"/>
          <w:szCs w:val="24"/>
          <w:lang w:val="lt-LT"/>
        </w:rPr>
        <w:t xml:space="preserve">Teisingumo Teismas </w:t>
      </w:r>
      <w:r w:rsidR="00390CF2">
        <w:rPr>
          <w:rFonts w:ascii="Times New Roman" w:hAnsi="Times New Roman" w:cs="Times New Roman"/>
          <w:sz w:val="24"/>
          <w:szCs w:val="24"/>
          <w:lang w:val="lt-LT"/>
        </w:rPr>
        <w:t xml:space="preserve">Sprendime </w:t>
      </w:r>
      <w:r w:rsidR="00390CF2" w:rsidRPr="00390CF2">
        <w:rPr>
          <w:rFonts w:ascii="Times New Roman" w:hAnsi="Times New Roman" w:cs="Times New Roman"/>
          <w:i/>
          <w:iCs/>
          <w:sz w:val="24"/>
          <w:szCs w:val="24"/>
          <w:lang w:val="lt-LT"/>
        </w:rPr>
        <w:t xml:space="preserve">Notarų rūmai </w:t>
      </w:r>
      <w:proofErr w:type="spellStart"/>
      <w:r w:rsidR="006353EF" w:rsidRPr="002C37CD">
        <w:rPr>
          <w:rFonts w:ascii="Times New Roman" w:hAnsi="Times New Roman" w:cs="Times New Roman"/>
          <w:sz w:val="24"/>
          <w:szCs w:val="24"/>
          <w:lang w:val="lt-LT"/>
        </w:rPr>
        <w:t>preziumavo</w:t>
      </w:r>
      <w:proofErr w:type="spellEnd"/>
      <w:r w:rsidR="006353EF" w:rsidRPr="002C37CD">
        <w:rPr>
          <w:rFonts w:ascii="Times New Roman" w:hAnsi="Times New Roman" w:cs="Times New Roman"/>
          <w:sz w:val="24"/>
          <w:szCs w:val="24"/>
          <w:lang w:val="lt-LT"/>
        </w:rPr>
        <w:t>, kad Išaiškinimai lemia horizontalų atitinkamų paslaugų kainų nustatymą</w:t>
      </w:r>
      <w:r w:rsidR="005564E1">
        <w:rPr>
          <w:rFonts w:ascii="Times New Roman" w:hAnsi="Times New Roman" w:cs="Times New Roman"/>
          <w:sz w:val="24"/>
          <w:szCs w:val="24"/>
          <w:lang w:val="lt-LT"/>
        </w:rPr>
        <w:t>, taigi</w:t>
      </w:r>
      <w:r w:rsidR="00834EE4">
        <w:rPr>
          <w:rFonts w:ascii="Times New Roman" w:hAnsi="Times New Roman" w:cs="Times New Roman"/>
          <w:sz w:val="24"/>
          <w:szCs w:val="24"/>
          <w:lang w:val="lt-LT"/>
        </w:rPr>
        <w:t xml:space="preserve"> jie</w:t>
      </w:r>
      <w:r w:rsidR="005564E1">
        <w:rPr>
          <w:rFonts w:ascii="Times New Roman" w:hAnsi="Times New Roman" w:cs="Times New Roman"/>
          <w:sz w:val="24"/>
          <w:szCs w:val="24"/>
          <w:lang w:val="lt-LT"/>
        </w:rPr>
        <w:t xml:space="preserve"> </w:t>
      </w:r>
      <w:r w:rsidR="00791402" w:rsidRPr="00791402">
        <w:rPr>
          <w:rFonts w:ascii="Times New Roman" w:hAnsi="Times New Roman" w:cs="Times New Roman"/>
          <w:sz w:val="24"/>
          <w:szCs w:val="24"/>
          <w:lang w:val="lt-LT"/>
        </w:rPr>
        <w:t>turi būti laikomi konkurencijos ribojimu pagal tikslą, kaip tai suprantama pagal SESV 101 straipsnio 1 dalį</w:t>
      </w:r>
      <w:r w:rsidR="00791402">
        <w:rPr>
          <w:rFonts w:ascii="Times New Roman" w:hAnsi="Times New Roman" w:cs="Times New Roman"/>
          <w:sz w:val="24"/>
          <w:szCs w:val="24"/>
          <w:lang w:val="lt-LT"/>
        </w:rPr>
        <w:t xml:space="preserve"> </w:t>
      </w:r>
      <w:r w:rsidR="00791402" w:rsidRPr="002C37CD">
        <w:rPr>
          <w:rFonts w:ascii="Times New Roman" w:hAnsi="Times New Roman" w:cs="Times New Roman"/>
          <w:sz w:val="24"/>
          <w:szCs w:val="24"/>
          <w:lang w:val="lt-LT"/>
        </w:rPr>
        <w:t>(</w:t>
      </w:r>
      <w:r w:rsidR="00791402" w:rsidRPr="002C37CD">
        <w:rPr>
          <w:rFonts w:ascii="Times New Roman" w:eastAsia="Times New Roman" w:hAnsi="Times New Roman" w:cs="Times New Roman"/>
          <w:sz w:val="24"/>
          <w:szCs w:val="24"/>
          <w:lang w:val="lt-LT"/>
        </w:rPr>
        <w:t xml:space="preserve">Sprendimo </w:t>
      </w:r>
      <w:r w:rsidR="00791402" w:rsidRPr="002C37CD">
        <w:rPr>
          <w:rFonts w:ascii="Times New Roman" w:eastAsia="Times New Roman" w:hAnsi="Times New Roman" w:cs="Times New Roman"/>
          <w:i/>
          <w:iCs/>
          <w:sz w:val="24"/>
          <w:szCs w:val="24"/>
          <w:lang w:val="lt-LT"/>
        </w:rPr>
        <w:t xml:space="preserve">Notarų rūmai </w:t>
      </w:r>
      <w:r w:rsidR="00791402" w:rsidRPr="002C37CD">
        <w:rPr>
          <w:rFonts w:ascii="Times New Roman" w:eastAsia="Times New Roman" w:hAnsi="Times New Roman" w:cs="Times New Roman"/>
          <w:sz w:val="24"/>
          <w:szCs w:val="24"/>
          <w:lang w:val="lt-LT"/>
        </w:rPr>
        <w:t>9</w:t>
      </w:r>
      <w:r w:rsidR="00A40E08">
        <w:rPr>
          <w:rFonts w:ascii="Times New Roman" w:eastAsia="Times New Roman" w:hAnsi="Times New Roman" w:cs="Times New Roman"/>
          <w:sz w:val="24"/>
          <w:szCs w:val="24"/>
          <w:lang w:val="lt-LT"/>
        </w:rPr>
        <w:t>5</w:t>
      </w:r>
      <w:r w:rsidR="00DC5C5D">
        <w:rPr>
          <w:rFonts w:ascii="Times New Roman" w:eastAsia="Times New Roman" w:hAnsi="Times New Roman" w:cs="Times New Roman"/>
          <w:sz w:val="24"/>
          <w:szCs w:val="24"/>
          <w:lang w:val="lt-LT"/>
        </w:rPr>
        <w:t>–9</w:t>
      </w:r>
      <w:r w:rsidR="00A40E08">
        <w:rPr>
          <w:rFonts w:ascii="Times New Roman" w:eastAsia="Times New Roman" w:hAnsi="Times New Roman" w:cs="Times New Roman"/>
          <w:sz w:val="24"/>
          <w:szCs w:val="24"/>
          <w:lang w:val="lt-LT"/>
        </w:rPr>
        <w:t>6</w:t>
      </w:r>
      <w:r w:rsidR="00DC5C5D">
        <w:rPr>
          <w:rFonts w:ascii="Times New Roman" w:eastAsia="Times New Roman" w:hAnsi="Times New Roman" w:cs="Times New Roman"/>
          <w:sz w:val="24"/>
          <w:szCs w:val="24"/>
          <w:lang w:val="lt-LT"/>
        </w:rPr>
        <w:t xml:space="preserve"> </w:t>
      </w:r>
      <w:r w:rsidR="00791402" w:rsidRPr="002C37CD">
        <w:rPr>
          <w:rFonts w:ascii="Times New Roman" w:eastAsia="Times New Roman" w:hAnsi="Times New Roman" w:cs="Times New Roman"/>
          <w:sz w:val="24"/>
          <w:szCs w:val="24"/>
          <w:lang w:val="lt-LT"/>
        </w:rPr>
        <w:t>p.</w:t>
      </w:r>
      <w:r w:rsidR="00791402" w:rsidRPr="002C37CD">
        <w:rPr>
          <w:rFonts w:ascii="Times New Roman" w:hAnsi="Times New Roman" w:cs="Times New Roman"/>
          <w:sz w:val="24"/>
          <w:szCs w:val="24"/>
          <w:lang w:val="lt-LT"/>
        </w:rPr>
        <w:t>)</w:t>
      </w:r>
      <w:r w:rsidR="00791402" w:rsidRPr="00791402">
        <w:rPr>
          <w:rFonts w:ascii="Times New Roman" w:hAnsi="Times New Roman" w:cs="Times New Roman"/>
          <w:sz w:val="24"/>
          <w:szCs w:val="24"/>
          <w:lang w:val="lt-LT"/>
        </w:rPr>
        <w:t>.</w:t>
      </w:r>
      <w:r w:rsidR="00791402">
        <w:rPr>
          <w:rFonts w:ascii="Times New Roman" w:hAnsi="Times New Roman" w:cs="Times New Roman"/>
          <w:sz w:val="24"/>
          <w:szCs w:val="24"/>
          <w:lang w:val="lt-LT"/>
        </w:rPr>
        <w:t xml:space="preserve"> </w:t>
      </w:r>
      <w:r w:rsidR="004A0CEE">
        <w:rPr>
          <w:rFonts w:ascii="Times New Roman" w:hAnsi="Times New Roman" w:cs="Times New Roman"/>
          <w:sz w:val="24"/>
          <w:szCs w:val="24"/>
          <w:lang w:val="lt-LT"/>
        </w:rPr>
        <w:t>Pabrėžtina, kad</w:t>
      </w:r>
      <w:r w:rsidR="00F22C93">
        <w:rPr>
          <w:rFonts w:ascii="Times New Roman" w:hAnsi="Times New Roman" w:cs="Times New Roman"/>
          <w:sz w:val="24"/>
          <w:szCs w:val="24"/>
          <w:lang w:val="lt-LT"/>
        </w:rPr>
        <w:t xml:space="preserve"> vertindamas nagrinėjamą aspektą</w:t>
      </w:r>
      <w:r w:rsidR="004A0CEE">
        <w:rPr>
          <w:rFonts w:ascii="Times New Roman" w:hAnsi="Times New Roman" w:cs="Times New Roman"/>
          <w:sz w:val="24"/>
          <w:szCs w:val="24"/>
          <w:lang w:val="lt-LT"/>
        </w:rPr>
        <w:t xml:space="preserve"> Teisingumo Teismas</w:t>
      </w:r>
      <w:r w:rsidR="00F22C93">
        <w:rPr>
          <w:rFonts w:ascii="Times New Roman" w:hAnsi="Times New Roman" w:cs="Times New Roman"/>
          <w:sz w:val="24"/>
          <w:szCs w:val="24"/>
          <w:lang w:val="lt-LT"/>
        </w:rPr>
        <w:t xml:space="preserve"> atsižvelgė</w:t>
      </w:r>
      <w:r w:rsidR="000A68E4">
        <w:rPr>
          <w:rFonts w:ascii="Times New Roman" w:hAnsi="Times New Roman" w:cs="Times New Roman"/>
          <w:sz w:val="24"/>
          <w:szCs w:val="24"/>
          <w:lang w:val="lt-LT"/>
        </w:rPr>
        <w:t xml:space="preserve"> tik</w:t>
      </w:r>
      <w:r w:rsidR="00751887" w:rsidRPr="002C37CD">
        <w:rPr>
          <w:rFonts w:ascii="Times New Roman" w:hAnsi="Times New Roman" w:cs="Times New Roman"/>
          <w:sz w:val="24"/>
          <w:szCs w:val="24"/>
          <w:lang w:val="lt-LT"/>
        </w:rPr>
        <w:t xml:space="preserve"> į tai, </w:t>
      </w:r>
      <w:r w:rsidR="000A68E4">
        <w:rPr>
          <w:rFonts w:ascii="Times New Roman" w:hAnsi="Times New Roman" w:cs="Times New Roman"/>
          <w:sz w:val="24"/>
          <w:szCs w:val="24"/>
          <w:lang w:val="lt-LT"/>
        </w:rPr>
        <w:t>jog</w:t>
      </w:r>
      <w:r w:rsidR="00751887" w:rsidRPr="002C37CD">
        <w:rPr>
          <w:rFonts w:ascii="Times New Roman" w:hAnsi="Times New Roman" w:cs="Times New Roman"/>
          <w:sz w:val="24"/>
          <w:szCs w:val="24"/>
          <w:lang w:val="lt-LT"/>
        </w:rPr>
        <w:t xml:space="preserve"> Išaiškinimuose įtvirtinta notaro atlyginimo dydžių apskaičiavimo tvarka, pagal kurią notarai už juose nurodytą veiklą privalo taikyti didžiausią kainų intervalo, kurį numato Lietuvos Respublikos teisingumo ministro patvirtinti Laikinieji dydžiai, kainą</w:t>
      </w:r>
      <w:r w:rsidR="004F6023">
        <w:rPr>
          <w:rFonts w:ascii="Times New Roman" w:hAnsi="Times New Roman" w:cs="Times New Roman"/>
          <w:sz w:val="24"/>
          <w:szCs w:val="24"/>
          <w:lang w:val="lt-LT"/>
        </w:rPr>
        <w:t xml:space="preserve"> </w:t>
      </w:r>
      <w:r w:rsidR="004F6023" w:rsidRPr="002C37CD">
        <w:rPr>
          <w:rFonts w:ascii="Times New Roman" w:hAnsi="Times New Roman" w:cs="Times New Roman"/>
          <w:sz w:val="24"/>
          <w:szCs w:val="24"/>
          <w:lang w:val="lt-LT"/>
        </w:rPr>
        <w:t>(</w:t>
      </w:r>
      <w:r w:rsidR="004F6023" w:rsidRPr="002C37CD">
        <w:rPr>
          <w:rFonts w:ascii="Times New Roman" w:eastAsia="Times New Roman" w:hAnsi="Times New Roman" w:cs="Times New Roman"/>
          <w:sz w:val="24"/>
          <w:szCs w:val="24"/>
          <w:lang w:val="lt-LT"/>
        </w:rPr>
        <w:t xml:space="preserve">Sprendimo </w:t>
      </w:r>
      <w:r w:rsidR="004F6023" w:rsidRPr="002C37CD">
        <w:rPr>
          <w:rFonts w:ascii="Times New Roman" w:eastAsia="Times New Roman" w:hAnsi="Times New Roman" w:cs="Times New Roman"/>
          <w:i/>
          <w:iCs/>
          <w:sz w:val="24"/>
          <w:szCs w:val="24"/>
          <w:lang w:val="lt-LT"/>
        </w:rPr>
        <w:t xml:space="preserve">Notarų rūmai </w:t>
      </w:r>
      <w:r w:rsidR="004F6023" w:rsidRPr="002C37CD">
        <w:rPr>
          <w:rFonts w:ascii="Times New Roman" w:eastAsia="Times New Roman" w:hAnsi="Times New Roman" w:cs="Times New Roman"/>
          <w:sz w:val="24"/>
          <w:szCs w:val="24"/>
          <w:lang w:val="lt-LT"/>
        </w:rPr>
        <w:t>9</w:t>
      </w:r>
      <w:r w:rsidR="004F6023">
        <w:rPr>
          <w:rFonts w:ascii="Times New Roman" w:eastAsia="Times New Roman" w:hAnsi="Times New Roman" w:cs="Times New Roman"/>
          <w:sz w:val="24"/>
          <w:szCs w:val="24"/>
          <w:lang w:val="lt-LT"/>
        </w:rPr>
        <w:t>5 p.)</w:t>
      </w:r>
      <w:r w:rsidR="00ED44A2" w:rsidRPr="002C37CD">
        <w:rPr>
          <w:rFonts w:ascii="Times New Roman" w:hAnsi="Times New Roman" w:cs="Times New Roman"/>
          <w:sz w:val="24"/>
          <w:szCs w:val="24"/>
          <w:lang w:val="lt-LT"/>
        </w:rPr>
        <w:t>.</w:t>
      </w:r>
    </w:p>
    <w:p w14:paraId="72E17857" w14:textId="4F9696A2" w:rsidR="002F283C" w:rsidRPr="00E76CB6" w:rsidRDefault="00FF5531" w:rsidP="00F80F25">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673349">
        <w:rPr>
          <w:rFonts w:ascii="Times New Roman" w:hAnsi="Times New Roman" w:cs="Times New Roman"/>
          <w:sz w:val="24"/>
          <w:szCs w:val="24"/>
          <w:lang w:val="lt-LT"/>
        </w:rPr>
        <w:t xml:space="preserve"> </w:t>
      </w:r>
      <w:r w:rsidR="001D7E1C">
        <w:rPr>
          <w:rFonts w:ascii="Times New Roman" w:hAnsi="Times New Roman" w:cs="Times New Roman"/>
          <w:sz w:val="24"/>
          <w:szCs w:val="24"/>
          <w:lang w:val="lt-LT"/>
        </w:rPr>
        <w:t xml:space="preserve">Vis dėlto, </w:t>
      </w:r>
      <w:r w:rsidR="00383A5E">
        <w:rPr>
          <w:rFonts w:ascii="Times New Roman" w:hAnsi="Times New Roman" w:cs="Times New Roman"/>
          <w:sz w:val="24"/>
          <w:szCs w:val="24"/>
          <w:lang w:val="lt-LT"/>
        </w:rPr>
        <w:t xml:space="preserve">šios Teisingumo Teismo prezumpcijos teisingumą turinti patikrinti </w:t>
      </w:r>
      <w:r w:rsidR="00EF5440">
        <w:rPr>
          <w:rFonts w:ascii="Times New Roman" w:hAnsi="Times New Roman" w:cs="Times New Roman"/>
          <w:sz w:val="24"/>
          <w:szCs w:val="24"/>
          <w:lang w:val="lt-LT"/>
        </w:rPr>
        <w:t>administracinę bylą nagrinėjanti išplėstinė teisėjų kolegija</w:t>
      </w:r>
      <w:r w:rsidR="006A3DB7">
        <w:rPr>
          <w:rFonts w:ascii="Times New Roman" w:hAnsi="Times New Roman" w:cs="Times New Roman"/>
          <w:sz w:val="24"/>
          <w:szCs w:val="24"/>
          <w:lang w:val="lt-LT"/>
        </w:rPr>
        <w:t xml:space="preserve"> (</w:t>
      </w:r>
      <w:r w:rsidR="006A3DB7" w:rsidRPr="002C37CD">
        <w:rPr>
          <w:rFonts w:ascii="Times New Roman" w:eastAsia="Times New Roman" w:hAnsi="Times New Roman" w:cs="Times New Roman"/>
          <w:sz w:val="24"/>
          <w:szCs w:val="24"/>
          <w:lang w:val="lt-LT"/>
        </w:rPr>
        <w:t xml:space="preserve">Sprendimo </w:t>
      </w:r>
      <w:r w:rsidR="006A3DB7" w:rsidRPr="002C37CD">
        <w:rPr>
          <w:rFonts w:ascii="Times New Roman" w:eastAsia="Times New Roman" w:hAnsi="Times New Roman" w:cs="Times New Roman"/>
          <w:i/>
          <w:iCs/>
          <w:sz w:val="24"/>
          <w:szCs w:val="24"/>
          <w:lang w:val="lt-LT"/>
        </w:rPr>
        <w:t xml:space="preserve">Notarų rūmai </w:t>
      </w:r>
      <w:r w:rsidR="006A3DB7" w:rsidRPr="002C37CD">
        <w:rPr>
          <w:rFonts w:ascii="Times New Roman" w:eastAsia="Times New Roman" w:hAnsi="Times New Roman" w:cs="Times New Roman"/>
          <w:sz w:val="24"/>
          <w:szCs w:val="24"/>
          <w:lang w:val="lt-LT"/>
        </w:rPr>
        <w:t>9</w:t>
      </w:r>
      <w:r w:rsidR="006A3DB7">
        <w:rPr>
          <w:rFonts w:ascii="Times New Roman" w:eastAsia="Times New Roman" w:hAnsi="Times New Roman" w:cs="Times New Roman"/>
          <w:sz w:val="24"/>
          <w:szCs w:val="24"/>
          <w:lang w:val="lt-LT"/>
        </w:rPr>
        <w:t>5 p.)</w:t>
      </w:r>
      <w:r w:rsidR="00062B0F">
        <w:rPr>
          <w:rFonts w:ascii="Times New Roman" w:eastAsia="Times New Roman" w:hAnsi="Times New Roman" w:cs="Times New Roman"/>
          <w:sz w:val="24"/>
          <w:szCs w:val="24"/>
          <w:lang w:val="lt-LT"/>
        </w:rPr>
        <w:t xml:space="preserve"> </w:t>
      </w:r>
      <w:r w:rsidR="00D0608B">
        <w:rPr>
          <w:rFonts w:ascii="Times New Roman" w:eastAsia="Times New Roman" w:hAnsi="Times New Roman" w:cs="Times New Roman"/>
          <w:sz w:val="24"/>
          <w:szCs w:val="24"/>
          <w:lang w:val="lt-LT"/>
        </w:rPr>
        <w:t>ši</w:t>
      </w:r>
      <w:r w:rsidR="001F0BAB">
        <w:rPr>
          <w:rFonts w:ascii="Times New Roman" w:eastAsia="Times New Roman" w:hAnsi="Times New Roman" w:cs="Times New Roman"/>
          <w:sz w:val="24"/>
          <w:szCs w:val="24"/>
          <w:lang w:val="lt-LT"/>
        </w:rPr>
        <w:t xml:space="preserve">ame kontekste atkreipia </w:t>
      </w:r>
      <w:r w:rsidR="001F0BAB">
        <w:rPr>
          <w:rFonts w:ascii="Times New Roman" w:eastAsia="Times New Roman" w:hAnsi="Times New Roman" w:cs="Times New Roman"/>
          <w:sz w:val="24"/>
          <w:szCs w:val="24"/>
          <w:lang w:val="lt-LT"/>
        </w:rPr>
        <w:lastRenderedPageBreak/>
        <w:t>dėmesį į</w:t>
      </w:r>
      <w:r w:rsidR="00606724">
        <w:rPr>
          <w:rFonts w:ascii="Times New Roman" w:eastAsia="Times New Roman" w:hAnsi="Times New Roman" w:cs="Times New Roman"/>
          <w:sz w:val="24"/>
          <w:szCs w:val="24"/>
          <w:lang w:val="lt-LT"/>
        </w:rPr>
        <w:t xml:space="preserve"> kitose bylose</w:t>
      </w:r>
      <w:r w:rsidR="001F0BAB">
        <w:rPr>
          <w:rFonts w:ascii="Times New Roman" w:eastAsia="Times New Roman" w:hAnsi="Times New Roman" w:cs="Times New Roman"/>
          <w:sz w:val="24"/>
          <w:szCs w:val="24"/>
          <w:lang w:val="lt-LT"/>
        </w:rPr>
        <w:t xml:space="preserve"> </w:t>
      </w:r>
      <w:r w:rsidR="004947CE">
        <w:rPr>
          <w:rFonts w:ascii="Times New Roman" w:eastAsia="Times New Roman" w:hAnsi="Times New Roman" w:cs="Times New Roman"/>
          <w:sz w:val="24"/>
          <w:szCs w:val="24"/>
          <w:lang w:val="lt-LT"/>
        </w:rPr>
        <w:t>išplėtotą</w:t>
      </w:r>
      <w:r w:rsidR="00187D47">
        <w:rPr>
          <w:rFonts w:ascii="Times New Roman" w:eastAsia="Times New Roman" w:hAnsi="Times New Roman" w:cs="Times New Roman"/>
          <w:sz w:val="24"/>
          <w:szCs w:val="24"/>
          <w:lang w:val="lt-LT"/>
        </w:rPr>
        <w:t xml:space="preserve"> </w:t>
      </w:r>
      <w:r w:rsidR="001F0BAB">
        <w:rPr>
          <w:rFonts w:ascii="Times New Roman" w:eastAsia="Times New Roman" w:hAnsi="Times New Roman" w:cs="Times New Roman"/>
          <w:sz w:val="24"/>
          <w:szCs w:val="24"/>
          <w:lang w:val="lt-LT"/>
        </w:rPr>
        <w:t xml:space="preserve">Teisingumo Teismo praktiką, kurioje aiškinama </w:t>
      </w:r>
      <w:r w:rsidR="00F0167F">
        <w:rPr>
          <w:rFonts w:ascii="Times New Roman" w:eastAsia="Times New Roman" w:hAnsi="Times New Roman" w:cs="Times New Roman"/>
          <w:sz w:val="24"/>
          <w:szCs w:val="24"/>
          <w:lang w:val="lt-LT"/>
        </w:rPr>
        <w:t>k</w:t>
      </w:r>
      <w:r w:rsidR="00F0167F" w:rsidRPr="00F0167F">
        <w:rPr>
          <w:rFonts w:ascii="Times New Roman" w:eastAsia="Times New Roman" w:hAnsi="Times New Roman" w:cs="Times New Roman"/>
          <w:sz w:val="24"/>
          <w:szCs w:val="24"/>
          <w:lang w:val="lt-LT"/>
        </w:rPr>
        <w:t>onkurencijos ribojimo „</w:t>
      </w:r>
      <w:r w:rsidR="00D76470">
        <w:rPr>
          <w:rFonts w:ascii="Times New Roman" w:eastAsia="Times New Roman" w:hAnsi="Times New Roman" w:cs="Times New Roman"/>
          <w:sz w:val="24"/>
          <w:szCs w:val="24"/>
          <w:lang w:val="lt-LT"/>
        </w:rPr>
        <w:t>pagal t</w:t>
      </w:r>
      <w:r w:rsidR="00F0167F" w:rsidRPr="00F0167F">
        <w:rPr>
          <w:rFonts w:ascii="Times New Roman" w:eastAsia="Times New Roman" w:hAnsi="Times New Roman" w:cs="Times New Roman"/>
          <w:sz w:val="24"/>
          <w:szCs w:val="24"/>
          <w:lang w:val="lt-LT"/>
        </w:rPr>
        <w:t>iksl</w:t>
      </w:r>
      <w:r w:rsidR="00D76470">
        <w:rPr>
          <w:rFonts w:ascii="Times New Roman" w:eastAsia="Times New Roman" w:hAnsi="Times New Roman" w:cs="Times New Roman"/>
          <w:sz w:val="24"/>
          <w:szCs w:val="24"/>
          <w:lang w:val="lt-LT"/>
        </w:rPr>
        <w:t>ą</w:t>
      </w:r>
      <w:r w:rsidR="00F0167F" w:rsidRPr="00F0167F">
        <w:rPr>
          <w:rFonts w:ascii="Times New Roman" w:eastAsia="Times New Roman" w:hAnsi="Times New Roman" w:cs="Times New Roman"/>
          <w:sz w:val="24"/>
          <w:szCs w:val="24"/>
          <w:lang w:val="lt-LT"/>
        </w:rPr>
        <w:t>“ sąvok</w:t>
      </w:r>
      <w:r w:rsidR="007C2832">
        <w:rPr>
          <w:rFonts w:ascii="Times New Roman" w:eastAsia="Times New Roman" w:hAnsi="Times New Roman" w:cs="Times New Roman"/>
          <w:sz w:val="24"/>
          <w:szCs w:val="24"/>
          <w:lang w:val="lt-LT"/>
        </w:rPr>
        <w:t>a</w:t>
      </w:r>
      <w:r w:rsidR="00606724">
        <w:rPr>
          <w:rFonts w:ascii="Times New Roman" w:eastAsia="Times New Roman" w:hAnsi="Times New Roman" w:cs="Times New Roman"/>
          <w:sz w:val="24"/>
          <w:szCs w:val="24"/>
          <w:lang w:val="lt-LT"/>
        </w:rPr>
        <w:t>:</w:t>
      </w:r>
      <w:r w:rsidR="00187D47">
        <w:rPr>
          <w:rFonts w:ascii="Times New Roman" w:eastAsia="Times New Roman" w:hAnsi="Times New Roman" w:cs="Times New Roman"/>
          <w:sz w:val="24"/>
          <w:szCs w:val="24"/>
          <w:lang w:val="lt-LT"/>
        </w:rPr>
        <w:t xml:space="preserve"> </w:t>
      </w:r>
      <w:r w:rsidR="00D0608B" w:rsidRPr="00187D47">
        <w:rPr>
          <w:rFonts w:ascii="Times New Roman" w:eastAsia="Times New Roman" w:hAnsi="Times New Roman" w:cs="Times New Roman"/>
          <w:sz w:val="24"/>
          <w:szCs w:val="24"/>
          <w:lang w:val="lt-LT"/>
        </w:rPr>
        <w:t xml:space="preserve">konkrečiu atveju siekiant nustatyti, ar susitarimas, įmonių asociacijos sprendimas arba suderinti veiksmai dėl savo pobūdžio yra pakankamai žalingi konkurencijai, kad juos būtų galima laikyti turinčiais tikslą jai kliudyti, riboti ar iškraipyti, </w:t>
      </w:r>
      <w:r w:rsidR="00606724">
        <w:rPr>
          <w:rFonts w:ascii="Times New Roman" w:eastAsia="Times New Roman" w:hAnsi="Times New Roman" w:cs="Times New Roman"/>
          <w:sz w:val="24"/>
          <w:szCs w:val="24"/>
          <w:lang w:val="lt-LT"/>
        </w:rPr>
        <w:t xml:space="preserve">anot Teisingumo Teismo, </w:t>
      </w:r>
      <w:r w:rsidR="00D0608B" w:rsidRPr="00187D47">
        <w:rPr>
          <w:rFonts w:ascii="Times New Roman" w:eastAsia="Times New Roman" w:hAnsi="Times New Roman" w:cs="Times New Roman"/>
          <w:sz w:val="24"/>
          <w:szCs w:val="24"/>
          <w:lang w:val="lt-LT"/>
        </w:rPr>
        <w:t>reikia išnagrinėti, pirma, to susitarimo, sprendimo ar veiksmų turinį, antra, jų ekonominį ir teisinį kontekstą, ir, trečia, jais siekiamus tikslus</w:t>
      </w:r>
      <w:r w:rsidR="00606724">
        <w:rPr>
          <w:rFonts w:ascii="Times New Roman" w:eastAsia="Times New Roman" w:hAnsi="Times New Roman" w:cs="Times New Roman"/>
          <w:sz w:val="24"/>
          <w:szCs w:val="24"/>
          <w:lang w:val="lt-LT"/>
        </w:rPr>
        <w:t xml:space="preserve"> </w:t>
      </w:r>
      <w:r w:rsidR="007958A3">
        <w:rPr>
          <w:rFonts w:ascii="Times New Roman" w:eastAsia="Times New Roman" w:hAnsi="Times New Roman" w:cs="Times New Roman"/>
          <w:sz w:val="24"/>
          <w:szCs w:val="24"/>
          <w:lang w:val="lt-LT"/>
        </w:rPr>
        <w:t>(</w:t>
      </w:r>
      <w:r w:rsidR="007958A3" w:rsidRPr="007958A3">
        <w:rPr>
          <w:rFonts w:ascii="Times New Roman" w:eastAsia="Times New Roman" w:hAnsi="Times New Roman" w:cs="Times New Roman"/>
          <w:sz w:val="24"/>
          <w:szCs w:val="24"/>
          <w:lang w:val="lt-LT"/>
        </w:rPr>
        <w:t xml:space="preserve">2023 m. gruodžio 21 d. </w:t>
      </w:r>
      <w:r w:rsidR="003D3E9B">
        <w:rPr>
          <w:rFonts w:ascii="Times New Roman" w:eastAsia="Times New Roman" w:hAnsi="Times New Roman" w:cs="Times New Roman"/>
          <w:sz w:val="24"/>
          <w:szCs w:val="24"/>
          <w:lang w:val="lt-LT"/>
        </w:rPr>
        <w:t xml:space="preserve">Teisingumo Teismo </w:t>
      </w:r>
      <w:r w:rsidR="007958A3" w:rsidRPr="007958A3">
        <w:rPr>
          <w:rFonts w:ascii="Times New Roman" w:eastAsia="Times New Roman" w:hAnsi="Times New Roman" w:cs="Times New Roman"/>
          <w:sz w:val="24"/>
          <w:szCs w:val="24"/>
          <w:lang w:val="lt-LT"/>
        </w:rPr>
        <w:t>didžio</w:t>
      </w:r>
      <w:r w:rsidR="007958A3">
        <w:rPr>
          <w:rFonts w:ascii="Times New Roman" w:eastAsia="Times New Roman" w:hAnsi="Times New Roman" w:cs="Times New Roman"/>
          <w:sz w:val="24"/>
          <w:szCs w:val="24"/>
          <w:lang w:val="lt-LT"/>
        </w:rPr>
        <w:t>sios</w:t>
      </w:r>
      <w:r w:rsidR="007958A3" w:rsidRPr="007958A3">
        <w:rPr>
          <w:rFonts w:ascii="Times New Roman" w:eastAsia="Times New Roman" w:hAnsi="Times New Roman" w:cs="Times New Roman"/>
          <w:sz w:val="24"/>
          <w:szCs w:val="24"/>
          <w:lang w:val="lt-LT"/>
        </w:rPr>
        <w:t xml:space="preserve"> kolegij</w:t>
      </w:r>
      <w:r w:rsidR="007958A3">
        <w:rPr>
          <w:rFonts w:ascii="Times New Roman" w:eastAsia="Times New Roman" w:hAnsi="Times New Roman" w:cs="Times New Roman"/>
          <w:sz w:val="24"/>
          <w:szCs w:val="24"/>
          <w:lang w:val="lt-LT"/>
        </w:rPr>
        <w:t>os</w:t>
      </w:r>
      <w:r w:rsidR="00F04965">
        <w:rPr>
          <w:rFonts w:ascii="Times New Roman" w:eastAsia="Times New Roman" w:hAnsi="Times New Roman" w:cs="Times New Roman"/>
          <w:sz w:val="24"/>
          <w:szCs w:val="24"/>
          <w:lang w:val="lt-LT"/>
        </w:rPr>
        <w:t xml:space="preserve"> sprendimas</w:t>
      </w:r>
      <w:r w:rsidR="007958A3" w:rsidRPr="007958A3">
        <w:rPr>
          <w:rFonts w:ascii="Times New Roman" w:eastAsia="Times New Roman" w:hAnsi="Times New Roman" w:cs="Times New Roman"/>
          <w:sz w:val="24"/>
          <w:szCs w:val="24"/>
          <w:lang w:val="lt-LT"/>
        </w:rPr>
        <w:t xml:space="preserve"> </w:t>
      </w:r>
      <w:r w:rsidR="007958A3" w:rsidRPr="007C2832">
        <w:rPr>
          <w:rFonts w:ascii="Times New Roman" w:eastAsia="Times New Roman" w:hAnsi="Times New Roman" w:cs="Times New Roman"/>
          <w:i/>
          <w:iCs/>
          <w:sz w:val="24"/>
          <w:szCs w:val="24"/>
          <w:lang w:val="lt-LT"/>
        </w:rPr>
        <w:t xml:space="preserve">Royal </w:t>
      </w:r>
      <w:proofErr w:type="spellStart"/>
      <w:r w:rsidR="007958A3" w:rsidRPr="007C2832">
        <w:rPr>
          <w:rFonts w:ascii="Times New Roman" w:eastAsia="Times New Roman" w:hAnsi="Times New Roman" w:cs="Times New Roman"/>
          <w:i/>
          <w:iCs/>
          <w:sz w:val="24"/>
          <w:szCs w:val="24"/>
          <w:lang w:val="lt-LT"/>
        </w:rPr>
        <w:t>Antwerp</w:t>
      </w:r>
      <w:proofErr w:type="spellEnd"/>
      <w:r w:rsidR="007958A3" w:rsidRPr="007C2832">
        <w:rPr>
          <w:rFonts w:ascii="Times New Roman" w:eastAsia="Times New Roman" w:hAnsi="Times New Roman" w:cs="Times New Roman"/>
          <w:i/>
          <w:iCs/>
          <w:sz w:val="24"/>
          <w:szCs w:val="24"/>
          <w:lang w:val="lt-LT"/>
        </w:rPr>
        <w:t xml:space="preserve"> </w:t>
      </w:r>
      <w:proofErr w:type="spellStart"/>
      <w:r w:rsidR="007958A3" w:rsidRPr="00CF2469">
        <w:rPr>
          <w:rFonts w:ascii="Times New Roman" w:eastAsia="Times New Roman" w:hAnsi="Times New Roman" w:cs="Times New Roman"/>
          <w:i/>
          <w:iCs/>
          <w:sz w:val="24"/>
          <w:szCs w:val="24"/>
          <w:lang w:val="lt-LT"/>
        </w:rPr>
        <w:t>Football</w:t>
      </w:r>
      <w:proofErr w:type="spellEnd"/>
      <w:r w:rsidR="007958A3" w:rsidRPr="00CF2469">
        <w:rPr>
          <w:rFonts w:ascii="Times New Roman" w:eastAsia="Times New Roman" w:hAnsi="Times New Roman" w:cs="Times New Roman"/>
          <w:i/>
          <w:iCs/>
          <w:sz w:val="24"/>
          <w:szCs w:val="24"/>
          <w:lang w:val="lt-LT"/>
        </w:rPr>
        <w:t xml:space="preserve"> Club</w:t>
      </w:r>
      <w:r w:rsidR="00F04965" w:rsidRPr="00CF2469">
        <w:rPr>
          <w:rFonts w:ascii="Times New Roman" w:eastAsia="Times New Roman" w:hAnsi="Times New Roman" w:cs="Times New Roman"/>
          <w:sz w:val="24"/>
          <w:szCs w:val="24"/>
          <w:lang w:val="lt-LT"/>
        </w:rPr>
        <w:t xml:space="preserve">, </w:t>
      </w:r>
      <w:r w:rsidR="007958A3" w:rsidRPr="00CF2469">
        <w:rPr>
          <w:rFonts w:ascii="Times New Roman" w:eastAsia="Times New Roman" w:hAnsi="Times New Roman" w:cs="Times New Roman"/>
          <w:sz w:val="24"/>
          <w:szCs w:val="24"/>
          <w:lang w:val="lt-LT"/>
        </w:rPr>
        <w:t>C</w:t>
      </w:r>
      <w:r w:rsidR="00F04965" w:rsidRPr="00CF2469">
        <w:rPr>
          <w:rFonts w:ascii="Times New Roman" w:eastAsia="Times New Roman" w:hAnsi="Times New Roman" w:cs="Times New Roman"/>
          <w:sz w:val="24"/>
          <w:szCs w:val="24"/>
          <w:lang w:val="lt-LT"/>
        </w:rPr>
        <w:t>-</w:t>
      </w:r>
      <w:r w:rsidR="007958A3" w:rsidRPr="00CF2469">
        <w:rPr>
          <w:rFonts w:ascii="Times New Roman" w:eastAsia="Times New Roman" w:hAnsi="Times New Roman" w:cs="Times New Roman"/>
          <w:sz w:val="24"/>
          <w:szCs w:val="24"/>
          <w:lang w:val="lt-LT"/>
        </w:rPr>
        <w:t>680/21</w:t>
      </w:r>
      <w:r w:rsidR="00F04965" w:rsidRPr="00CF2469">
        <w:rPr>
          <w:rFonts w:ascii="Times New Roman" w:eastAsia="Times New Roman" w:hAnsi="Times New Roman" w:cs="Times New Roman"/>
          <w:sz w:val="24"/>
          <w:szCs w:val="24"/>
          <w:lang w:val="lt-LT"/>
        </w:rPr>
        <w:t xml:space="preserve">, </w:t>
      </w:r>
      <w:r w:rsidR="007958A3" w:rsidRPr="00CF2469">
        <w:rPr>
          <w:rFonts w:ascii="Times New Roman" w:eastAsia="Times New Roman" w:hAnsi="Times New Roman" w:cs="Times New Roman"/>
          <w:sz w:val="24"/>
          <w:szCs w:val="24"/>
          <w:lang w:val="lt-LT"/>
        </w:rPr>
        <w:t>EU:C:2023:1010</w:t>
      </w:r>
      <w:r w:rsidR="00F04965" w:rsidRPr="00CF2469">
        <w:rPr>
          <w:rFonts w:ascii="Times New Roman" w:eastAsia="Times New Roman" w:hAnsi="Times New Roman" w:cs="Times New Roman"/>
          <w:sz w:val="24"/>
          <w:szCs w:val="24"/>
          <w:lang w:val="lt-LT"/>
        </w:rPr>
        <w:t xml:space="preserve">, </w:t>
      </w:r>
      <w:r w:rsidR="002F7A6D" w:rsidRPr="00CF2469">
        <w:rPr>
          <w:rFonts w:ascii="Times New Roman" w:eastAsia="Times New Roman" w:hAnsi="Times New Roman" w:cs="Times New Roman"/>
          <w:sz w:val="24"/>
          <w:szCs w:val="24"/>
          <w:lang w:val="lt-LT"/>
        </w:rPr>
        <w:t>92 punktas ir jame nurodyta jurisprudencija</w:t>
      </w:r>
      <w:r w:rsidR="00606724" w:rsidRPr="00CF2469">
        <w:rPr>
          <w:rFonts w:ascii="Times New Roman" w:eastAsia="Times New Roman" w:hAnsi="Times New Roman" w:cs="Times New Roman"/>
          <w:sz w:val="24"/>
          <w:szCs w:val="24"/>
          <w:lang w:val="lt-LT"/>
        </w:rPr>
        <w:t>).</w:t>
      </w:r>
      <w:r w:rsidR="006D600B" w:rsidRPr="00CF2469">
        <w:rPr>
          <w:rFonts w:ascii="Times New Roman" w:eastAsia="Times New Roman" w:hAnsi="Times New Roman" w:cs="Times New Roman"/>
          <w:sz w:val="24"/>
          <w:szCs w:val="24"/>
          <w:lang w:val="lt-LT"/>
        </w:rPr>
        <w:t xml:space="preserve"> Taigi, siekdama </w:t>
      </w:r>
      <w:r w:rsidR="00F60F8E" w:rsidRPr="00CF2469">
        <w:rPr>
          <w:rFonts w:ascii="Times New Roman" w:hAnsi="Times New Roman" w:cs="Times New Roman"/>
          <w:sz w:val="24"/>
          <w:szCs w:val="24"/>
          <w:lang w:val="lt-LT"/>
        </w:rPr>
        <w:t>įvertinti, ar Išaiškinimai laikytini SESV 101 straipsnio 1 dalies draudžiamu susitarimu</w:t>
      </w:r>
      <w:r w:rsidR="00D23A31" w:rsidRPr="00CF2469">
        <w:rPr>
          <w:rFonts w:ascii="Times New Roman" w:hAnsi="Times New Roman" w:cs="Times New Roman"/>
          <w:sz w:val="24"/>
          <w:szCs w:val="24"/>
          <w:lang w:val="lt-LT"/>
        </w:rPr>
        <w:t xml:space="preserve"> „pagal tikslą“, </w:t>
      </w:r>
      <w:r w:rsidR="00062486" w:rsidRPr="00CF2469">
        <w:rPr>
          <w:rFonts w:ascii="Times New Roman" w:hAnsi="Times New Roman" w:cs="Times New Roman"/>
          <w:sz w:val="24"/>
          <w:szCs w:val="24"/>
          <w:lang w:val="lt-LT"/>
        </w:rPr>
        <w:t>išplėstinė teisėjų kolegija</w:t>
      </w:r>
      <w:r w:rsidR="000626E9" w:rsidRPr="00CF2469">
        <w:rPr>
          <w:rFonts w:ascii="Times New Roman" w:hAnsi="Times New Roman" w:cs="Times New Roman"/>
          <w:sz w:val="24"/>
          <w:szCs w:val="24"/>
          <w:lang w:val="lt-LT"/>
        </w:rPr>
        <w:t xml:space="preserve"> išnagrinės </w:t>
      </w:r>
      <w:r w:rsidR="00F3420B" w:rsidRPr="00CF2469">
        <w:rPr>
          <w:rFonts w:ascii="Times New Roman" w:hAnsi="Times New Roman" w:cs="Times New Roman"/>
          <w:sz w:val="24"/>
          <w:szCs w:val="24"/>
          <w:lang w:val="lt-LT"/>
        </w:rPr>
        <w:t>minėtus šiam klausimui reikšmingus aspektus</w:t>
      </w:r>
      <w:r w:rsidR="008C22E4" w:rsidRPr="00CF2469">
        <w:rPr>
          <w:rFonts w:ascii="Times New Roman" w:hAnsi="Times New Roman" w:cs="Times New Roman"/>
          <w:sz w:val="24"/>
          <w:szCs w:val="24"/>
          <w:lang w:val="lt-LT"/>
        </w:rPr>
        <w:t>.</w:t>
      </w:r>
    </w:p>
    <w:p w14:paraId="704C3AE5" w14:textId="329A8472" w:rsidR="00E76CB6" w:rsidRPr="00CF2469" w:rsidRDefault="00695DE5" w:rsidP="00F80F25">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Dėl </w:t>
      </w:r>
      <w:r w:rsidR="00FE7E80">
        <w:rPr>
          <w:rFonts w:ascii="Times New Roman" w:eastAsia="Times New Roman" w:hAnsi="Times New Roman" w:cs="Times New Roman"/>
          <w:sz w:val="24"/>
          <w:szCs w:val="24"/>
          <w:lang w:val="lt-LT"/>
        </w:rPr>
        <w:t xml:space="preserve">su </w:t>
      </w:r>
      <w:r>
        <w:rPr>
          <w:rFonts w:ascii="Times New Roman" w:eastAsia="Times New Roman" w:hAnsi="Times New Roman" w:cs="Times New Roman"/>
          <w:sz w:val="24"/>
          <w:szCs w:val="24"/>
          <w:lang w:val="lt-LT"/>
        </w:rPr>
        <w:t>SESV 101 straipsnio 1 dalyje draudžiam</w:t>
      </w:r>
      <w:r w:rsidR="00FE7E80">
        <w:rPr>
          <w:rFonts w:ascii="Times New Roman" w:eastAsia="Times New Roman" w:hAnsi="Times New Roman" w:cs="Times New Roman"/>
          <w:sz w:val="24"/>
          <w:szCs w:val="24"/>
          <w:lang w:val="lt-LT"/>
        </w:rPr>
        <w:t>ais</w:t>
      </w:r>
      <w:r>
        <w:rPr>
          <w:rFonts w:ascii="Times New Roman" w:eastAsia="Times New Roman" w:hAnsi="Times New Roman" w:cs="Times New Roman"/>
          <w:sz w:val="24"/>
          <w:szCs w:val="24"/>
          <w:lang w:val="lt-LT"/>
        </w:rPr>
        <w:t xml:space="preserve"> veiksm</w:t>
      </w:r>
      <w:r w:rsidR="00FE7E80">
        <w:rPr>
          <w:rFonts w:ascii="Times New Roman" w:eastAsia="Times New Roman" w:hAnsi="Times New Roman" w:cs="Times New Roman"/>
          <w:sz w:val="24"/>
          <w:szCs w:val="24"/>
          <w:lang w:val="lt-LT"/>
        </w:rPr>
        <w:t xml:space="preserve">ais </w:t>
      </w:r>
      <w:r w:rsidR="00FE7E80" w:rsidRPr="009E76C9">
        <w:rPr>
          <w:rFonts w:ascii="Times New Roman" w:eastAsia="Times New Roman" w:hAnsi="Times New Roman" w:cs="Times New Roman"/>
          <w:sz w:val="24"/>
          <w:szCs w:val="24"/>
          <w:lang w:val="lt-LT"/>
        </w:rPr>
        <w:t xml:space="preserve">susijusio </w:t>
      </w:r>
      <w:r w:rsidR="00E76CB6" w:rsidRPr="009E76C9">
        <w:rPr>
          <w:rFonts w:ascii="Times New Roman" w:hAnsi="Times New Roman" w:cs="Times New Roman"/>
          <w:sz w:val="24"/>
          <w:szCs w:val="24"/>
          <w:lang w:val="lt-LT"/>
        </w:rPr>
        <w:t>ekonomin</w:t>
      </w:r>
      <w:r w:rsidR="00785E6A" w:rsidRPr="009E76C9">
        <w:rPr>
          <w:rFonts w:ascii="Times New Roman" w:hAnsi="Times New Roman" w:cs="Times New Roman"/>
          <w:sz w:val="24"/>
          <w:szCs w:val="24"/>
          <w:lang w:val="lt-LT"/>
        </w:rPr>
        <w:t>io</w:t>
      </w:r>
      <w:r w:rsidR="00E76CB6" w:rsidRPr="009E76C9">
        <w:rPr>
          <w:rFonts w:ascii="Times New Roman" w:hAnsi="Times New Roman" w:cs="Times New Roman"/>
          <w:sz w:val="24"/>
          <w:szCs w:val="24"/>
          <w:lang w:val="lt-LT"/>
        </w:rPr>
        <w:t xml:space="preserve"> ir teisin</w:t>
      </w:r>
      <w:r w:rsidR="00785E6A" w:rsidRPr="009E76C9">
        <w:rPr>
          <w:rFonts w:ascii="Times New Roman" w:hAnsi="Times New Roman" w:cs="Times New Roman"/>
          <w:sz w:val="24"/>
          <w:szCs w:val="24"/>
          <w:lang w:val="lt-LT"/>
        </w:rPr>
        <w:t>io</w:t>
      </w:r>
      <w:r w:rsidR="00E76CB6" w:rsidRPr="009E76C9">
        <w:rPr>
          <w:rFonts w:ascii="Times New Roman" w:hAnsi="Times New Roman" w:cs="Times New Roman"/>
          <w:sz w:val="24"/>
          <w:szCs w:val="24"/>
          <w:lang w:val="lt-LT"/>
        </w:rPr>
        <w:t xml:space="preserve"> kontekst</w:t>
      </w:r>
      <w:r w:rsidR="00785E6A" w:rsidRPr="009E76C9">
        <w:rPr>
          <w:rFonts w:ascii="Times New Roman" w:hAnsi="Times New Roman" w:cs="Times New Roman"/>
          <w:sz w:val="24"/>
          <w:szCs w:val="24"/>
          <w:lang w:val="lt-LT"/>
        </w:rPr>
        <w:t xml:space="preserve">o </w:t>
      </w:r>
      <w:r w:rsidR="00534256" w:rsidRPr="009E76C9">
        <w:rPr>
          <w:rFonts w:ascii="Times New Roman" w:hAnsi="Times New Roman" w:cs="Times New Roman"/>
          <w:sz w:val="24"/>
          <w:szCs w:val="24"/>
          <w:lang w:val="lt-LT"/>
        </w:rPr>
        <w:t xml:space="preserve">vertinimo </w:t>
      </w:r>
      <w:r w:rsidR="00E76CB6" w:rsidRPr="009E76C9">
        <w:rPr>
          <w:rFonts w:ascii="Times New Roman" w:hAnsi="Times New Roman" w:cs="Times New Roman"/>
          <w:sz w:val="24"/>
          <w:szCs w:val="24"/>
          <w:lang w:val="lt-LT"/>
        </w:rPr>
        <w:t>Teisingumo Teism</w:t>
      </w:r>
      <w:r w:rsidR="00785E6A" w:rsidRPr="009E76C9">
        <w:rPr>
          <w:rFonts w:ascii="Times New Roman" w:hAnsi="Times New Roman" w:cs="Times New Roman"/>
          <w:sz w:val="24"/>
          <w:szCs w:val="24"/>
          <w:lang w:val="lt-LT"/>
        </w:rPr>
        <w:t>as laikosi pozicijos, kad</w:t>
      </w:r>
      <w:r w:rsidR="00534256" w:rsidRPr="009E76C9">
        <w:rPr>
          <w:rFonts w:ascii="Times New Roman" w:hAnsi="Times New Roman" w:cs="Times New Roman"/>
          <w:sz w:val="24"/>
          <w:szCs w:val="24"/>
          <w:lang w:val="lt-LT"/>
        </w:rPr>
        <w:t xml:space="preserve"> </w:t>
      </w:r>
      <w:r w:rsidR="00E76CB6" w:rsidRPr="009E76C9">
        <w:rPr>
          <w:rFonts w:ascii="Times New Roman" w:hAnsi="Times New Roman" w:cs="Times New Roman"/>
          <w:sz w:val="24"/>
          <w:szCs w:val="24"/>
          <w:lang w:val="lt-LT"/>
        </w:rPr>
        <w:t>šiuo tikslu reikia atsižvelgti į nagrinėjamų prekių ar paslaugų pobūdį, taip pat į realias nagrinėjamų sektorių ar rinkų veikimo sąlygas ir struktūrą. Atvirkščiai, visiškai nereikia nagrinėti ir juo labiau įrodinėti tų veiksmų poveikio konkurencijai, neatsižvelgiant į tai, ar jis yra realus, ar potencialus, neigiamas ar teigiamas. Kiek tai susiję su atitinkamais veiksmais siekiamais tikslais, Teisingumo Teismas laikosi požiūrio, kad reikia nustatyti objektyvius tikslus, kurių tais veiksmais siekiama konkurencijos prasme. Atvirkščiai, aplinkybė, kad dalyvaujančios įmonės veikė neturėdamos subjektyvaus ketinimo kliudyti, riboti ar iškraipyti konkurenciją, ir tai, kad jos siekė tam tikrų teisėtų objektyvių tikslų, neturi lemiamos reikšmės SESV 101 straipsnio 1 dalies taikymui</w:t>
      </w:r>
      <w:r w:rsidR="00E76CB6" w:rsidRPr="00876809">
        <w:rPr>
          <w:rFonts w:ascii="Times New Roman" w:hAnsi="Times New Roman" w:cs="Times New Roman"/>
          <w:sz w:val="24"/>
          <w:szCs w:val="24"/>
          <w:lang w:val="lt-LT"/>
        </w:rPr>
        <w:t xml:space="preserve"> (minėto </w:t>
      </w:r>
      <w:r w:rsidR="00E76CB6" w:rsidRPr="00876809">
        <w:rPr>
          <w:rFonts w:ascii="Times New Roman" w:eastAsia="Times New Roman" w:hAnsi="Times New Roman" w:cs="Times New Roman"/>
          <w:sz w:val="24"/>
          <w:szCs w:val="24"/>
          <w:lang w:val="lt-LT"/>
        </w:rPr>
        <w:t xml:space="preserve">sprendimo </w:t>
      </w:r>
      <w:r w:rsidR="00E76CB6" w:rsidRPr="00876809">
        <w:rPr>
          <w:rFonts w:ascii="Times New Roman" w:eastAsia="Times New Roman" w:hAnsi="Times New Roman" w:cs="Times New Roman"/>
          <w:i/>
          <w:iCs/>
          <w:sz w:val="24"/>
          <w:szCs w:val="24"/>
          <w:lang w:val="lt-LT"/>
        </w:rPr>
        <w:t xml:space="preserve">Royal </w:t>
      </w:r>
      <w:proofErr w:type="spellStart"/>
      <w:r w:rsidR="00E76CB6" w:rsidRPr="00876809">
        <w:rPr>
          <w:rFonts w:ascii="Times New Roman" w:eastAsia="Times New Roman" w:hAnsi="Times New Roman" w:cs="Times New Roman"/>
          <w:i/>
          <w:iCs/>
          <w:sz w:val="24"/>
          <w:szCs w:val="24"/>
          <w:lang w:val="lt-LT"/>
        </w:rPr>
        <w:t>Antwerp</w:t>
      </w:r>
      <w:proofErr w:type="spellEnd"/>
      <w:r w:rsidR="00E76CB6" w:rsidRPr="00876809">
        <w:rPr>
          <w:rFonts w:ascii="Times New Roman" w:eastAsia="Times New Roman" w:hAnsi="Times New Roman" w:cs="Times New Roman"/>
          <w:i/>
          <w:iCs/>
          <w:sz w:val="24"/>
          <w:szCs w:val="24"/>
          <w:lang w:val="lt-LT"/>
        </w:rPr>
        <w:t xml:space="preserve"> </w:t>
      </w:r>
      <w:proofErr w:type="spellStart"/>
      <w:r w:rsidR="00E76CB6" w:rsidRPr="00876809">
        <w:rPr>
          <w:rFonts w:ascii="Times New Roman" w:eastAsia="Times New Roman" w:hAnsi="Times New Roman" w:cs="Times New Roman"/>
          <w:i/>
          <w:iCs/>
          <w:sz w:val="24"/>
          <w:szCs w:val="24"/>
          <w:lang w:val="lt-LT"/>
        </w:rPr>
        <w:t>Football</w:t>
      </w:r>
      <w:proofErr w:type="spellEnd"/>
      <w:r w:rsidR="00E76CB6" w:rsidRPr="00876809">
        <w:rPr>
          <w:rFonts w:ascii="Times New Roman" w:eastAsia="Times New Roman" w:hAnsi="Times New Roman" w:cs="Times New Roman"/>
          <w:i/>
          <w:iCs/>
          <w:sz w:val="24"/>
          <w:szCs w:val="24"/>
          <w:lang w:val="lt-LT"/>
        </w:rPr>
        <w:t xml:space="preserve"> Club</w:t>
      </w:r>
      <w:r w:rsidR="00E76CB6" w:rsidRPr="00876809">
        <w:rPr>
          <w:rFonts w:ascii="Times New Roman" w:eastAsia="Times New Roman" w:hAnsi="Times New Roman" w:cs="Times New Roman"/>
          <w:sz w:val="24"/>
          <w:szCs w:val="24"/>
          <w:lang w:val="lt-LT"/>
        </w:rPr>
        <w:t>, C-680/21 93–94 punktai ir juose nurodyta jurisprudencija</w:t>
      </w:r>
      <w:r w:rsidR="00E76CB6" w:rsidRPr="00876809">
        <w:rPr>
          <w:rFonts w:ascii="Times New Roman" w:hAnsi="Times New Roman" w:cs="Times New Roman"/>
          <w:sz w:val="24"/>
          <w:szCs w:val="24"/>
          <w:lang w:val="lt-LT"/>
        </w:rPr>
        <w:t>).</w:t>
      </w:r>
    </w:p>
    <w:p w14:paraId="7969F014" w14:textId="4FD55D16" w:rsidR="002F283C" w:rsidRPr="00497F3F" w:rsidRDefault="002F283C" w:rsidP="00497F3F">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CF2469">
        <w:rPr>
          <w:rFonts w:ascii="Times New Roman" w:hAnsi="Times New Roman" w:cs="Times New Roman"/>
          <w:sz w:val="24"/>
          <w:szCs w:val="24"/>
          <w:lang w:val="lt-LT"/>
        </w:rPr>
        <w:t xml:space="preserve"> </w:t>
      </w:r>
      <w:r w:rsidR="003404CF">
        <w:rPr>
          <w:rFonts w:ascii="Times New Roman" w:hAnsi="Times New Roman" w:cs="Times New Roman"/>
          <w:sz w:val="24"/>
          <w:szCs w:val="24"/>
          <w:lang w:val="lt-LT"/>
        </w:rPr>
        <w:t xml:space="preserve">Notarinių paslaugų rinkos </w:t>
      </w:r>
      <w:r w:rsidR="0067029B">
        <w:rPr>
          <w:rFonts w:ascii="Times New Roman" w:hAnsi="Times New Roman" w:cs="Times New Roman"/>
          <w:sz w:val="24"/>
          <w:szCs w:val="24"/>
          <w:lang w:val="lt-LT"/>
        </w:rPr>
        <w:t xml:space="preserve">pobūdžio </w:t>
      </w:r>
      <w:r w:rsidR="0013227C">
        <w:rPr>
          <w:rFonts w:ascii="Times New Roman" w:hAnsi="Times New Roman" w:cs="Times New Roman"/>
          <w:sz w:val="24"/>
          <w:szCs w:val="24"/>
          <w:lang w:val="lt-LT"/>
        </w:rPr>
        <w:t>aspektu</w:t>
      </w:r>
      <w:r w:rsidR="003404CF">
        <w:rPr>
          <w:rFonts w:ascii="Times New Roman" w:hAnsi="Times New Roman" w:cs="Times New Roman"/>
          <w:sz w:val="24"/>
          <w:szCs w:val="24"/>
          <w:lang w:val="lt-LT"/>
        </w:rPr>
        <w:t xml:space="preserve"> pirmiausia atkreiptinas dėmesys, kad n</w:t>
      </w:r>
      <w:r w:rsidR="00F80F25" w:rsidRPr="00CF2469">
        <w:rPr>
          <w:rFonts w:ascii="Times New Roman" w:hAnsi="Times New Roman" w:cs="Times New Roman"/>
          <w:sz w:val="24"/>
          <w:szCs w:val="24"/>
          <w:lang w:val="lt-LT"/>
        </w:rPr>
        <w:t xml:space="preserve">otaro profesija yra valstybės kontroliuojama ir ypatingą statusą turinti profesinė veikla, kurios svarbą ir reikšmę visuomenei atspindi išsamus veiklos reglamentavimas teisės </w:t>
      </w:r>
      <w:r w:rsidR="00F80F25" w:rsidRPr="00D5220D">
        <w:rPr>
          <w:rFonts w:ascii="Times New Roman" w:hAnsi="Times New Roman" w:cs="Times New Roman"/>
          <w:sz w:val="24"/>
          <w:szCs w:val="24"/>
          <w:lang w:val="lt-LT"/>
        </w:rPr>
        <w:t xml:space="preserve">aktais. </w:t>
      </w:r>
      <w:r w:rsidR="00D90D12">
        <w:rPr>
          <w:rFonts w:ascii="Times New Roman" w:hAnsi="Times New Roman" w:cs="Times New Roman"/>
          <w:sz w:val="24"/>
          <w:szCs w:val="24"/>
          <w:lang w:val="lt-LT"/>
        </w:rPr>
        <w:t>Vis dėlto, n</w:t>
      </w:r>
      <w:r w:rsidR="00F80F25" w:rsidRPr="00497F3F">
        <w:rPr>
          <w:rFonts w:ascii="Times New Roman" w:hAnsi="Times New Roman" w:cs="Times New Roman"/>
          <w:sz w:val="24"/>
          <w:szCs w:val="24"/>
          <w:lang w:val="lt-LT"/>
        </w:rPr>
        <w:t>epaisant reglamentavimo griežtumo, notaras turi tam tikrą veiksmų laisvę tose srityse, kuriose valstybė nereg</w:t>
      </w:r>
      <w:r w:rsidR="00FE75FA">
        <w:rPr>
          <w:rFonts w:ascii="Times New Roman" w:hAnsi="Times New Roman" w:cs="Times New Roman"/>
          <w:sz w:val="24"/>
          <w:szCs w:val="24"/>
          <w:lang w:val="lt-LT"/>
        </w:rPr>
        <w:t>uliuoja</w:t>
      </w:r>
      <w:r w:rsidR="00F80F25" w:rsidRPr="00497F3F">
        <w:rPr>
          <w:rFonts w:ascii="Times New Roman" w:hAnsi="Times New Roman" w:cs="Times New Roman"/>
          <w:sz w:val="24"/>
          <w:szCs w:val="24"/>
          <w:lang w:val="lt-LT"/>
        </w:rPr>
        <w:t xml:space="preserve"> konkrečių veiklos aspektų</w:t>
      </w:r>
      <w:r w:rsidR="00A13CD1" w:rsidRPr="00497F3F">
        <w:rPr>
          <w:rFonts w:ascii="Times New Roman" w:hAnsi="Times New Roman" w:cs="Times New Roman"/>
          <w:sz w:val="24"/>
          <w:szCs w:val="24"/>
          <w:lang w:val="lt-LT"/>
        </w:rPr>
        <w:t xml:space="preserve">. </w:t>
      </w:r>
      <w:r w:rsidR="001E1A86" w:rsidRPr="00497F3F">
        <w:rPr>
          <w:rFonts w:ascii="Times New Roman" w:hAnsi="Times New Roman" w:cs="Times New Roman"/>
          <w:sz w:val="24"/>
          <w:szCs w:val="24"/>
          <w:lang w:val="lt-LT"/>
        </w:rPr>
        <w:t xml:space="preserve">Šiame kontekste </w:t>
      </w:r>
      <w:r w:rsidR="009B509D">
        <w:rPr>
          <w:rFonts w:ascii="Times New Roman" w:hAnsi="Times New Roman" w:cs="Times New Roman"/>
          <w:sz w:val="24"/>
          <w:szCs w:val="24"/>
          <w:lang w:val="lt-LT"/>
        </w:rPr>
        <w:t xml:space="preserve">svarbus </w:t>
      </w:r>
      <w:r w:rsidR="00B5309A" w:rsidRPr="00497F3F">
        <w:rPr>
          <w:rFonts w:ascii="Times New Roman" w:hAnsi="Times New Roman" w:cs="Times New Roman"/>
          <w:sz w:val="24"/>
          <w:szCs w:val="24"/>
          <w:lang w:val="lt-LT"/>
        </w:rPr>
        <w:t>n</w:t>
      </w:r>
      <w:r w:rsidR="00F80F25" w:rsidRPr="00497F3F">
        <w:rPr>
          <w:rFonts w:ascii="Times New Roman" w:hAnsi="Times New Roman" w:cs="Times New Roman"/>
          <w:sz w:val="24"/>
          <w:szCs w:val="24"/>
          <w:lang w:val="lt-LT"/>
        </w:rPr>
        <w:t xml:space="preserve">otaro </w:t>
      </w:r>
      <w:r w:rsidR="00423B21">
        <w:rPr>
          <w:rFonts w:ascii="Times New Roman" w:hAnsi="Times New Roman" w:cs="Times New Roman"/>
          <w:sz w:val="24"/>
          <w:szCs w:val="24"/>
          <w:lang w:val="lt-LT"/>
        </w:rPr>
        <w:t>savarankiškumo</w:t>
      </w:r>
      <w:r w:rsidR="00F80F25" w:rsidRPr="00497F3F">
        <w:rPr>
          <w:rFonts w:ascii="Times New Roman" w:hAnsi="Times New Roman" w:cs="Times New Roman"/>
          <w:sz w:val="24"/>
          <w:szCs w:val="24"/>
          <w:lang w:val="lt-LT"/>
        </w:rPr>
        <w:t xml:space="preserve"> principas</w:t>
      </w:r>
      <w:r w:rsidR="00A73901" w:rsidRPr="00497F3F">
        <w:rPr>
          <w:rFonts w:ascii="Times New Roman" w:hAnsi="Times New Roman" w:cs="Times New Roman"/>
          <w:sz w:val="24"/>
          <w:szCs w:val="24"/>
          <w:lang w:val="lt-LT"/>
        </w:rPr>
        <w:t xml:space="preserve"> implikuoja</w:t>
      </w:r>
      <w:r w:rsidR="00702C7D" w:rsidRPr="00497F3F">
        <w:rPr>
          <w:rFonts w:ascii="Times New Roman" w:hAnsi="Times New Roman" w:cs="Times New Roman"/>
          <w:sz w:val="24"/>
          <w:szCs w:val="24"/>
          <w:lang w:val="lt-LT"/>
        </w:rPr>
        <w:t xml:space="preserve">, be kita ko, </w:t>
      </w:r>
      <w:r w:rsidR="00A73901" w:rsidRPr="00497F3F">
        <w:rPr>
          <w:rFonts w:ascii="Times New Roman" w:hAnsi="Times New Roman" w:cs="Times New Roman"/>
          <w:sz w:val="24"/>
          <w:szCs w:val="24"/>
          <w:lang w:val="lt-LT"/>
        </w:rPr>
        <w:t>ir</w:t>
      </w:r>
      <w:r w:rsidR="00C231A3" w:rsidRPr="00497F3F">
        <w:rPr>
          <w:rFonts w:ascii="Times New Roman" w:hAnsi="Times New Roman" w:cs="Times New Roman"/>
          <w:sz w:val="24"/>
          <w:szCs w:val="24"/>
          <w:lang w:val="lt-LT"/>
        </w:rPr>
        <w:t xml:space="preserve"> </w:t>
      </w:r>
      <w:r w:rsidR="00F80F25" w:rsidRPr="00497F3F">
        <w:rPr>
          <w:rFonts w:ascii="Times New Roman" w:hAnsi="Times New Roman" w:cs="Times New Roman"/>
          <w:sz w:val="24"/>
          <w:szCs w:val="24"/>
          <w:lang w:val="lt-LT"/>
        </w:rPr>
        <w:t xml:space="preserve">ekonominę nepriklausomybę, nes nors </w:t>
      </w:r>
      <w:r w:rsidR="00082088" w:rsidRPr="00497F3F">
        <w:rPr>
          <w:rFonts w:ascii="Times New Roman" w:hAnsi="Times New Roman" w:cs="Times New Roman"/>
          <w:sz w:val="24"/>
          <w:szCs w:val="24"/>
          <w:lang w:val="lt-LT"/>
        </w:rPr>
        <w:t xml:space="preserve">valstybė reglamentuoja </w:t>
      </w:r>
      <w:r w:rsidR="00F80F25" w:rsidRPr="00497F3F">
        <w:rPr>
          <w:rFonts w:ascii="Times New Roman" w:hAnsi="Times New Roman" w:cs="Times New Roman"/>
          <w:sz w:val="24"/>
          <w:szCs w:val="24"/>
          <w:lang w:val="lt-LT"/>
        </w:rPr>
        <w:t>notarinių paslaugų atlyginim</w:t>
      </w:r>
      <w:r w:rsidR="002F4AF5" w:rsidRPr="00497F3F">
        <w:rPr>
          <w:rFonts w:ascii="Times New Roman" w:hAnsi="Times New Roman" w:cs="Times New Roman"/>
          <w:sz w:val="24"/>
          <w:szCs w:val="24"/>
          <w:lang w:val="lt-LT"/>
        </w:rPr>
        <w:t>ą</w:t>
      </w:r>
      <w:r w:rsidR="00F80F25" w:rsidRPr="00497F3F">
        <w:rPr>
          <w:rFonts w:ascii="Times New Roman" w:hAnsi="Times New Roman" w:cs="Times New Roman"/>
          <w:sz w:val="24"/>
          <w:szCs w:val="24"/>
          <w:lang w:val="lt-LT"/>
        </w:rPr>
        <w:t>, notarai patys išlaiko savo darbo vietas</w:t>
      </w:r>
      <w:r w:rsidR="005F5332" w:rsidRPr="00497F3F">
        <w:rPr>
          <w:rFonts w:ascii="Times New Roman" w:hAnsi="Times New Roman" w:cs="Times New Roman"/>
          <w:sz w:val="24"/>
          <w:szCs w:val="24"/>
          <w:lang w:val="lt-LT"/>
        </w:rPr>
        <w:t xml:space="preserve">. </w:t>
      </w:r>
      <w:r w:rsidR="008E3616">
        <w:rPr>
          <w:rFonts w:ascii="Times New Roman" w:hAnsi="Times New Roman" w:cs="Times New Roman"/>
          <w:sz w:val="24"/>
          <w:szCs w:val="24"/>
          <w:lang w:val="lt-LT"/>
        </w:rPr>
        <w:t>T</w:t>
      </w:r>
      <w:r w:rsidR="00B40A9A">
        <w:rPr>
          <w:rFonts w:ascii="Times New Roman" w:hAnsi="Times New Roman" w:cs="Times New Roman"/>
          <w:sz w:val="24"/>
          <w:szCs w:val="24"/>
          <w:lang w:val="lt-LT"/>
        </w:rPr>
        <w:t>eisė</w:t>
      </w:r>
      <w:r w:rsidR="008E3616">
        <w:rPr>
          <w:rFonts w:ascii="Times New Roman" w:hAnsi="Times New Roman" w:cs="Times New Roman"/>
          <w:sz w:val="24"/>
          <w:szCs w:val="24"/>
          <w:lang w:val="lt-LT"/>
        </w:rPr>
        <w:t xml:space="preserve">s aktų leidėjas </w:t>
      </w:r>
      <w:proofErr w:type="spellStart"/>
      <w:r w:rsidR="009428F2" w:rsidRPr="009428F2">
        <w:rPr>
          <w:rFonts w:ascii="Times New Roman" w:hAnsi="Times New Roman" w:cs="Times New Roman"/>
          <w:i/>
          <w:iCs/>
          <w:sz w:val="24"/>
          <w:szCs w:val="24"/>
          <w:lang w:val="lt-LT"/>
        </w:rPr>
        <w:t>expressis</w:t>
      </w:r>
      <w:proofErr w:type="spellEnd"/>
      <w:r w:rsidR="009428F2" w:rsidRPr="009428F2">
        <w:rPr>
          <w:rFonts w:ascii="Times New Roman" w:hAnsi="Times New Roman" w:cs="Times New Roman"/>
          <w:i/>
          <w:iCs/>
          <w:sz w:val="24"/>
          <w:szCs w:val="24"/>
          <w:lang w:val="lt-LT"/>
        </w:rPr>
        <w:t xml:space="preserve"> </w:t>
      </w:r>
      <w:proofErr w:type="spellStart"/>
      <w:r w:rsidR="009428F2" w:rsidRPr="009428F2">
        <w:rPr>
          <w:rFonts w:ascii="Times New Roman" w:hAnsi="Times New Roman" w:cs="Times New Roman"/>
          <w:i/>
          <w:iCs/>
          <w:sz w:val="24"/>
          <w:szCs w:val="24"/>
          <w:lang w:val="lt-LT"/>
        </w:rPr>
        <w:t>verbis</w:t>
      </w:r>
      <w:proofErr w:type="spellEnd"/>
      <w:r w:rsidR="009428F2">
        <w:rPr>
          <w:rFonts w:ascii="Times New Roman" w:hAnsi="Times New Roman" w:cs="Times New Roman"/>
          <w:sz w:val="24"/>
          <w:szCs w:val="24"/>
          <w:lang w:val="lt-LT"/>
        </w:rPr>
        <w:t xml:space="preserve"> </w:t>
      </w:r>
      <w:r w:rsidR="00E24E4E">
        <w:rPr>
          <w:rFonts w:ascii="Times New Roman" w:hAnsi="Times New Roman" w:cs="Times New Roman"/>
          <w:sz w:val="24"/>
          <w:szCs w:val="24"/>
          <w:lang w:val="lt-LT"/>
        </w:rPr>
        <w:t>įtvirtino</w:t>
      </w:r>
      <w:r w:rsidR="006762FF">
        <w:rPr>
          <w:rFonts w:ascii="Times New Roman" w:hAnsi="Times New Roman" w:cs="Times New Roman"/>
          <w:sz w:val="24"/>
          <w:szCs w:val="24"/>
          <w:lang w:val="lt-LT"/>
        </w:rPr>
        <w:t>, kad</w:t>
      </w:r>
      <w:r w:rsidR="00C3533A" w:rsidRPr="00497F3F">
        <w:rPr>
          <w:rFonts w:ascii="Times New Roman" w:hAnsi="Times New Roman" w:cs="Times New Roman"/>
          <w:sz w:val="24"/>
          <w:szCs w:val="24"/>
          <w:lang w:val="lt-LT"/>
        </w:rPr>
        <w:t xml:space="preserve"> n</w:t>
      </w:r>
      <w:r w:rsidR="005F5332" w:rsidRPr="00497F3F">
        <w:rPr>
          <w:rFonts w:ascii="Times New Roman" w:hAnsi="Times New Roman" w:cs="Times New Roman"/>
          <w:sz w:val="24"/>
          <w:szCs w:val="24"/>
          <w:lang w:val="lt-LT"/>
        </w:rPr>
        <w:t>otaro atlyginimas</w:t>
      </w:r>
      <w:r w:rsidR="00C9008B" w:rsidRPr="00497F3F">
        <w:rPr>
          <w:rFonts w:ascii="Times New Roman" w:hAnsi="Times New Roman" w:cs="Times New Roman"/>
          <w:sz w:val="24"/>
          <w:szCs w:val="24"/>
          <w:lang w:val="lt-LT"/>
        </w:rPr>
        <w:t xml:space="preserve"> turi garantuoti </w:t>
      </w:r>
      <w:r w:rsidR="007C2BD4" w:rsidRPr="00497F3F">
        <w:rPr>
          <w:rFonts w:ascii="Times New Roman" w:hAnsi="Times New Roman" w:cs="Times New Roman"/>
          <w:sz w:val="24"/>
          <w:szCs w:val="24"/>
          <w:lang w:val="lt-LT"/>
        </w:rPr>
        <w:t>notaro pajamas, kurios leistų jam būti ekonomiškai nepriklausomam, sudaryti geras klientų aptarnavimo sąlygas, įdarbinti reikalingos kvalifikacijos darbuotojus ir turėti gerai techniškai aprūpintą biurą (Notariato įstatymo 19 str</w:t>
      </w:r>
      <w:r w:rsidR="001F56F8" w:rsidRPr="00497F3F">
        <w:rPr>
          <w:rFonts w:ascii="Times New Roman" w:hAnsi="Times New Roman" w:cs="Times New Roman"/>
          <w:sz w:val="24"/>
          <w:szCs w:val="24"/>
          <w:lang w:val="lt-LT"/>
        </w:rPr>
        <w:t>.</w:t>
      </w:r>
      <w:r w:rsidR="007C2BD4" w:rsidRPr="00497F3F">
        <w:rPr>
          <w:rFonts w:ascii="Times New Roman" w:hAnsi="Times New Roman" w:cs="Times New Roman"/>
          <w:sz w:val="24"/>
          <w:szCs w:val="24"/>
          <w:lang w:val="lt-LT"/>
        </w:rPr>
        <w:t>)</w:t>
      </w:r>
      <w:r w:rsidR="00F80F25" w:rsidRPr="00497F3F">
        <w:rPr>
          <w:rFonts w:ascii="Times New Roman" w:hAnsi="Times New Roman" w:cs="Times New Roman"/>
          <w:sz w:val="24"/>
          <w:szCs w:val="24"/>
          <w:lang w:val="lt-LT"/>
        </w:rPr>
        <w:t>.</w:t>
      </w:r>
    </w:p>
    <w:p w14:paraId="4305C540" w14:textId="4D8C33E9" w:rsidR="00F80F25" w:rsidRPr="00CF2469" w:rsidRDefault="00A92EAB" w:rsidP="002F283C">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 </w:t>
      </w:r>
      <w:r w:rsidRPr="009B7D3A">
        <w:rPr>
          <w:rFonts w:ascii="Times New Roman" w:hAnsi="Times New Roman" w:cs="Times New Roman"/>
          <w:sz w:val="24"/>
          <w:szCs w:val="24"/>
          <w:lang w:val="lt-LT"/>
        </w:rPr>
        <w:t>Atsižvelg</w:t>
      </w:r>
      <w:r w:rsidR="006D00EE">
        <w:rPr>
          <w:rFonts w:ascii="Times New Roman" w:hAnsi="Times New Roman" w:cs="Times New Roman"/>
          <w:sz w:val="24"/>
          <w:szCs w:val="24"/>
          <w:lang w:val="lt-LT"/>
        </w:rPr>
        <w:t xml:space="preserve">iant </w:t>
      </w:r>
      <w:r w:rsidRPr="009B7D3A">
        <w:rPr>
          <w:rFonts w:ascii="Times New Roman" w:hAnsi="Times New Roman" w:cs="Times New Roman"/>
          <w:sz w:val="24"/>
          <w:szCs w:val="24"/>
          <w:lang w:val="lt-LT"/>
        </w:rPr>
        <w:t xml:space="preserve">į tai, kad notaras atlyginimo iš valstybės negauna ir savo veiklą finansuoja iš </w:t>
      </w:r>
      <w:r w:rsidR="009B7D3A">
        <w:rPr>
          <w:rFonts w:ascii="Times New Roman" w:hAnsi="Times New Roman" w:cs="Times New Roman"/>
          <w:sz w:val="24"/>
          <w:szCs w:val="24"/>
          <w:lang w:val="lt-LT"/>
        </w:rPr>
        <w:t>notarinių paslaugų atlyginimo</w:t>
      </w:r>
      <w:r w:rsidRPr="009B7D3A">
        <w:rPr>
          <w:rFonts w:ascii="Times New Roman" w:hAnsi="Times New Roman" w:cs="Times New Roman"/>
          <w:sz w:val="24"/>
          <w:szCs w:val="24"/>
          <w:lang w:val="lt-LT"/>
        </w:rPr>
        <w:t>,</w:t>
      </w:r>
      <w:r w:rsidR="006D00EE">
        <w:rPr>
          <w:rFonts w:ascii="Times New Roman" w:hAnsi="Times New Roman" w:cs="Times New Roman"/>
          <w:sz w:val="24"/>
          <w:szCs w:val="24"/>
          <w:lang w:val="lt-LT"/>
        </w:rPr>
        <w:t xml:space="preserve"> išplėstinė</w:t>
      </w:r>
      <w:r w:rsidR="006B75A3">
        <w:rPr>
          <w:rFonts w:ascii="Times New Roman" w:hAnsi="Times New Roman" w:cs="Times New Roman"/>
          <w:sz w:val="24"/>
          <w:szCs w:val="24"/>
          <w:lang w:val="lt-LT"/>
        </w:rPr>
        <w:t>s</w:t>
      </w:r>
      <w:r w:rsidR="006D00EE">
        <w:rPr>
          <w:rFonts w:ascii="Times New Roman" w:hAnsi="Times New Roman" w:cs="Times New Roman"/>
          <w:sz w:val="24"/>
          <w:szCs w:val="24"/>
          <w:lang w:val="lt-LT"/>
        </w:rPr>
        <w:t xml:space="preserve"> teisėjų kolegij</w:t>
      </w:r>
      <w:r w:rsidR="006B75A3">
        <w:rPr>
          <w:rFonts w:ascii="Times New Roman" w:hAnsi="Times New Roman" w:cs="Times New Roman"/>
          <w:sz w:val="24"/>
          <w:szCs w:val="24"/>
          <w:lang w:val="lt-LT"/>
        </w:rPr>
        <w:t>os nuomone,</w:t>
      </w:r>
      <w:r w:rsidR="00FF5424">
        <w:rPr>
          <w:rFonts w:ascii="Times New Roman" w:hAnsi="Times New Roman" w:cs="Times New Roman"/>
          <w:sz w:val="24"/>
          <w:szCs w:val="24"/>
          <w:lang w:val="lt-LT"/>
        </w:rPr>
        <w:t xml:space="preserve"> logiška </w:t>
      </w:r>
      <w:r w:rsidR="00372220">
        <w:rPr>
          <w:rFonts w:ascii="Times New Roman" w:hAnsi="Times New Roman" w:cs="Times New Roman"/>
          <w:sz w:val="24"/>
          <w:szCs w:val="24"/>
          <w:lang w:val="lt-LT"/>
        </w:rPr>
        <w:t>ir pagrįsta daryti išvadą</w:t>
      </w:r>
      <w:r w:rsidR="00FF5424">
        <w:rPr>
          <w:rFonts w:ascii="Times New Roman" w:hAnsi="Times New Roman" w:cs="Times New Roman"/>
          <w:sz w:val="24"/>
          <w:szCs w:val="24"/>
          <w:lang w:val="lt-LT"/>
        </w:rPr>
        <w:t>, kad notaras</w:t>
      </w:r>
      <w:r w:rsidRPr="009B7D3A">
        <w:rPr>
          <w:rFonts w:ascii="Times New Roman" w:hAnsi="Times New Roman" w:cs="Times New Roman"/>
          <w:sz w:val="24"/>
          <w:szCs w:val="24"/>
          <w:lang w:val="lt-LT"/>
        </w:rPr>
        <w:t xml:space="preserve"> suinteresuotas veikti</w:t>
      </w:r>
      <w:r w:rsidR="00C53D00">
        <w:rPr>
          <w:rFonts w:ascii="Times New Roman" w:hAnsi="Times New Roman" w:cs="Times New Roman"/>
          <w:sz w:val="24"/>
          <w:szCs w:val="24"/>
          <w:lang w:val="lt-LT"/>
        </w:rPr>
        <w:t xml:space="preserve"> finansiškai </w:t>
      </w:r>
      <w:r w:rsidR="00083CE1">
        <w:rPr>
          <w:rFonts w:ascii="Times New Roman" w:hAnsi="Times New Roman" w:cs="Times New Roman"/>
          <w:sz w:val="24"/>
          <w:szCs w:val="24"/>
          <w:lang w:val="lt-LT"/>
        </w:rPr>
        <w:t>efektyviai</w:t>
      </w:r>
      <w:r w:rsidRPr="009B7D3A">
        <w:rPr>
          <w:rFonts w:ascii="Times New Roman" w:hAnsi="Times New Roman" w:cs="Times New Roman"/>
          <w:sz w:val="24"/>
          <w:szCs w:val="24"/>
          <w:lang w:val="lt-LT"/>
        </w:rPr>
        <w:t xml:space="preserve">, </w:t>
      </w:r>
      <w:r w:rsidR="00085447">
        <w:rPr>
          <w:rFonts w:ascii="Times New Roman" w:hAnsi="Times New Roman" w:cs="Times New Roman"/>
          <w:sz w:val="24"/>
          <w:szCs w:val="24"/>
          <w:lang w:val="lt-LT"/>
        </w:rPr>
        <w:t>jog</w:t>
      </w:r>
      <w:r w:rsidRPr="009B7D3A">
        <w:rPr>
          <w:rFonts w:ascii="Times New Roman" w:hAnsi="Times New Roman" w:cs="Times New Roman"/>
          <w:sz w:val="24"/>
          <w:szCs w:val="24"/>
          <w:lang w:val="lt-LT"/>
        </w:rPr>
        <w:t xml:space="preserve"> galėtų užtikrinti savo veiklos tęstinumą ir stabilumą. Šis ekonominis interesas, be kita ko, </w:t>
      </w:r>
      <w:r w:rsidR="006B55C3">
        <w:rPr>
          <w:rFonts w:ascii="Times New Roman" w:hAnsi="Times New Roman" w:cs="Times New Roman"/>
          <w:sz w:val="24"/>
          <w:szCs w:val="24"/>
          <w:lang w:val="lt-LT"/>
        </w:rPr>
        <w:t xml:space="preserve">suponuoja poreikį </w:t>
      </w:r>
      <w:r w:rsidRPr="009B7D3A">
        <w:rPr>
          <w:rFonts w:ascii="Times New Roman" w:hAnsi="Times New Roman" w:cs="Times New Roman"/>
          <w:sz w:val="24"/>
          <w:szCs w:val="24"/>
          <w:lang w:val="lt-LT"/>
        </w:rPr>
        <w:t>pritraukti klient</w:t>
      </w:r>
      <w:r w:rsidR="008617FC">
        <w:rPr>
          <w:rFonts w:ascii="Times New Roman" w:hAnsi="Times New Roman" w:cs="Times New Roman"/>
          <w:sz w:val="24"/>
          <w:szCs w:val="24"/>
          <w:lang w:val="lt-LT"/>
        </w:rPr>
        <w:t>us</w:t>
      </w:r>
      <w:r w:rsidR="003F18D0">
        <w:rPr>
          <w:rFonts w:ascii="Times New Roman" w:hAnsi="Times New Roman" w:cs="Times New Roman"/>
          <w:sz w:val="24"/>
          <w:szCs w:val="24"/>
          <w:lang w:val="lt-LT"/>
        </w:rPr>
        <w:t>, kuriam</w:t>
      </w:r>
      <w:r w:rsidR="004021D0">
        <w:rPr>
          <w:rFonts w:ascii="Times New Roman" w:hAnsi="Times New Roman" w:cs="Times New Roman"/>
          <w:sz w:val="24"/>
          <w:szCs w:val="24"/>
          <w:lang w:val="lt-LT"/>
        </w:rPr>
        <w:t xml:space="preserve"> prielaidas sudaro </w:t>
      </w:r>
      <w:r w:rsidR="008071D5">
        <w:rPr>
          <w:rFonts w:ascii="Times New Roman" w:hAnsi="Times New Roman" w:cs="Times New Roman"/>
          <w:sz w:val="24"/>
          <w:szCs w:val="24"/>
          <w:lang w:val="lt-LT"/>
        </w:rPr>
        <w:t>Notariato įstatymo 28 str</w:t>
      </w:r>
      <w:r w:rsidR="004021D0">
        <w:rPr>
          <w:rFonts w:ascii="Times New Roman" w:hAnsi="Times New Roman" w:cs="Times New Roman"/>
          <w:sz w:val="24"/>
          <w:szCs w:val="24"/>
          <w:lang w:val="lt-LT"/>
        </w:rPr>
        <w:t xml:space="preserve">aipsnyje įtvirtintas reguliavimas, pagal kurį </w:t>
      </w:r>
      <w:r w:rsidRPr="009B7D3A">
        <w:rPr>
          <w:rFonts w:ascii="Times New Roman" w:hAnsi="Times New Roman" w:cs="Times New Roman"/>
          <w:sz w:val="24"/>
          <w:szCs w:val="24"/>
          <w:lang w:val="lt-LT"/>
        </w:rPr>
        <w:t xml:space="preserve">notariniai veiksmai, išskyrus </w:t>
      </w:r>
      <w:r w:rsidR="009E2FFE">
        <w:rPr>
          <w:rFonts w:ascii="Times New Roman" w:hAnsi="Times New Roman" w:cs="Times New Roman"/>
          <w:sz w:val="24"/>
          <w:szCs w:val="24"/>
          <w:lang w:val="lt-LT"/>
        </w:rPr>
        <w:t xml:space="preserve">turto </w:t>
      </w:r>
      <w:r w:rsidRPr="009B7D3A">
        <w:rPr>
          <w:rFonts w:ascii="Times New Roman" w:hAnsi="Times New Roman" w:cs="Times New Roman"/>
          <w:sz w:val="24"/>
          <w:szCs w:val="24"/>
          <w:lang w:val="lt-LT"/>
        </w:rPr>
        <w:t xml:space="preserve">paveldėjimo </w:t>
      </w:r>
      <w:r w:rsidR="0033250D">
        <w:rPr>
          <w:rFonts w:ascii="Times New Roman" w:hAnsi="Times New Roman" w:cs="Times New Roman"/>
          <w:sz w:val="24"/>
          <w:szCs w:val="24"/>
          <w:lang w:val="lt-LT"/>
        </w:rPr>
        <w:t>atvejus</w:t>
      </w:r>
      <w:r w:rsidRPr="009B7D3A">
        <w:rPr>
          <w:rFonts w:ascii="Times New Roman" w:hAnsi="Times New Roman" w:cs="Times New Roman"/>
          <w:sz w:val="24"/>
          <w:szCs w:val="24"/>
          <w:lang w:val="lt-LT"/>
        </w:rPr>
        <w:t>, kuri</w:t>
      </w:r>
      <w:r w:rsidR="009E2FFE">
        <w:rPr>
          <w:rFonts w:ascii="Times New Roman" w:hAnsi="Times New Roman" w:cs="Times New Roman"/>
          <w:sz w:val="24"/>
          <w:szCs w:val="24"/>
          <w:lang w:val="lt-LT"/>
        </w:rPr>
        <w:t>ems</w:t>
      </w:r>
      <w:r w:rsidRPr="009B7D3A">
        <w:rPr>
          <w:rFonts w:ascii="Times New Roman" w:hAnsi="Times New Roman" w:cs="Times New Roman"/>
          <w:sz w:val="24"/>
          <w:szCs w:val="24"/>
          <w:lang w:val="lt-LT"/>
        </w:rPr>
        <w:t xml:space="preserve"> taikomi specialūs teritoriniai apribojimai, </w:t>
      </w:r>
      <w:r w:rsidR="00DD3163">
        <w:rPr>
          <w:rFonts w:ascii="Times New Roman" w:hAnsi="Times New Roman" w:cs="Times New Roman"/>
          <w:sz w:val="24"/>
          <w:szCs w:val="24"/>
          <w:lang w:val="lt-LT"/>
        </w:rPr>
        <w:t xml:space="preserve">Lietuvoje </w:t>
      </w:r>
      <w:r w:rsidRPr="009B7D3A">
        <w:rPr>
          <w:rFonts w:ascii="Times New Roman" w:hAnsi="Times New Roman" w:cs="Times New Roman"/>
          <w:sz w:val="24"/>
          <w:szCs w:val="24"/>
          <w:lang w:val="lt-LT"/>
        </w:rPr>
        <w:t xml:space="preserve">gali būti atliekami </w:t>
      </w:r>
      <w:r w:rsidR="009E2FFE">
        <w:rPr>
          <w:rFonts w:ascii="Times New Roman" w:hAnsi="Times New Roman" w:cs="Times New Roman"/>
          <w:sz w:val="24"/>
          <w:szCs w:val="24"/>
          <w:lang w:val="lt-LT"/>
        </w:rPr>
        <w:t xml:space="preserve">pas bet kurį pasirinktą </w:t>
      </w:r>
      <w:r w:rsidRPr="009B7D3A">
        <w:rPr>
          <w:rFonts w:ascii="Times New Roman" w:hAnsi="Times New Roman" w:cs="Times New Roman"/>
          <w:sz w:val="24"/>
          <w:szCs w:val="24"/>
          <w:lang w:val="lt-LT"/>
        </w:rPr>
        <w:t>notar</w:t>
      </w:r>
      <w:r w:rsidR="009E2FFE">
        <w:rPr>
          <w:rFonts w:ascii="Times New Roman" w:hAnsi="Times New Roman" w:cs="Times New Roman"/>
          <w:sz w:val="24"/>
          <w:szCs w:val="24"/>
          <w:lang w:val="lt-LT"/>
        </w:rPr>
        <w:t>ą</w:t>
      </w:r>
      <w:r w:rsidRPr="009B7D3A">
        <w:rPr>
          <w:rFonts w:ascii="Times New Roman" w:hAnsi="Times New Roman" w:cs="Times New Roman"/>
          <w:sz w:val="24"/>
          <w:szCs w:val="24"/>
          <w:lang w:val="lt-LT"/>
        </w:rPr>
        <w:t xml:space="preserve">. </w:t>
      </w:r>
      <w:r w:rsidR="00964BEF">
        <w:rPr>
          <w:rFonts w:ascii="Times New Roman" w:hAnsi="Times New Roman" w:cs="Times New Roman"/>
          <w:sz w:val="24"/>
          <w:szCs w:val="24"/>
          <w:lang w:val="lt-LT"/>
        </w:rPr>
        <w:t>Aptartos aplinkybės lemia</w:t>
      </w:r>
      <w:r w:rsidR="00E62E37">
        <w:rPr>
          <w:rFonts w:ascii="Times New Roman" w:hAnsi="Times New Roman" w:cs="Times New Roman"/>
          <w:sz w:val="24"/>
          <w:szCs w:val="24"/>
          <w:lang w:val="lt-LT"/>
        </w:rPr>
        <w:t xml:space="preserve"> išvadą</w:t>
      </w:r>
      <w:r w:rsidR="00964BEF">
        <w:rPr>
          <w:rFonts w:ascii="Times New Roman" w:hAnsi="Times New Roman" w:cs="Times New Roman"/>
          <w:sz w:val="24"/>
          <w:szCs w:val="24"/>
          <w:lang w:val="lt-LT"/>
        </w:rPr>
        <w:t xml:space="preserve">, kad </w:t>
      </w:r>
      <w:r w:rsidR="00C64640">
        <w:rPr>
          <w:rFonts w:ascii="Times New Roman" w:hAnsi="Times New Roman" w:cs="Times New Roman"/>
          <w:sz w:val="24"/>
          <w:szCs w:val="24"/>
          <w:lang w:val="lt-LT"/>
        </w:rPr>
        <w:t xml:space="preserve">notarinių paslaugų rinkoje </w:t>
      </w:r>
      <w:r w:rsidR="00C35E45">
        <w:rPr>
          <w:rFonts w:ascii="Times New Roman" w:hAnsi="Times New Roman" w:cs="Times New Roman"/>
          <w:sz w:val="24"/>
          <w:szCs w:val="24"/>
          <w:lang w:val="lt-LT"/>
        </w:rPr>
        <w:t>tam tikr</w:t>
      </w:r>
      <w:r w:rsidR="00B37074">
        <w:rPr>
          <w:rFonts w:ascii="Times New Roman" w:hAnsi="Times New Roman" w:cs="Times New Roman"/>
          <w:sz w:val="24"/>
          <w:szCs w:val="24"/>
          <w:lang w:val="lt-LT"/>
        </w:rPr>
        <w:t>a</w:t>
      </w:r>
      <w:r w:rsidR="00C35E45">
        <w:rPr>
          <w:rFonts w:ascii="Times New Roman" w:hAnsi="Times New Roman" w:cs="Times New Roman"/>
          <w:sz w:val="24"/>
          <w:szCs w:val="24"/>
          <w:lang w:val="lt-LT"/>
        </w:rPr>
        <w:t xml:space="preserve"> apimtimi </w:t>
      </w:r>
      <w:r w:rsidR="00C64640" w:rsidRPr="00DF5596">
        <w:rPr>
          <w:rFonts w:ascii="Times New Roman" w:hAnsi="Times New Roman" w:cs="Times New Roman"/>
          <w:sz w:val="24"/>
          <w:szCs w:val="24"/>
          <w:lang w:val="lt-LT"/>
        </w:rPr>
        <w:t>e</w:t>
      </w:r>
      <w:r w:rsidR="005714B9" w:rsidRPr="00DF5596">
        <w:rPr>
          <w:rFonts w:ascii="Times New Roman" w:hAnsi="Times New Roman" w:cs="Times New Roman"/>
          <w:sz w:val="24"/>
          <w:szCs w:val="24"/>
          <w:lang w:val="lt-LT"/>
        </w:rPr>
        <w:t xml:space="preserve">gzistuoja </w:t>
      </w:r>
      <w:r w:rsidRPr="00DF5596">
        <w:rPr>
          <w:rFonts w:ascii="Times New Roman" w:hAnsi="Times New Roman" w:cs="Times New Roman"/>
          <w:sz w:val="24"/>
          <w:szCs w:val="24"/>
          <w:lang w:val="lt-LT"/>
        </w:rPr>
        <w:t>konkurencinė aplinka</w:t>
      </w:r>
      <w:r w:rsidR="00743119" w:rsidRPr="00DF5596">
        <w:rPr>
          <w:rFonts w:ascii="Times New Roman" w:hAnsi="Times New Roman" w:cs="Times New Roman"/>
          <w:sz w:val="24"/>
          <w:szCs w:val="24"/>
          <w:lang w:val="lt-LT"/>
        </w:rPr>
        <w:t>,</w:t>
      </w:r>
      <w:r w:rsidRPr="00DF5596">
        <w:rPr>
          <w:rFonts w:ascii="Times New Roman" w:hAnsi="Times New Roman" w:cs="Times New Roman"/>
          <w:sz w:val="24"/>
          <w:szCs w:val="24"/>
          <w:lang w:val="lt-LT"/>
        </w:rPr>
        <w:t xml:space="preserve"> skatina</w:t>
      </w:r>
      <w:r w:rsidR="00743119" w:rsidRPr="00DF5596">
        <w:rPr>
          <w:rFonts w:ascii="Times New Roman" w:hAnsi="Times New Roman" w:cs="Times New Roman"/>
          <w:sz w:val="24"/>
          <w:szCs w:val="24"/>
          <w:lang w:val="lt-LT"/>
        </w:rPr>
        <w:t>nti</w:t>
      </w:r>
      <w:r w:rsidRPr="009B7D3A">
        <w:rPr>
          <w:rFonts w:ascii="Times New Roman" w:hAnsi="Times New Roman" w:cs="Times New Roman"/>
          <w:sz w:val="24"/>
          <w:szCs w:val="24"/>
          <w:lang w:val="lt-LT"/>
        </w:rPr>
        <w:t xml:space="preserve"> notarus siūlyti</w:t>
      </w:r>
      <w:r w:rsidR="00B37074">
        <w:rPr>
          <w:rFonts w:ascii="Times New Roman" w:hAnsi="Times New Roman" w:cs="Times New Roman"/>
          <w:sz w:val="24"/>
          <w:szCs w:val="24"/>
          <w:lang w:val="lt-LT"/>
        </w:rPr>
        <w:t xml:space="preserve">, be kita ko, </w:t>
      </w:r>
      <w:r w:rsidRPr="009B7D3A">
        <w:rPr>
          <w:rFonts w:ascii="Times New Roman" w:hAnsi="Times New Roman" w:cs="Times New Roman"/>
          <w:sz w:val="24"/>
          <w:szCs w:val="24"/>
          <w:lang w:val="lt-LT"/>
        </w:rPr>
        <w:t>aukštą paslaugų kokybę bei tinkamas aptarnavimo sąlygas, siekiant pritraukti ir išlaikyti klientus, o tai, savo ruožtu, didina visuomenės pasitikėjimą notariato sistema</w:t>
      </w:r>
      <w:r w:rsidR="006225D6" w:rsidRPr="006225D6">
        <w:rPr>
          <w:rFonts w:ascii="Times New Roman" w:hAnsi="Times New Roman" w:cs="Times New Roman"/>
          <w:sz w:val="24"/>
          <w:szCs w:val="24"/>
          <w:lang w:val="lt-LT"/>
        </w:rPr>
        <w:t>.</w:t>
      </w:r>
    </w:p>
    <w:p w14:paraId="51C8DB86" w14:textId="52CB9ECC" w:rsidR="00B133E3" w:rsidRDefault="0038687E" w:rsidP="00B133E3">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DA3E98">
        <w:rPr>
          <w:rFonts w:ascii="Times New Roman" w:eastAsia="Times New Roman" w:hAnsi="Times New Roman" w:cs="Times New Roman"/>
          <w:sz w:val="24"/>
          <w:szCs w:val="24"/>
          <w:lang w:val="lt-LT"/>
        </w:rPr>
        <w:t xml:space="preserve">Kitaip tariant, </w:t>
      </w:r>
      <w:r w:rsidR="008C6AF1">
        <w:rPr>
          <w:rFonts w:ascii="Times New Roman" w:eastAsia="Times New Roman" w:hAnsi="Times New Roman" w:cs="Times New Roman"/>
          <w:sz w:val="24"/>
          <w:szCs w:val="24"/>
          <w:lang w:val="lt-LT"/>
        </w:rPr>
        <w:t>a</w:t>
      </w:r>
      <w:r w:rsidR="00DF581C" w:rsidRPr="00DF581C">
        <w:rPr>
          <w:rFonts w:ascii="Times New Roman" w:eastAsia="Times New Roman" w:hAnsi="Times New Roman" w:cs="Times New Roman"/>
          <w:sz w:val="24"/>
          <w:szCs w:val="24"/>
          <w:lang w:val="lt-LT"/>
        </w:rPr>
        <w:t>tsižvelg</w:t>
      </w:r>
      <w:r w:rsidR="00B65E49">
        <w:rPr>
          <w:rFonts w:ascii="Times New Roman" w:eastAsia="Times New Roman" w:hAnsi="Times New Roman" w:cs="Times New Roman"/>
          <w:sz w:val="24"/>
          <w:szCs w:val="24"/>
          <w:lang w:val="lt-LT"/>
        </w:rPr>
        <w:t>dama</w:t>
      </w:r>
      <w:r w:rsidR="00DF581C" w:rsidRPr="00DF581C">
        <w:rPr>
          <w:rFonts w:ascii="Times New Roman" w:eastAsia="Times New Roman" w:hAnsi="Times New Roman" w:cs="Times New Roman"/>
          <w:sz w:val="24"/>
          <w:szCs w:val="24"/>
          <w:lang w:val="lt-LT"/>
        </w:rPr>
        <w:t xml:space="preserve"> į </w:t>
      </w:r>
      <w:r w:rsidR="007E301B">
        <w:rPr>
          <w:rFonts w:ascii="Times New Roman" w:eastAsia="Times New Roman" w:hAnsi="Times New Roman" w:cs="Times New Roman"/>
          <w:sz w:val="24"/>
          <w:szCs w:val="24"/>
          <w:lang w:val="lt-LT"/>
        </w:rPr>
        <w:t>notarų turimą</w:t>
      </w:r>
      <w:r w:rsidR="002467CB">
        <w:rPr>
          <w:rFonts w:ascii="Times New Roman" w:eastAsia="Times New Roman" w:hAnsi="Times New Roman" w:cs="Times New Roman"/>
          <w:sz w:val="24"/>
          <w:szCs w:val="24"/>
          <w:lang w:val="lt-LT"/>
        </w:rPr>
        <w:t xml:space="preserve"> </w:t>
      </w:r>
      <w:r w:rsidR="003D5520">
        <w:rPr>
          <w:rFonts w:ascii="Times New Roman" w:eastAsia="Times New Roman" w:hAnsi="Times New Roman" w:cs="Times New Roman"/>
          <w:sz w:val="24"/>
          <w:szCs w:val="24"/>
          <w:lang w:val="lt-LT"/>
        </w:rPr>
        <w:t>tam tikrą nuožiūros ir veiksmų laisvę</w:t>
      </w:r>
      <w:r w:rsidR="006E267D">
        <w:rPr>
          <w:rFonts w:ascii="Times New Roman" w:eastAsia="Times New Roman" w:hAnsi="Times New Roman" w:cs="Times New Roman"/>
          <w:sz w:val="24"/>
          <w:szCs w:val="24"/>
          <w:lang w:val="lt-LT"/>
        </w:rPr>
        <w:t xml:space="preserve"> (kiek jos  </w:t>
      </w:r>
      <w:r w:rsidR="00CB1378">
        <w:rPr>
          <w:rFonts w:ascii="Times New Roman" w:eastAsia="Times New Roman" w:hAnsi="Times New Roman" w:cs="Times New Roman"/>
          <w:sz w:val="24"/>
          <w:szCs w:val="24"/>
          <w:lang w:val="lt-LT"/>
        </w:rPr>
        <w:t xml:space="preserve">kiekvienu konkrečiu notarinės veiklos klausimu </w:t>
      </w:r>
      <w:r w:rsidR="006E267D">
        <w:rPr>
          <w:rFonts w:ascii="Times New Roman" w:eastAsia="Times New Roman" w:hAnsi="Times New Roman" w:cs="Times New Roman"/>
          <w:sz w:val="24"/>
          <w:szCs w:val="24"/>
          <w:lang w:val="lt-LT"/>
        </w:rPr>
        <w:t>palieka valstybė)</w:t>
      </w:r>
      <w:r w:rsidR="00696442">
        <w:rPr>
          <w:rFonts w:ascii="Times New Roman" w:eastAsia="Times New Roman" w:hAnsi="Times New Roman" w:cs="Times New Roman"/>
          <w:sz w:val="24"/>
          <w:szCs w:val="24"/>
          <w:lang w:val="lt-LT"/>
        </w:rPr>
        <w:t xml:space="preserve"> ir</w:t>
      </w:r>
      <w:r w:rsidR="003D5520">
        <w:rPr>
          <w:rFonts w:ascii="Times New Roman" w:eastAsia="Times New Roman" w:hAnsi="Times New Roman" w:cs="Times New Roman"/>
          <w:sz w:val="24"/>
          <w:szCs w:val="24"/>
          <w:lang w:val="lt-LT"/>
        </w:rPr>
        <w:t xml:space="preserve"> </w:t>
      </w:r>
      <w:r w:rsidR="0095794E">
        <w:rPr>
          <w:rFonts w:ascii="Times New Roman" w:eastAsia="Times New Roman" w:hAnsi="Times New Roman" w:cs="Times New Roman"/>
          <w:sz w:val="24"/>
          <w:szCs w:val="24"/>
          <w:lang w:val="lt-LT"/>
        </w:rPr>
        <w:t>šioje rinkoje egzistuojan</w:t>
      </w:r>
      <w:r w:rsidR="00823CD0">
        <w:rPr>
          <w:rFonts w:ascii="Times New Roman" w:eastAsia="Times New Roman" w:hAnsi="Times New Roman" w:cs="Times New Roman"/>
          <w:sz w:val="24"/>
          <w:szCs w:val="24"/>
          <w:lang w:val="lt-LT"/>
        </w:rPr>
        <w:t>čią (nors ir suvaržytą)</w:t>
      </w:r>
      <w:r w:rsidR="0095794E">
        <w:rPr>
          <w:rFonts w:ascii="Times New Roman" w:eastAsia="Times New Roman" w:hAnsi="Times New Roman" w:cs="Times New Roman"/>
          <w:sz w:val="24"/>
          <w:szCs w:val="24"/>
          <w:lang w:val="lt-LT"/>
        </w:rPr>
        <w:t xml:space="preserve"> </w:t>
      </w:r>
      <w:r w:rsidR="00DF581C" w:rsidRPr="00DF581C">
        <w:rPr>
          <w:rFonts w:ascii="Times New Roman" w:eastAsia="Times New Roman" w:hAnsi="Times New Roman" w:cs="Times New Roman"/>
          <w:sz w:val="24"/>
          <w:szCs w:val="24"/>
          <w:lang w:val="lt-LT"/>
        </w:rPr>
        <w:t>konkurencin</w:t>
      </w:r>
      <w:r w:rsidR="00823CD0">
        <w:rPr>
          <w:rFonts w:ascii="Times New Roman" w:eastAsia="Times New Roman" w:hAnsi="Times New Roman" w:cs="Times New Roman"/>
          <w:sz w:val="24"/>
          <w:szCs w:val="24"/>
          <w:lang w:val="lt-LT"/>
        </w:rPr>
        <w:t>ę</w:t>
      </w:r>
      <w:r w:rsidR="00DF581C" w:rsidRPr="00DF581C">
        <w:rPr>
          <w:rFonts w:ascii="Times New Roman" w:eastAsia="Times New Roman" w:hAnsi="Times New Roman" w:cs="Times New Roman"/>
          <w:sz w:val="24"/>
          <w:szCs w:val="24"/>
          <w:lang w:val="lt-LT"/>
        </w:rPr>
        <w:t xml:space="preserve"> aplink</w:t>
      </w:r>
      <w:r w:rsidR="00823CD0">
        <w:rPr>
          <w:rFonts w:ascii="Times New Roman" w:eastAsia="Times New Roman" w:hAnsi="Times New Roman" w:cs="Times New Roman"/>
          <w:sz w:val="24"/>
          <w:szCs w:val="24"/>
          <w:lang w:val="lt-LT"/>
        </w:rPr>
        <w:t>ą</w:t>
      </w:r>
      <w:r w:rsidR="00DF581C" w:rsidRPr="00DF581C">
        <w:rPr>
          <w:rFonts w:ascii="Times New Roman" w:eastAsia="Times New Roman" w:hAnsi="Times New Roman" w:cs="Times New Roman"/>
          <w:sz w:val="24"/>
          <w:szCs w:val="24"/>
          <w:lang w:val="lt-LT"/>
        </w:rPr>
        <w:t xml:space="preserve">, </w:t>
      </w:r>
      <w:r w:rsidR="00AE4DA8">
        <w:rPr>
          <w:rFonts w:ascii="Times New Roman" w:eastAsia="Times New Roman" w:hAnsi="Times New Roman" w:cs="Times New Roman"/>
          <w:sz w:val="24"/>
          <w:szCs w:val="24"/>
          <w:lang w:val="lt-LT"/>
        </w:rPr>
        <w:t>išplėstinė teisėjų kolegija</w:t>
      </w:r>
      <w:r w:rsidR="000E0589">
        <w:rPr>
          <w:rFonts w:ascii="Times New Roman" w:eastAsia="Times New Roman" w:hAnsi="Times New Roman" w:cs="Times New Roman"/>
          <w:sz w:val="24"/>
          <w:szCs w:val="24"/>
          <w:lang w:val="lt-LT"/>
        </w:rPr>
        <w:t xml:space="preserve"> </w:t>
      </w:r>
      <w:r w:rsidR="006A1B00">
        <w:rPr>
          <w:rFonts w:ascii="Times New Roman" w:eastAsia="Times New Roman" w:hAnsi="Times New Roman" w:cs="Times New Roman"/>
          <w:sz w:val="24"/>
          <w:szCs w:val="24"/>
          <w:lang w:val="lt-LT"/>
        </w:rPr>
        <w:t>prieina prie išvados, kad</w:t>
      </w:r>
      <w:r w:rsidR="006A7E60">
        <w:rPr>
          <w:rFonts w:ascii="Times New Roman" w:eastAsia="Times New Roman" w:hAnsi="Times New Roman" w:cs="Times New Roman"/>
          <w:sz w:val="24"/>
          <w:szCs w:val="24"/>
          <w:lang w:val="lt-LT"/>
        </w:rPr>
        <w:t xml:space="preserve"> </w:t>
      </w:r>
      <w:r w:rsidR="006A1B00">
        <w:rPr>
          <w:rFonts w:ascii="Times New Roman" w:eastAsia="Times New Roman" w:hAnsi="Times New Roman" w:cs="Times New Roman"/>
          <w:sz w:val="24"/>
          <w:szCs w:val="24"/>
          <w:lang w:val="lt-LT"/>
        </w:rPr>
        <w:t xml:space="preserve">notarams nedraudžiama </w:t>
      </w:r>
      <w:r w:rsidR="00FD03F4" w:rsidRPr="00451DB2">
        <w:rPr>
          <w:rFonts w:ascii="Times New Roman" w:eastAsia="Times New Roman" w:hAnsi="Times New Roman" w:cs="Times New Roman"/>
          <w:i/>
          <w:iCs/>
          <w:sz w:val="24"/>
          <w:szCs w:val="24"/>
          <w:lang w:val="lt-LT"/>
        </w:rPr>
        <w:t xml:space="preserve">per </w:t>
      </w:r>
      <w:proofErr w:type="spellStart"/>
      <w:r w:rsidR="00FD03F4" w:rsidRPr="00451DB2">
        <w:rPr>
          <w:rFonts w:ascii="Times New Roman" w:eastAsia="Times New Roman" w:hAnsi="Times New Roman" w:cs="Times New Roman"/>
          <w:i/>
          <w:iCs/>
          <w:sz w:val="24"/>
          <w:szCs w:val="24"/>
          <w:lang w:val="lt-LT"/>
        </w:rPr>
        <w:t>se</w:t>
      </w:r>
      <w:proofErr w:type="spellEnd"/>
      <w:r w:rsidR="00FD03F4">
        <w:rPr>
          <w:rFonts w:ascii="Times New Roman" w:eastAsia="Times New Roman" w:hAnsi="Times New Roman" w:cs="Times New Roman"/>
          <w:sz w:val="24"/>
          <w:szCs w:val="24"/>
          <w:lang w:val="lt-LT"/>
        </w:rPr>
        <w:t xml:space="preserve"> </w:t>
      </w:r>
      <w:r w:rsidR="006A1B00">
        <w:rPr>
          <w:rFonts w:ascii="Times New Roman" w:eastAsia="Times New Roman" w:hAnsi="Times New Roman" w:cs="Times New Roman"/>
          <w:sz w:val="24"/>
          <w:szCs w:val="24"/>
          <w:lang w:val="lt-LT"/>
        </w:rPr>
        <w:t>konkuruoti</w:t>
      </w:r>
      <w:r w:rsidR="00FD03F4">
        <w:rPr>
          <w:rFonts w:ascii="Times New Roman" w:eastAsia="Times New Roman" w:hAnsi="Times New Roman" w:cs="Times New Roman"/>
          <w:sz w:val="24"/>
          <w:szCs w:val="24"/>
          <w:lang w:val="lt-LT"/>
        </w:rPr>
        <w:t>, veikiant</w:t>
      </w:r>
      <w:r w:rsidR="006A1B00">
        <w:rPr>
          <w:rFonts w:ascii="Times New Roman" w:eastAsia="Times New Roman" w:hAnsi="Times New Roman" w:cs="Times New Roman"/>
          <w:sz w:val="24"/>
          <w:szCs w:val="24"/>
          <w:lang w:val="lt-LT"/>
        </w:rPr>
        <w:t xml:space="preserve"> jų turimos </w:t>
      </w:r>
      <w:proofErr w:type="spellStart"/>
      <w:r w:rsidR="006A1B00">
        <w:rPr>
          <w:rFonts w:ascii="Times New Roman" w:eastAsia="Times New Roman" w:hAnsi="Times New Roman" w:cs="Times New Roman"/>
          <w:sz w:val="24"/>
          <w:szCs w:val="24"/>
          <w:lang w:val="lt-LT"/>
        </w:rPr>
        <w:t>diskrecijos</w:t>
      </w:r>
      <w:proofErr w:type="spellEnd"/>
      <w:r w:rsidR="006A1B00">
        <w:rPr>
          <w:rFonts w:ascii="Times New Roman" w:eastAsia="Times New Roman" w:hAnsi="Times New Roman" w:cs="Times New Roman"/>
          <w:sz w:val="24"/>
          <w:szCs w:val="24"/>
          <w:lang w:val="lt-LT"/>
        </w:rPr>
        <w:t xml:space="preserve"> ribose</w:t>
      </w:r>
      <w:r w:rsidR="006A7E60">
        <w:rPr>
          <w:rFonts w:ascii="Times New Roman" w:eastAsia="Times New Roman" w:hAnsi="Times New Roman" w:cs="Times New Roman"/>
          <w:sz w:val="24"/>
          <w:szCs w:val="24"/>
          <w:lang w:val="lt-LT"/>
        </w:rPr>
        <w:t xml:space="preserve">. </w:t>
      </w:r>
      <w:r w:rsidR="007E6D90">
        <w:rPr>
          <w:rFonts w:ascii="Times New Roman" w:eastAsia="Times New Roman" w:hAnsi="Times New Roman" w:cs="Times New Roman"/>
          <w:sz w:val="24"/>
          <w:szCs w:val="24"/>
          <w:lang w:val="lt-LT"/>
        </w:rPr>
        <w:t xml:space="preserve">Atitinkamai nėra pagrindo teigti, kad notarai negali konkuruoti </w:t>
      </w:r>
      <w:r w:rsidR="00551EBC">
        <w:rPr>
          <w:rFonts w:ascii="Times New Roman" w:eastAsia="Times New Roman" w:hAnsi="Times New Roman" w:cs="Times New Roman"/>
          <w:sz w:val="24"/>
          <w:szCs w:val="24"/>
          <w:lang w:val="lt-LT"/>
        </w:rPr>
        <w:t>notarinių paslaugų atlyginimo įkainiais</w:t>
      </w:r>
      <w:r w:rsidR="0071235F">
        <w:rPr>
          <w:rFonts w:ascii="Times New Roman" w:eastAsia="Times New Roman" w:hAnsi="Times New Roman" w:cs="Times New Roman"/>
          <w:sz w:val="24"/>
          <w:szCs w:val="24"/>
          <w:lang w:val="lt-LT"/>
        </w:rPr>
        <w:t xml:space="preserve"> tiek, kiek </w:t>
      </w:r>
      <w:r w:rsidR="009C67DC">
        <w:rPr>
          <w:rFonts w:ascii="Times New Roman" w:eastAsia="Times New Roman" w:hAnsi="Times New Roman" w:cs="Times New Roman"/>
          <w:sz w:val="24"/>
          <w:szCs w:val="24"/>
          <w:lang w:val="lt-LT"/>
        </w:rPr>
        <w:t>galiojantys teisės aktai jiems suteikta (ar pali</w:t>
      </w:r>
      <w:r w:rsidR="00684211">
        <w:rPr>
          <w:rFonts w:ascii="Times New Roman" w:eastAsia="Times New Roman" w:hAnsi="Times New Roman" w:cs="Times New Roman"/>
          <w:sz w:val="24"/>
          <w:szCs w:val="24"/>
          <w:lang w:val="lt-LT"/>
        </w:rPr>
        <w:t>e</w:t>
      </w:r>
      <w:r w:rsidR="009C67DC">
        <w:rPr>
          <w:rFonts w:ascii="Times New Roman" w:eastAsia="Times New Roman" w:hAnsi="Times New Roman" w:cs="Times New Roman"/>
          <w:sz w:val="24"/>
          <w:szCs w:val="24"/>
          <w:lang w:val="lt-LT"/>
        </w:rPr>
        <w:t>ka</w:t>
      </w:r>
      <w:r w:rsidR="00684211">
        <w:rPr>
          <w:rFonts w:ascii="Times New Roman" w:eastAsia="Times New Roman" w:hAnsi="Times New Roman" w:cs="Times New Roman"/>
          <w:sz w:val="24"/>
          <w:szCs w:val="24"/>
          <w:lang w:val="lt-LT"/>
        </w:rPr>
        <w:t>)</w:t>
      </w:r>
      <w:r w:rsidR="009C67DC" w:rsidRPr="009C67DC">
        <w:rPr>
          <w:rFonts w:ascii="Times New Roman" w:eastAsia="Times New Roman" w:hAnsi="Times New Roman" w:cs="Times New Roman"/>
          <w:sz w:val="24"/>
          <w:szCs w:val="24"/>
          <w:lang w:val="lt-LT"/>
        </w:rPr>
        <w:t xml:space="preserve"> </w:t>
      </w:r>
      <w:r w:rsidR="009C67DC">
        <w:rPr>
          <w:rFonts w:ascii="Times New Roman" w:eastAsia="Times New Roman" w:hAnsi="Times New Roman" w:cs="Times New Roman"/>
          <w:sz w:val="24"/>
          <w:szCs w:val="24"/>
          <w:lang w:val="lt-LT"/>
        </w:rPr>
        <w:t xml:space="preserve">nuožiūros laisvės </w:t>
      </w:r>
      <w:r w:rsidR="0071235F">
        <w:rPr>
          <w:rFonts w:ascii="Times New Roman" w:eastAsia="Times New Roman" w:hAnsi="Times New Roman" w:cs="Times New Roman"/>
          <w:sz w:val="24"/>
          <w:szCs w:val="24"/>
          <w:lang w:val="lt-LT"/>
        </w:rPr>
        <w:t>šioje srityje</w:t>
      </w:r>
      <w:r w:rsidR="00684211">
        <w:rPr>
          <w:rFonts w:ascii="Times New Roman" w:eastAsia="Times New Roman" w:hAnsi="Times New Roman" w:cs="Times New Roman"/>
          <w:sz w:val="24"/>
          <w:szCs w:val="24"/>
          <w:lang w:val="lt-LT"/>
        </w:rPr>
        <w:t>.</w:t>
      </w:r>
      <w:r w:rsidR="0071235F">
        <w:rPr>
          <w:rFonts w:ascii="Times New Roman" w:eastAsia="Times New Roman" w:hAnsi="Times New Roman" w:cs="Times New Roman"/>
          <w:sz w:val="24"/>
          <w:szCs w:val="24"/>
          <w:lang w:val="lt-LT"/>
        </w:rPr>
        <w:t xml:space="preserve"> </w:t>
      </w:r>
      <w:r w:rsidR="00631871">
        <w:rPr>
          <w:rFonts w:ascii="Times New Roman" w:eastAsia="Times New Roman" w:hAnsi="Times New Roman" w:cs="Times New Roman"/>
          <w:sz w:val="24"/>
          <w:szCs w:val="24"/>
          <w:lang w:val="lt-LT"/>
        </w:rPr>
        <w:t>Šiame kontekste</w:t>
      </w:r>
      <w:r w:rsidR="00B133E3">
        <w:rPr>
          <w:rFonts w:ascii="Times New Roman" w:eastAsia="Times New Roman" w:hAnsi="Times New Roman" w:cs="Times New Roman"/>
          <w:sz w:val="24"/>
          <w:szCs w:val="24"/>
          <w:lang w:val="lt-LT"/>
        </w:rPr>
        <w:t xml:space="preserve">, išplėstinės teisėjų kolegijos </w:t>
      </w:r>
      <w:r w:rsidR="00B133E3">
        <w:rPr>
          <w:rFonts w:ascii="Times New Roman" w:eastAsia="Times New Roman" w:hAnsi="Times New Roman" w:cs="Times New Roman"/>
          <w:sz w:val="24"/>
          <w:szCs w:val="24"/>
          <w:lang w:val="lt-LT"/>
        </w:rPr>
        <w:lastRenderedPageBreak/>
        <w:t>manymu,</w:t>
      </w:r>
      <w:r w:rsidR="00631871">
        <w:rPr>
          <w:rFonts w:ascii="Times New Roman" w:eastAsia="Times New Roman" w:hAnsi="Times New Roman" w:cs="Times New Roman"/>
          <w:sz w:val="24"/>
          <w:szCs w:val="24"/>
          <w:lang w:val="lt-LT"/>
        </w:rPr>
        <w:t xml:space="preserve"> ir turėtų būti vertinam</w:t>
      </w:r>
      <w:r w:rsidR="00B133E3">
        <w:rPr>
          <w:rFonts w:ascii="Times New Roman" w:eastAsia="Times New Roman" w:hAnsi="Times New Roman" w:cs="Times New Roman"/>
          <w:sz w:val="24"/>
          <w:szCs w:val="24"/>
          <w:lang w:val="lt-LT"/>
        </w:rPr>
        <w:t>a,</w:t>
      </w:r>
      <w:r w:rsidR="00DE4ECD" w:rsidRPr="00B133E3">
        <w:rPr>
          <w:rFonts w:ascii="Times New Roman" w:eastAsia="Times New Roman" w:hAnsi="Times New Roman" w:cs="Times New Roman"/>
          <w:sz w:val="24"/>
          <w:szCs w:val="24"/>
          <w:lang w:val="lt-LT"/>
        </w:rPr>
        <w:t xml:space="preserve"> ar Išaiškinimai laikytini </w:t>
      </w:r>
      <w:r w:rsidR="00BA4E59">
        <w:rPr>
          <w:rFonts w:ascii="Times New Roman" w:eastAsia="Times New Roman" w:hAnsi="Times New Roman" w:cs="Times New Roman"/>
          <w:sz w:val="24"/>
          <w:szCs w:val="24"/>
          <w:lang w:val="lt-LT"/>
        </w:rPr>
        <w:t xml:space="preserve">draudžiamu </w:t>
      </w:r>
      <w:r w:rsidR="00DE4ECD" w:rsidRPr="00B133E3">
        <w:rPr>
          <w:rFonts w:ascii="Times New Roman" w:eastAsia="Times New Roman" w:hAnsi="Times New Roman" w:cs="Times New Roman"/>
          <w:sz w:val="24"/>
          <w:szCs w:val="24"/>
          <w:lang w:val="lt-LT"/>
        </w:rPr>
        <w:t xml:space="preserve">susitarimu pagal tikslą </w:t>
      </w:r>
      <w:r w:rsidR="004635EE" w:rsidRPr="00B133E3">
        <w:rPr>
          <w:rFonts w:ascii="Times New Roman" w:eastAsia="Times New Roman" w:hAnsi="Times New Roman" w:cs="Times New Roman"/>
          <w:sz w:val="24"/>
          <w:szCs w:val="24"/>
          <w:lang w:val="lt-LT"/>
        </w:rPr>
        <w:t>SESV 101 straipsnio 1 dal</w:t>
      </w:r>
      <w:r w:rsidR="00DE4ECD" w:rsidRPr="00B133E3">
        <w:rPr>
          <w:rFonts w:ascii="Times New Roman" w:eastAsia="Times New Roman" w:hAnsi="Times New Roman" w:cs="Times New Roman"/>
          <w:sz w:val="24"/>
          <w:szCs w:val="24"/>
          <w:lang w:val="lt-LT"/>
        </w:rPr>
        <w:t>ies prasme</w:t>
      </w:r>
      <w:r w:rsidR="00B133E3">
        <w:rPr>
          <w:rFonts w:ascii="Times New Roman" w:eastAsia="Times New Roman" w:hAnsi="Times New Roman" w:cs="Times New Roman"/>
          <w:sz w:val="24"/>
          <w:szCs w:val="24"/>
          <w:lang w:val="lt-LT"/>
        </w:rPr>
        <w:t xml:space="preserve">. </w:t>
      </w:r>
    </w:p>
    <w:p w14:paraId="01AD5DDE" w14:textId="5F72CC6A" w:rsidR="0007058E" w:rsidRDefault="00BA4E59" w:rsidP="008118CB">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1F7655">
        <w:rPr>
          <w:rFonts w:ascii="Times New Roman" w:eastAsia="Times New Roman" w:hAnsi="Times New Roman" w:cs="Times New Roman"/>
          <w:sz w:val="24"/>
          <w:szCs w:val="24"/>
          <w:lang w:val="lt-LT"/>
        </w:rPr>
        <w:t>Aptartame kontekste pirmiausia atkreiptinas dėmesys į</w:t>
      </w:r>
      <w:r w:rsidR="008118CB">
        <w:rPr>
          <w:rFonts w:ascii="Times New Roman" w:eastAsia="Times New Roman" w:hAnsi="Times New Roman" w:cs="Times New Roman"/>
          <w:sz w:val="24"/>
          <w:szCs w:val="24"/>
          <w:lang w:val="lt-LT"/>
        </w:rPr>
        <w:t xml:space="preserve"> Išaiškinimų privalomumo aspekt</w:t>
      </w:r>
      <w:r w:rsidR="001F7655">
        <w:rPr>
          <w:rFonts w:ascii="Times New Roman" w:eastAsia="Times New Roman" w:hAnsi="Times New Roman" w:cs="Times New Roman"/>
          <w:sz w:val="24"/>
          <w:szCs w:val="24"/>
          <w:lang w:val="lt-LT"/>
        </w:rPr>
        <w:t>ą</w:t>
      </w:r>
      <w:r w:rsidR="001923DF">
        <w:rPr>
          <w:rFonts w:ascii="Times New Roman" w:eastAsia="Times New Roman" w:hAnsi="Times New Roman" w:cs="Times New Roman"/>
          <w:sz w:val="24"/>
          <w:szCs w:val="24"/>
          <w:lang w:val="lt-LT"/>
        </w:rPr>
        <w:t>, kuris</w:t>
      </w:r>
      <w:r w:rsidR="006A71BA">
        <w:rPr>
          <w:rFonts w:ascii="Times New Roman" w:eastAsia="Times New Roman" w:hAnsi="Times New Roman" w:cs="Times New Roman"/>
          <w:sz w:val="24"/>
          <w:szCs w:val="24"/>
          <w:lang w:val="lt-LT"/>
        </w:rPr>
        <w:t>, išplėstinės teisėjų kolegijos vertinimu,</w:t>
      </w:r>
      <w:r w:rsidR="001923DF">
        <w:rPr>
          <w:rFonts w:ascii="Times New Roman" w:eastAsia="Times New Roman" w:hAnsi="Times New Roman" w:cs="Times New Roman"/>
          <w:sz w:val="24"/>
          <w:szCs w:val="24"/>
          <w:lang w:val="lt-LT"/>
        </w:rPr>
        <w:t xml:space="preserve"> yra reikšmingas, atsižvelgiant į </w:t>
      </w:r>
      <w:r w:rsidR="005C59DA">
        <w:rPr>
          <w:rFonts w:ascii="Times New Roman" w:eastAsia="Times New Roman" w:hAnsi="Times New Roman" w:cs="Times New Roman"/>
          <w:sz w:val="24"/>
          <w:szCs w:val="24"/>
          <w:lang w:val="lt-LT"/>
        </w:rPr>
        <w:t xml:space="preserve">šiame procesiniame sprendime jau konstatuotą </w:t>
      </w:r>
      <w:r w:rsidR="00634D28">
        <w:rPr>
          <w:rFonts w:ascii="Times New Roman" w:eastAsia="Times New Roman" w:hAnsi="Times New Roman" w:cs="Times New Roman"/>
          <w:sz w:val="24"/>
          <w:szCs w:val="24"/>
          <w:lang w:val="lt-LT"/>
        </w:rPr>
        <w:t xml:space="preserve">aplinkybę, kad </w:t>
      </w:r>
      <w:r w:rsidR="005C59DA" w:rsidRPr="009C64EB">
        <w:rPr>
          <w:rFonts w:ascii="Times New Roman" w:eastAsia="Times New Roman" w:hAnsi="Times New Roman" w:cs="Times New Roman"/>
          <w:sz w:val="24"/>
          <w:szCs w:val="24"/>
          <w:lang w:val="lt-LT"/>
        </w:rPr>
        <w:t xml:space="preserve">notarų veikla, dėl kurios priimti minėti </w:t>
      </w:r>
      <w:r w:rsidR="005C59DA">
        <w:rPr>
          <w:rFonts w:ascii="Times New Roman" w:eastAsia="Times New Roman" w:hAnsi="Times New Roman" w:cs="Times New Roman"/>
          <w:sz w:val="24"/>
          <w:szCs w:val="24"/>
          <w:lang w:val="lt-LT"/>
        </w:rPr>
        <w:t>I</w:t>
      </w:r>
      <w:r w:rsidR="005C59DA" w:rsidRPr="009C64EB">
        <w:rPr>
          <w:rFonts w:ascii="Times New Roman" w:eastAsia="Times New Roman" w:hAnsi="Times New Roman" w:cs="Times New Roman"/>
          <w:sz w:val="24"/>
          <w:szCs w:val="24"/>
          <w:lang w:val="lt-LT"/>
        </w:rPr>
        <w:t xml:space="preserve">šaiškinimai, laikytina ekonomine veikla, o notarai, </w:t>
      </w:r>
      <w:r w:rsidR="005C59DA" w:rsidRPr="00BB60C6">
        <w:rPr>
          <w:rFonts w:ascii="Times New Roman" w:eastAsia="Times New Roman" w:hAnsi="Times New Roman" w:cs="Times New Roman"/>
          <w:sz w:val="24"/>
          <w:szCs w:val="24"/>
          <w:lang w:val="lt-LT"/>
        </w:rPr>
        <w:t>užsiimdami šia veikla,</w:t>
      </w:r>
      <w:r w:rsidR="005C59DA" w:rsidRPr="009C64EB">
        <w:rPr>
          <w:rFonts w:ascii="Times New Roman" w:eastAsia="Times New Roman" w:hAnsi="Times New Roman" w:cs="Times New Roman"/>
          <w:sz w:val="24"/>
          <w:szCs w:val="24"/>
          <w:lang w:val="lt-LT"/>
        </w:rPr>
        <w:t xml:space="preserve"> laikytini įmonėmis SESV 101 straipsnio 1</w:t>
      </w:r>
      <w:r w:rsidR="005C59DA">
        <w:rPr>
          <w:rFonts w:ascii="Times New Roman" w:eastAsia="Times New Roman" w:hAnsi="Times New Roman" w:cs="Times New Roman"/>
          <w:sz w:val="24"/>
          <w:szCs w:val="24"/>
          <w:lang w:val="lt-LT"/>
        </w:rPr>
        <w:t> </w:t>
      </w:r>
      <w:r w:rsidR="005C59DA" w:rsidRPr="009C64EB">
        <w:rPr>
          <w:rFonts w:ascii="Times New Roman" w:eastAsia="Times New Roman" w:hAnsi="Times New Roman" w:cs="Times New Roman"/>
          <w:sz w:val="24"/>
          <w:szCs w:val="24"/>
          <w:lang w:val="lt-LT"/>
        </w:rPr>
        <w:t>dalies prasme ir ūkio subjektais Konkurencijos įstatymo prasme</w:t>
      </w:r>
      <w:r w:rsidR="00990EBA">
        <w:rPr>
          <w:rFonts w:ascii="Times New Roman" w:eastAsia="Times New Roman" w:hAnsi="Times New Roman" w:cs="Times New Roman"/>
          <w:sz w:val="24"/>
          <w:szCs w:val="24"/>
          <w:lang w:val="lt-LT"/>
        </w:rPr>
        <w:t>.</w:t>
      </w:r>
      <w:r w:rsidR="008118CB">
        <w:rPr>
          <w:rFonts w:ascii="Times New Roman" w:eastAsia="Times New Roman" w:hAnsi="Times New Roman" w:cs="Times New Roman"/>
          <w:sz w:val="24"/>
          <w:szCs w:val="24"/>
          <w:lang w:val="lt-LT"/>
        </w:rPr>
        <w:t xml:space="preserve"> </w:t>
      </w:r>
    </w:p>
    <w:p w14:paraId="6525AEE0" w14:textId="34AFE117" w:rsidR="008118CB" w:rsidRPr="00A14785" w:rsidRDefault="0007058E" w:rsidP="008118CB">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Pirma, p</w:t>
      </w:r>
      <w:r w:rsidR="008118CB">
        <w:rPr>
          <w:rFonts w:ascii="Times New Roman" w:hAnsi="Times New Roman" w:cs="Times New Roman"/>
          <w:kern w:val="2"/>
          <w:sz w:val="24"/>
          <w:szCs w:val="24"/>
          <w:lang w:val="lt-LT"/>
          <w14:ligatures w14:val="standardContextual"/>
        </w:rPr>
        <w:t xml:space="preserve">agal Notariato įstatymo </w:t>
      </w:r>
      <w:r w:rsidR="008118CB" w:rsidRPr="00FD203B">
        <w:rPr>
          <w:rFonts w:ascii="Times New Roman" w:hAnsi="Times New Roman" w:cs="Times New Roman"/>
          <w:kern w:val="2"/>
          <w:sz w:val="24"/>
          <w:szCs w:val="24"/>
          <w:lang w:val="lt-LT"/>
          <w14:ligatures w14:val="standardContextual"/>
        </w:rPr>
        <w:t xml:space="preserve">13 straipsnį </w:t>
      </w:r>
      <w:r w:rsidR="008118CB">
        <w:rPr>
          <w:rFonts w:ascii="Times New Roman" w:hAnsi="Times New Roman" w:cs="Times New Roman"/>
          <w:kern w:val="2"/>
          <w:sz w:val="24"/>
          <w:szCs w:val="24"/>
          <w:lang w:val="lt-LT"/>
          <w14:ligatures w14:val="standardContextual"/>
        </w:rPr>
        <w:t>n</w:t>
      </w:r>
      <w:r w:rsidR="008118CB" w:rsidRPr="00F261CD">
        <w:rPr>
          <w:rFonts w:ascii="Times New Roman" w:hAnsi="Times New Roman" w:cs="Times New Roman"/>
          <w:kern w:val="2"/>
          <w:sz w:val="24"/>
          <w:szCs w:val="24"/>
          <w:lang w:val="lt-LT"/>
          <w14:ligatures w14:val="standardContextual"/>
        </w:rPr>
        <w:t>otarai savo veikloje vadovaujasi</w:t>
      </w:r>
      <w:r w:rsidR="008118CB">
        <w:rPr>
          <w:rFonts w:ascii="Times New Roman" w:hAnsi="Times New Roman" w:cs="Times New Roman"/>
          <w:kern w:val="2"/>
          <w:sz w:val="24"/>
          <w:szCs w:val="24"/>
          <w:lang w:val="lt-LT"/>
          <w14:ligatures w14:val="standardContextual"/>
        </w:rPr>
        <w:t xml:space="preserve"> &lt;...&gt;</w:t>
      </w:r>
      <w:r w:rsidR="008118CB" w:rsidRPr="00F261CD">
        <w:rPr>
          <w:rFonts w:ascii="Times New Roman" w:hAnsi="Times New Roman" w:cs="Times New Roman"/>
          <w:kern w:val="2"/>
          <w:sz w:val="24"/>
          <w:szCs w:val="24"/>
          <w:lang w:val="lt-LT"/>
          <w14:ligatures w14:val="standardContextual"/>
        </w:rPr>
        <w:t xml:space="preserve"> Notarų rūmų nutarimais bei kitais teisės aktais.</w:t>
      </w:r>
      <w:r w:rsidR="008118CB">
        <w:rPr>
          <w:rFonts w:ascii="Times New Roman" w:hAnsi="Times New Roman" w:cs="Times New Roman"/>
          <w:kern w:val="2"/>
          <w:sz w:val="24"/>
          <w:szCs w:val="24"/>
          <w:lang w:val="lt-LT"/>
          <w14:ligatures w14:val="standardContextual"/>
        </w:rPr>
        <w:t xml:space="preserve"> </w:t>
      </w:r>
      <w:r w:rsidR="008118CB" w:rsidRPr="00FD203B">
        <w:rPr>
          <w:rFonts w:ascii="Times New Roman" w:hAnsi="Times New Roman" w:cs="Times New Roman"/>
          <w:kern w:val="2"/>
          <w:sz w:val="24"/>
          <w:szCs w:val="24"/>
          <w:lang w:val="lt-LT"/>
          <w14:ligatures w14:val="standardContextual"/>
        </w:rPr>
        <w:t>Notarų rūmų statuto 10 straipsnio 4 punkt</w:t>
      </w:r>
      <w:r w:rsidR="008118CB">
        <w:rPr>
          <w:rFonts w:ascii="Times New Roman" w:hAnsi="Times New Roman" w:cs="Times New Roman"/>
          <w:kern w:val="2"/>
          <w:sz w:val="24"/>
          <w:szCs w:val="24"/>
          <w:lang w:val="lt-LT"/>
          <w14:ligatures w14:val="standardContextual"/>
        </w:rPr>
        <w:t>as k</w:t>
      </w:r>
      <w:r w:rsidR="008118CB" w:rsidRPr="00227608">
        <w:rPr>
          <w:rFonts w:ascii="Times New Roman" w:hAnsi="Times New Roman" w:cs="Times New Roman"/>
          <w:kern w:val="2"/>
          <w:sz w:val="24"/>
          <w:szCs w:val="24"/>
          <w:lang w:val="lt-LT"/>
          <w14:ligatures w14:val="standardContextual"/>
        </w:rPr>
        <w:t>iekviena</w:t>
      </w:r>
      <w:r w:rsidR="008118CB">
        <w:rPr>
          <w:rFonts w:ascii="Times New Roman" w:hAnsi="Times New Roman" w:cs="Times New Roman"/>
          <w:kern w:val="2"/>
          <w:sz w:val="24"/>
          <w:szCs w:val="24"/>
          <w:lang w:val="lt-LT"/>
          <w14:ligatures w14:val="standardContextual"/>
        </w:rPr>
        <w:t>m</w:t>
      </w:r>
      <w:r w:rsidR="008118CB" w:rsidRPr="00227608">
        <w:rPr>
          <w:rFonts w:ascii="Times New Roman" w:hAnsi="Times New Roman" w:cs="Times New Roman"/>
          <w:kern w:val="2"/>
          <w:sz w:val="24"/>
          <w:szCs w:val="24"/>
          <w:lang w:val="lt-LT"/>
          <w14:ligatures w14:val="standardContextual"/>
        </w:rPr>
        <w:t xml:space="preserve"> Notarų rūmų nar</w:t>
      </w:r>
      <w:r w:rsidR="008118CB">
        <w:rPr>
          <w:rFonts w:ascii="Times New Roman" w:hAnsi="Times New Roman" w:cs="Times New Roman"/>
          <w:kern w:val="2"/>
          <w:sz w:val="24"/>
          <w:szCs w:val="24"/>
          <w:lang w:val="lt-LT"/>
          <w14:ligatures w14:val="standardContextual"/>
        </w:rPr>
        <w:t xml:space="preserve">iui (taigi, visiems Lietuvoje veikiantiems notarams) įtvirtina pareigą </w:t>
      </w:r>
      <w:r w:rsidR="008118CB" w:rsidRPr="004F4C1F">
        <w:rPr>
          <w:rFonts w:ascii="Times New Roman" w:hAnsi="Times New Roman" w:cs="Times New Roman"/>
          <w:kern w:val="2"/>
          <w:sz w:val="24"/>
          <w:szCs w:val="24"/>
          <w:lang w:val="lt-LT"/>
          <w14:ligatures w14:val="standardContextual"/>
        </w:rPr>
        <w:t>vykdyti Notarų rūmų susirinkimo nutarimus, Notarų rūmų prezidiumo nutarimus, Notarų rūmų prezidento sprendimus ir pavedimus dėl savivaldos uždavinių ir funkcijų atlikimo</w:t>
      </w:r>
      <w:r w:rsidR="008118CB">
        <w:rPr>
          <w:rFonts w:ascii="Times New Roman" w:hAnsi="Times New Roman" w:cs="Times New Roman"/>
          <w:kern w:val="2"/>
          <w:sz w:val="24"/>
          <w:szCs w:val="24"/>
          <w:lang w:val="lt-LT"/>
          <w14:ligatures w14:val="standardContextual"/>
        </w:rPr>
        <w:t xml:space="preserve">. Šiame kontekste pabrėžtina, kad Išaiškinimai buvo patvirtinti Notarų rūmų prezidiumo nutarimais. </w:t>
      </w:r>
    </w:p>
    <w:p w14:paraId="71B2B78A" w14:textId="16C7D28C" w:rsidR="008118CB" w:rsidRPr="001F5339" w:rsidRDefault="008118CB" w:rsidP="008118CB">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hAnsi="Times New Roman" w:cs="Times New Roman"/>
          <w:kern w:val="2"/>
          <w:sz w:val="24"/>
          <w:szCs w:val="24"/>
          <w:lang w:val="lt-LT"/>
          <w14:ligatures w14:val="standardContextual"/>
        </w:rPr>
        <w:t xml:space="preserve"> Antra, atkreiptinas dėmesys, kad 2012 m. birželio 7 d. Prezidiumo patvirtintas dokumentas vadinosi rekomendacijomis, o vėlesniais Prezidiumo nutarimais dokumentas jau buvo pavadintas taisyklėmis (Nutarimo 58 p</w:t>
      </w:r>
      <w:r w:rsidR="003022C9">
        <w:rPr>
          <w:rFonts w:ascii="Times New Roman" w:hAnsi="Times New Roman" w:cs="Times New Roman"/>
          <w:kern w:val="2"/>
          <w:sz w:val="24"/>
          <w:szCs w:val="24"/>
          <w:lang w:val="lt-LT"/>
          <w14:ligatures w14:val="standardContextual"/>
        </w:rPr>
        <w:t>.</w:t>
      </w:r>
      <w:r>
        <w:rPr>
          <w:rFonts w:ascii="Times New Roman" w:hAnsi="Times New Roman" w:cs="Times New Roman"/>
          <w:kern w:val="2"/>
          <w:sz w:val="24"/>
          <w:szCs w:val="24"/>
          <w:lang w:val="lt-LT"/>
          <w14:ligatures w14:val="standardContextual"/>
        </w:rPr>
        <w:t>). Išaiškinimuose vartojamos formuluotės „imamas &lt;...&gt; maksimalaus dydžio notaro atlyginimas“ (Nutarimo 59 p</w:t>
      </w:r>
      <w:r w:rsidR="003022C9">
        <w:rPr>
          <w:rFonts w:ascii="Times New Roman" w:hAnsi="Times New Roman" w:cs="Times New Roman"/>
          <w:kern w:val="2"/>
          <w:sz w:val="24"/>
          <w:szCs w:val="24"/>
          <w:lang w:val="lt-LT"/>
          <w14:ligatures w14:val="standardContextual"/>
        </w:rPr>
        <w:t>.</w:t>
      </w:r>
      <w:r>
        <w:rPr>
          <w:rFonts w:ascii="Times New Roman" w:hAnsi="Times New Roman" w:cs="Times New Roman"/>
          <w:kern w:val="2"/>
          <w:sz w:val="24"/>
          <w:szCs w:val="24"/>
          <w:lang w:val="lt-LT"/>
          <w14:ligatures w14:val="standardContextual"/>
        </w:rPr>
        <w:t>), „atlyginimo dydis skaičiuojamas“, „imamas maksimalus notaro atlyginimas“ (Nutarimo 67 p</w:t>
      </w:r>
      <w:r w:rsidR="003022C9">
        <w:rPr>
          <w:rFonts w:ascii="Times New Roman" w:hAnsi="Times New Roman" w:cs="Times New Roman"/>
          <w:kern w:val="2"/>
          <w:sz w:val="24"/>
          <w:szCs w:val="24"/>
          <w:lang w:val="lt-LT"/>
          <w14:ligatures w14:val="standardContextual"/>
        </w:rPr>
        <w:t>.</w:t>
      </w:r>
      <w:r>
        <w:rPr>
          <w:rFonts w:ascii="Times New Roman" w:hAnsi="Times New Roman" w:cs="Times New Roman"/>
          <w:kern w:val="2"/>
          <w:sz w:val="24"/>
          <w:szCs w:val="24"/>
          <w:lang w:val="lt-LT"/>
          <w14:ligatures w14:val="standardContextual"/>
        </w:rPr>
        <w:t>). Notarų rūmų bendrojoje komunikacijoje su Notarų rūmų nariais ar individualiose konsultacijose vartojamos formuluotės „taisyklių papildymas 15</w:t>
      </w:r>
      <w:r w:rsidRPr="00D505FB">
        <w:rPr>
          <w:rFonts w:ascii="Times New Roman" w:hAnsi="Times New Roman" w:cs="Times New Roman"/>
          <w:kern w:val="2"/>
          <w:sz w:val="24"/>
          <w:szCs w:val="24"/>
          <w:vertAlign w:val="superscript"/>
          <w:lang w:val="lt-LT"/>
          <w14:ligatures w14:val="standardContextual"/>
        </w:rPr>
        <w:t>12</w:t>
      </w:r>
      <w:r>
        <w:rPr>
          <w:rFonts w:ascii="Times New Roman" w:hAnsi="Times New Roman" w:cs="Times New Roman"/>
          <w:kern w:val="2"/>
          <w:sz w:val="24"/>
          <w:szCs w:val="24"/>
          <w:lang w:val="lt-LT"/>
          <w14:ligatures w14:val="standardContextual"/>
        </w:rPr>
        <w:t xml:space="preserve"> punktu galioja ir turi būti taikomas“ (Nutarimo 69 p</w:t>
      </w:r>
      <w:r w:rsidR="003022C9">
        <w:rPr>
          <w:rFonts w:ascii="Times New Roman" w:hAnsi="Times New Roman" w:cs="Times New Roman"/>
          <w:kern w:val="2"/>
          <w:sz w:val="24"/>
          <w:szCs w:val="24"/>
          <w:lang w:val="lt-LT"/>
          <w14:ligatures w14:val="standardContextual"/>
        </w:rPr>
        <w:t>.</w:t>
      </w:r>
      <w:r>
        <w:rPr>
          <w:rFonts w:ascii="Times New Roman" w:hAnsi="Times New Roman" w:cs="Times New Roman"/>
          <w:kern w:val="2"/>
          <w:sz w:val="24"/>
          <w:szCs w:val="24"/>
          <w:lang w:val="lt-LT"/>
          <w14:ligatures w14:val="standardContextual"/>
        </w:rPr>
        <w:t>), „Lietuvos notarų rūmų patvirtintoje konsultacijoje nurodyta, kad &lt;...&gt; notaro atlyginimas skaičiuojamas“ „&lt;...&gt; tai būtent 90 Eur dydžio atlyginimas ir turėtų būti imamas už Jūsų minimos bendros vertės dviejų daiktų hipotekos patvirtinimą“ (Nutarimo 71 p</w:t>
      </w:r>
      <w:r w:rsidR="003022C9">
        <w:rPr>
          <w:rFonts w:ascii="Times New Roman" w:hAnsi="Times New Roman" w:cs="Times New Roman"/>
          <w:kern w:val="2"/>
          <w:sz w:val="24"/>
          <w:szCs w:val="24"/>
          <w:lang w:val="lt-LT"/>
          <w14:ligatures w14:val="standardContextual"/>
        </w:rPr>
        <w:t>.</w:t>
      </w:r>
      <w:r>
        <w:rPr>
          <w:rFonts w:ascii="Times New Roman" w:hAnsi="Times New Roman" w:cs="Times New Roman"/>
          <w:kern w:val="2"/>
          <w:sz w:val="24"/>
          <w:szCs w:val="24"/>
          <w:lang w:val="lt-LT"/>
          <w14:ligatures w14:val="standardContextual"/>
        </w:rPr>
        <w:t xml:space="preserve">) ir pan. </w:t>
      </w:r>
      <w:r w:rsidRPr="00E456B5">
        <w:rPr>
          <w:rFonts w:ascii="Times New Roman" w:hAnsi="Times New Roman" w:cs="Times New Roman"/>
          <w:kern w:val="2"/>
          <w:sz w:val="24"/>
          <w:szCs w:val="24"/>
          <w:lang w:val="lt-LT"/>
          <w14:ligatures w14:val="standardContextual"/>
        </w:rPr>
        <w:t xml:space="preserve">Toks įpareigojančio pobūdžio nuostatų ir terminų vartojimas, taip pat dokumentų </w:t>
      </w:r>
      <w:r>
        <w:rPr>
          <w:rFonts w:ascii="Times New Roman" w:hAnsi="Times New Roman" w:cs="Times New Roman"/>
          <w:kern w:val="2"/>
          <w:sz w:val="24"/>
          <w:szCs w:val="24"/>
          <w:lang w:val="lt-LT"/>
          <w14:ligatures w14:val="standardContextual"/>
        </w:rPr>
        <w:t xml:space="preserve">pavadinimų </w:t>
      </w:r>
      <w:r w:rsidRPr="00E456B5">
        <w:rPr>
          <w:rFonts w:ascii="Times New Roman" w:hAnsi="Times New Roman" w:cs="Times New Roman"/>
          <w:kern w:val="2"/>
          <w:sz w:val="24"/>
          <w:szCs w:val="24"/>
          <w:lang w:val="lt-LT"/>
          <w14:ligatures w14:val="standardContextual"/>
        </w:rPr>
        <w:t xml:space="preserve">formuluočių pakeitimai, </w:t>
      </w:r>
      <w:r>
        <w:rPr>
          <w:rFonts w:ascii="Times New Roman" w:hAnsi="Times New Roman" w:cs="Times New Roman"/>
          <w:kern w:val="2"/>
          <w:sz w:val="24"/>
          <w:szCs w:val="24"/>
          <w:lang w:val="lt-LT"/>
          <w14:ligatures w14:val="standardContextual"/>
        </w:rPr>
        <w:t xml:space="preserve">išplėstinės teisėjų kolegijos vertinimu, </w:t>
      </w:r>
      <w:r w:rsidRPr="00E456B5">
        <w:rPr>
          <w:rFonts w:ascii="Times New Roman" w:hAnsi="Times New Roman" w:cs="Times New Roman"/>
          <w:kern w:val="2"/>
          <w:sz w:val="24"/>
          <w:szCs w:val="24"/>
          <w:lang w:val="lt-LT"/>
          <w14:ligatures w14:val="standardContextual"/>
        </w:rPr>
        <w:t>leidžia daryti išvadą, jog notarai, vykdydami profesinę veiklą, turėjo pagrindą Išaiškinimus laikyti privalomomis taisyklėmis</w:t>
      </w:r>
      <w:r>
        <w:rPr>
          <w:rFonts w:ascii="Times New Roman" w:hAnsi="Times New Roman" w:cs="Times New Roman"/>
          <w:kern w:val="2"/>
          <w:sz w:val="24"/>
          <w:szCs w:val="24"/>
          <w:lang w:val="lt-LT"/>
          <w14:ligatures w14:val="standardContextual"/>
        </w:rPr>
        <w:t xml:space="preserve">.    </w:t>
      </w:r>
    </w:p>
    <w:p w14:paraId="57DCC00C" w14:textId="3DC991B1" w:rsidR="005607E6" w:rsidRDefault="008118CB" w:rsidP="008118CB">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hAnsi="Times New Roman" w:cs="Times New Roman"/>
          <w:kern w:val="2"/>
          <w:sz w:val="24"/>
          <w:szCs w:val="24"/>
          <w:lang w:val="lt-LT"/>
          <w14:ligatures w14:val="standardContextual"/>
        </w:rPr>
        <w:t xml:space="preserve"> Atsižvelgdama į tai, kas išdėstyta, išplėstinė teisėjų kolegija neturi pagrindo abejoti, kad byloje nagrinėjami Išaiškinimai, patvirtinti Notarų rūmų prezidiumo nutarimais, yra </w:t>
      </w:r>
      <w:r w:rsidRPr="00FD203B">
        <w:rPr>
          <w:rFonts w:ascii="Times New Roman" w:hAnsi="Times New Roman" w:cs="Times New Roman"/>
          <w:kern w:val="2"/>
          <w:sz w:val="24"/>
          <w:szCs w:val="24"/>
          <w:lang w:val="lt-LT"/>
          <w14:ligatures w14:val="standardContextual"/>
        </w:rPr>
        <w:t xml:space="preserve">taikomi visoje Lietuvos Respublikos teritorijoje </w:t>
      </w:r>
      <w:r>
        <w:rPr>
          <w:rFonts w:ascii="Times New Roman" w:hAnsi="Times New Roman" w:cs="Times New Roman"/>
          <w:kern w:val="2"/>
          <w:sz w:val="24"/>
          <w:szCs w:val="24"/>
          <w:lang w:val="lt-LT"/>
          <w14:ligatures w14:val="standardContextual"/>
        </w:rPr>
        <w:t xml:space="preserve">ir </w:t>
      </w:r>
      <w:r w:rsidRPr="00FD203B">
        <w:rPr>
          <w:rFonts w:ascii="Times New Roman" w:hAnsi="Times New Roman" w:cs="Times New Roman"/>
          <w:kern w:val="2"/>
          <w:sz w:val="24"/>
          <w:szCs w:val="24"/>
          <w:lang w:val="lt-LT"/>
          <w14:ligatures w14:val="standardContextual"/>
        </w:rPr>
        <w:t xml:space="preserve">privalomi visiems </w:t>
      </w:r>
      <w:r>
        <w:rPr>
          <w:rFonts w:ascii="Times New Roman" w:hAnsi="Times New Roman" w:cs="Times New Roman"/>
          <w:kern w:val="2"/>
          <w:sz w:val="24"/>
          <w:szCs w:val="24"/>
          <w:lang w:val="lt-LT"/>
          <w14:ligatures w14:val="standardContextual"/>
        </w:rPr>
        <w:t>Lietuvoje</w:t>
      </w:r>
      <w:r w:rsidRPr="00FD203B">
        <w:rPr>
          <w:rFonts w:ascii="Times New Roman" w:hAnsi="Times New Roman" w:cs="Times New Roman"/>
          <w:kern w:val="2"/>
          <w:sz w:val="24"/>
          <w:szCs w:val="24"/>
          <w:lang w:val="lt-LT"/>
          <w14:ligatures w14:val="standardContextual"/>
        </w:rPr>
        <w:t xml:space="preserve"> įsteigusiems notarams</w:t>
      </w:r>
      <w:r w:rsidR="00DD77FB">
        <w:rPr>
          <w:rFonts w:ascii="Times New Roman" w:hAnsi="Times New Roman" w:cs="Times New Roman"/>
          <w:kern w:val="2"/>
          <w:sz w:val="24"/>
          <w:szCs w:val="24"/>
          <w:lang w:val="lt-LT"/>
          <w14:ligatures w14:val="standardContextual"/>
        </w:rPr>
        <w:t>, k</w:t>
      </w:r>
      <w:r w:rsidR="00420CD9">
        <w:rPr>
          <w:rFonts w:ascii="Times New Roman" w:hAnsi="Times New Roman" w:cs="Times New Roman"/>
          <w:kern w:val="2"/>
          <w:sz w:val="24"/>
          <w:szCs w:val="24"/>
          <w:lang w:val="lt-LT"/>
          <w14:ligatures w14:val="standardContextual"/>
        </w:rPr>
        <w:t xml:space="preserve">urie </w:t>
      </w:r>
      <w:r w:rsidR="005C515D">
        <w:rPr>
          <w:rFonts w:ascii="Times New Roman" w:hAnsi="Times New Roman" w:cs="Times New Roman"/>
          <w:kern w:val="2"/>
          <w:sz w:val="24"/>
          <w:szCs w:val="24"/>
          <w:lang w:val="lt-LT"/>
          <w14:ligatures w14:val="standardContextual"/>
        </w:rPr>
        <w:t>nagrinėjamos bylos kontekste</w:t>
      </w:r>
      <w:r w:rsidR="00420CD9">
        <w:rPr>
          <w:rFonts w:ascii="Times New Roman" w:hAnsi="Times New Roman" w:cs="Times New Roman"/>
          <w:kern w:val="2"/>
          <w:sz w:val="24"/>
          <w:szCs w:val="24"/>
          <w:lang w:val="lt-LT"/>
          <w14:ligatures w14:val="standardContextual"/>
        </w:rPr>
        <w:t xml:space="preserve"> laikytini „įmonėmis“</w:t>
      </w:r>
      <w:r w:rsidR="00DD77FB">
        <w:rPr>
          <w:rFonts w:ascii="Times New Roman" w:hAnsi="Times New Roman" w:cs="Times New Roman"/>
          <w:kern w:val="2"/>
          <w:sz w:val="24"/>
          <w:szCs w:val="24"/>
          <w:lang w:val="lt-LT"/>
          <w14:ligatures w14:val="standardContextual"/>
        </w:rPr>
        <w:t xml:space="preserve"> SESV 101 straipsnio 1 dalies prasme</w:t>
      </w:r>
      <w:r>
        <w:rPr>
          <w:rFonts w:ascii="Times New Roman" w:hAnsi="Times New Roman" w:cs="Times New Roman"/>
          <w:kern w:val="2"/>
          <w:sz w:val="24"/>
          <w:szCs w:val="24"/>
          <w:lang w:val="lt-LT"/>
          <w14:ligatures w14:val="standardContextual"/>
        </w:rPr>
        <w:t>.</w:t>
      </w:r>
    </w:p>
    <w:p w14:paraId="579BC1C9" w14:textId="6817C673" w:rsidR="00323948" w:rsidRPr="00323948" w:rsidRDefault="00323948" w:rsidP="00410EAC">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323948">
        <w:rPr>
          <w:rFonts w:ascii="Times New Roman" w:eastAsia="Times New Roman" w:hAnsi="Times New Roman" w:cs="Times New Roman"/>
          <w:sz w:val="24"/>
          <w:szCs w:val="24"/>
          <w:lang w:val="lt-LT"/>
        </w:rPr>
        <w:t xml:space="preserve"> </w:t>
      </w:r>
      <w:r w:rsidR="0021508D">
        <w:rPr>
          <w:rFonts w:ascii="Times New Roman" w:eastAsia="Times New Roman" w:hAnsi="Times New Roman" w:cs="Times New Roman"/>
          <w:sz w:val="24"/>
          <w:szCs w:val="24"/>
          <w:lang w:val="lt-LT"/>
        </w:rPr>
        <w:t>Vertindama</w:t>
      </w:r>
      <w:r w:rsidR="00B569A0">
        <w:rPr>
          <w:rFonts w:ascii="Times New Roman" w:eastAsia="Times New Roman" w:hAnsi="Times New Roman" w:cs="Times New Roman"/>
          <w:sz w:val="24"/>
          <w:szCs w:val="24"/>
          <w:lang w:val="lt-LT"/>
        </w:rPr>
        <w:t xml:space="preserve"> </w:t>
      </w:r>
      <w:r w:rsidR="0021508D">
        <w:rPr>
          <w:rFonts w:ascii="Times New Roman" w:eastAsia="Times New Roman" w:hAnsi="Times New Roman" w:cs="Times New Roman"/>
          <w:sz w:val="24"/>
          <w:szCs w:val="24"/>
          <w:lang w:val="lt-LT"/>
        </w:rPr>
        <w:t>Išaiškinimuose nustatytą reglamentavimą</w:t>
      </w:r>
      <w:r w:rsidR="00D24B8E">
        <w:rPr>
          <w:rFonts w:ascii="Times New Roman" w:eastAsia="Times New Roman" w:hAnsi="Times New Roman" w:cs="Times New Roman"/>
          <w:sz w:val="24"/>
          <w:szCs w:val="24"/>
          <w:lang w:val="lt-LT"/>
        </w:rPr>
        <w:t xml:space="preserve">, </w:t>
      </w:r>
      <w:r w:rsidR="0021508D">
        <w:rPr>
          <w:rFonts w:ascii="Times New Roman" w:eastAsia="Times New Roman" w:hAnsi="Times New Roman" w:cs="Times New Roman"/>
          <w:sz w:val="24"/>
          <w:szCs w:val="24"/>
          <w:lang w:val="lt-LT"/>
        </w:rPr>
        <w:t xml:space="preserve">išplėstinė </w:t>
      </w:r>
      <w:r w:rsidR="00EA17C1">
        <w:rPr>
          <w:rFonts w:ascii="Times New Roman" w:eastAsia="Times New Roman" w:hAnsi="Times New Roman" w:cs="Times New Roman"/>
          <w:sz w:val="24"/>
          <w:szCs w:val="24"/>
          <w:lang w:val="lt-LT"/>
        </w:rPr>
        <w:t xml:space="preserve">teisėjų kolegija </w:t>
      </w:r>
      <w:r w:rsidR="008A7D2E">
        <w:rPr>
          <w:rFonts w:ascii="Times New Roman" w:eastAsia="Times New Roman" w:hAnsi="Times New Roman" w:cs="Times New Roman"/>
          <w:sz w:val="24"/>
          <w:szCs w:val="24"/>
          <w:lang w:val="lt-LT"/>
        </w:rPr>
        <w:t>taip pat</w:t>
      </w:r>
      <w:r w:rsidR="00BB3084">
        <w:rPr>
          <w:rFonts w:ascii="Times New Roman" w:eastAsia="Times New Roman" w:hAnsi="Times New Roman" w:cs="Times New Roman"/>
          <w:sz w:val="24"/>
          <w:szCs w:val="24"/>
          <w:lang w:val="lt-LT"/>
        </w:rPr>
        <w:t xml:space="preserve"> </w:t>
      </w:r>
      <w:r w:rsidRPr="00323948">
        <w:rPr>
          <w:rFonts w:ascii="Times New Roman" w:eastAsia="Times New Roman" w:hAnsi="Times New Roman" w:cs="Times New Roman"/>
          <w:sz w:val="24"/>
          <w:szCs w:val="24"/>
          <w:lang w:val="lt-LT"/>
        </w:rPr>
        <w:t xml:space="preserve">atkreipia dėmesį į Laikinuosiuose dydžiuose nustatytą notarinių paslaugų atlyginimo sistemą (kiek ji susijusi su Išaiškinimais), t. y., kad ši sistema paremta atlyginimo dydžių intervalo principu ir dėl šios priežasties suteikia tam tikrą lankstumą individualiai notarinių paslaugų kainodarai. Tai suponuoja išvadą, kad notarams, nors ir ribotai, suteikiama tam tikra </w:t>
      </w:r>
      <w:proofErr w:type="spellStart"/>
      <w:r w:rsidRPr="00323948">
        <w:rPr>
          <w:rFonts w:ascii="Times New Roman" w:eastAsia="Times New Roman" w:hAnsi="Times New Roman" w:cs="Times New Roman"/>
          <w:sz w:val="24"/>
          <w:szCs w:val="24"/>
          <w:lang w:val="lt-LT"/>
        </w:rPr>
        <w:t>diskrecija</w:t>
      </w:r>
      <w:proofErr w:type="spellEnd"/>
      <w:r w:rsidRPr="00323948">
        <w:rPr>
          <w:rFonts w:ascii="Times New Roman" w:eastAsia="Times New Roman" w:hAnsi="Times New Roman" w:cs="Times New Roman"/>
          <w:sz w:val="24"/>
          <w:szCs w:val="24"/>
          <w:lang w:val="lt-LT"/>
        </w:rPr>
        <w:t xml:space="preserve"> savarankiškai nustatyti bei taikyti atitinkamų paslaugų atlyginimų dydžius. Išplėstinės teisėjų kolegijos vertinimu, toks lankstumas</w:t>
      </w:r>
      <w:r>
        <w:rPr>
          <w:rFonts w:ascii="Times New Roman" w:eastAsia="Times New Roman" w:hAnsi="Times New Roman" w:cs="Times New Roman"/>
          <w:sz w:val="24"/>
          <w:szCs w:val="24"/>
          <w:lang w:val="lt-LT"/>
        </w:rPr>
        <w:t>,</w:t>
      </w:r>
      <w:r w:rsidRPr="00323948">
        <w:rPr>
          <w:rFonts w:ascii="Times New Roman" w:eastAsia="Times New Roman" w:hAnsi="Times New Roman" w:cs="Times New Roman"/>
          <w:sz w:val="24"/>
          <w:szCs w:val="24"/>
          <w:lang w:val="lt-LT"/>
        </w:rPr>
        <w:t xml:space="preserve"> be kita ko</w:t>
      </w:r>
      <w:r>
        <w:rPr>
          <w:rFonts w:ascii="Times New Roman" w:eastAsia="Times New Roman" w:hAnsi="Times New Roman" w:cs="Times New Roman"/>
          <w:sz w:val="24"/>
          <w:szCs w:val="24"/>
          <w:lang w:val="lt-LT"/>
        </w:rPr>
        <w:t>,</w:t>
      </w:r>
      <w:r w:rsidRPr="00323948">
        <w:rPr>
          <w:rFonts w:ascii="Times New Roman" w:eastAsia="Times New Roman" w:hAnsi="Times New Roman" w:cs="Times New Roman"/>
          <w:sz w:val="24"/>
          <w:szCs w:val="24"/>
          <w:lang w:val="lt-LT"/>
        </w:rPr>
        <w:t xml:space="preserve"> </w:t>
      </w:r>
      <w:r w:rsidR="00642904">
        <w:rPr>
          <w:rFonts w:ascii="Times New Roman" w:eastAsia="Times New Roman" w:hAnsi="Times New Roman" w:cs="Times New Roman"/>
          <w:sz w:val="24"/>
          <w:szCs w:val="24"/>
          <w:lang w:val="lt-LT"/>
        </w:rPr>
        <w:t xml:space="preserve">sudaro prielaidas notarams individualiose situacijose </w:t>
      </w:r>
      <w:r>
        <w:rPr>
          <w:rFonts w:ascii="Times New Roman" w:eastAsia="Times New Roman" w:hAnsi="Times New Roman" w:cs="Times New Roman"/>
          <w:sz w:val="24"/>
          <w:szCs w:val="24"/>
          <w:lang w:val="lt-LT"/>
        </w:rPr>
        <w:t>tinkamai atsižvelgti į Notariato 19</w:t>
      </w:r>
      <w:r w:rsidRPr="00442B23">
        <w:rPr>
          <w:rFonts w:ascii="Times New Roman" w:eastAsia="Times New Roman" w:hAnsi="Times New Roman" w:cs="Times New Roman"/>
          <w:sz w:val="24"/>
          <w:szCs w:val="24"/>
          <w:vertAlign w:val="superscript"/>
          <w:lang w:val="lt-LT"/>
        </w:rPr>
        <w:t>1</w:t>
      </w:r>
      <w:r>
        <w:rPr>
          <w:rFonts w:ascii="Times New Roman" w:eastAsia="Times New Roman" w:hAnsi="Times New Roman" w:cs="Times New Roman"/>
          <w:sz w:val="24"/>
          <w:szCs w:val="24"/>
          <w:lang w:val="lt-LT"/>
        </w:rPr>
        <w:t xml:space="preserve"> straipsnyje įstatymų leidėjo nustatytą įpareigojimą n</w:t>
      </w:r>
      <w:r w:rsidRPr="001744AA">
        <w:rPr>
          <w:rFonts w:ascii="Times New Roman" w:eastAsia="Times New Roman" w:hAnsi="Times New Roman" w:cs="Times New Roman"/>
          <w:sz w:val="24"/>
          <w:szCs w:val="24"/>
          <w:lang w:val="lt-LT"/>
        </w:rPr>
        <w:t>otarų atlyginimo už notarinių veiksmų atlikimą, sandorių projektų parengimą, konsultacijas ir technines paslaugas dydži</w:t>
      </w:r>
      <w:r>
        <w:rPr>
          <w:rFonts w:ascii="Times New Roman" w:eastAsia="Times New Roman" w:hAnsi="Times New Roman" w:cs="Times New Roman"/>
          <w:sz w:val="24"/>
          <w:szCs w:val="24"/>
          <w:lang w:val="lt-LT"/>
        </w:rPr>
        <w:t>us</w:t>
      </w:r>
      <w:r w:rsidRPr="001744AA">
        <w:rPr>
          <w:rFonts w:ascii="Times New Roman" w:eastAsia="Times New Roman" w:hAnsi="Times New Roman" w:cs="Times New Roman"/>
          <w:sz w:val="24"/>
          <w:szCs w:val="24"/>
          <w:lang w:val="lt-LT"/>
        </w:rPr>
        <w:t xml:space="preserve"> (įkaini</w:t>
      </w:r>
      <w:r>
        <w:rPr>
          <w:rFonts w:ascii="Times New Roman" w:eastAsia="Times New Roman" w:hAnsi="Times New Roman" w:cs="Times New Roman"/>
          <w:sz w:val="24"/>
          <w:szCs w:val="24"/>
          <w:lang w:val="lt-LT"/>
        </w:rPr>
        <w:t>us</w:t>
      </w:r>
      <w:r w:rsidRPr="001744AA">
        <w:rPr>
          <w:rFonts w:ascii="Times New Roman" w:eastAsia="Times New Roman" w:hAnsi="Times New Roman" w:cs="Times New Roman"/>
          <w:sz w:val="24"/>
          <w:szCs w:val="24"/>
          <w:lang w:val="lt-LT"/>
        </w:rPr>
        <w:t>) nustat</w:t>
      </w:r>
      <w:r>
        <w:rPr>
          <w:rFonts w:ascii="Times New Roman" w:eastAsia="Times New Roman" w:hAnsi="Times New Roman" w:cs="Times New Roman"/>
          <w:sz w:val="24"/>
          <w:szCs w:val="24"/>
          <w:lang w:val="lt-LT"/>
        </w:rPr>
        <w:t>yti</w:t>
      </w:r>
      <w:r w:rsidRPr="001744AA">
        <w:rPr>
          <w:rFonts w:ascii="Times New Roman" w:eastAsia="Times New Roman" w:hAnsi="Times New Roman" w:cs="Times New Roman"/>
          <w:sz w:val="24"/>
          <w:szCs w:val="24"/>
          <w:lang w:val="lt-LT"/>
        </w:rPr>
        <w:t xml:space="preserve"> atsižvelgiant į </w:t>
      </w:r>
      <w:r>
        <w:rPr>
          <w:rFonts w:ascii="Times New Roman" w:eastAsia="Times New Roman" w:hAnsi="Times New Roman" w:cs="Times New Roman"/>
          <w:sz w:val="24"/>
          <w:szCs w:val="24"/>
          <w:lang w:val="lt-LT"/>
        </w:rPr>
        <w:t>toje normoje nustatytus kriterijus</w:t>
      </w:r>
      <w:r w:rsidRPr="00BB5D2D">
        <w:rPr>
          <w:rFonts w:ascii="Times New Roman" w:eastAsia="Times New Roman" w:hAnsi="Times New Roman" w:cs="Times New Roman"/>
          <w:sz w:val="24"/>
          <w:szCs w:val="24"/>
          <w:lang w:val="lt-LT"/>
        </w:rPr>
        <w:t>.</w:t>
      </w:r>
    </w:p>
    <w:p w14:paraId="20FE802E" w14:textId="105A17E8" w:rsidR="002C712D" w:rsidRPr="00B02BE5" w:rsidRDefault="00323948" w:rsidP="00907267">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hAnsi="Times New Roman" w:cs="Times New Roman"/>
          <w:kern w:val="2"/>
          <w:sz w:val="24"/>
          <w:szCs w:val="24"/>
          <w:lang w:val="lt-LT"/>
          <w14:ligatures w14:val="standardContextual"/>
        </w:rPr>
        <w:t xml:space="preserve"> </w:t>
      </w:r>
      <w:r w:rsidR="00D85F0A">
        <w:rPr>
          <w:rFonts w:ascii="Times New Roman" w:hAnsi="Times New Roman" w:cs="Times New Roman"/>
          <w:kern w:val="2"/>
          <w:sz w:val="24"/>
          <w:szCs w:val="24"/>
          <w:lang w:val="lt-LT"/>
          <w14:ligatures w14:val="standardContextual"/>
        </w:rPr>
        <w:t xml:space="preserve">Tačiau </w:t>
      </w:r>
      <w:r w:rsidR="002C712D" w:rsidRPr="00975E39">
        <w:rPr>
          <w:rFonts w:ascii="Times New Roman" w:hAnsi="Times New Roman" w:cs="Times New Roman"/>
          <w:sz w:val="24"/>
          <w:szCs w:val="24"/>
          <w:lang w:val="lt-LT"/>
        </w:rPr>
        <w:t xml:space="preserve">Notarų rūmų Išaiškinimais, kurie Nutarime laikyti draudžiamu susitarimu, buvo nutarta, kad </w:t>
      </w:r>
      <w:bookmarkStart w:id="125" w:name="_Hlk170312117"/>
      <w:r w:rsidR="002C712D" w:rsidRPr="00975E39">
        <w:rPr>
          <w:rFonts w:ascii="Times New Roman" w:hAnsi="Times New Roman" w:cs="Times New Roman"/>
          <w:sz w:val="24"/>
          <w:szCs w:val="24"/>
          <w:lang w:val="lt-LT"/>
        </w:rPr>
        <w:t xml:space="preserve">kai sandorio šalys nenurodo įkeičiamo objekto vertės, už hipotekos (įkeitimo) sandorio patvirtinimą turi būti </w:t>
      </w:r>
      <w:r w:rsidR="002C712D" w:rsidRPr="00DF5596">
        <w:rPr>
          <w:rFonts w:ascii="Times New Roman" w:hAnsi="Times New Roman" w:cs="Times New Roman"/>
          <w:sz w:val="24"/>
          <w:szCs w:val="24"/>
          <w:lang w:val="lt-LT"/>
        </w:rPr>
        <w:t xml:space="preserve">imamas maksimalaus dydžio notaro atlyginimas </w:t>
      </w:r>
      <w:bookmarkEnd w:id="125"/>
      <w:r w:rsidR="002C712D" w:rsidRPr="00DF5596">
        <w:rPr>
          <w:rFonts w:ascii="Times New Roman" w:hAnsi="Times New Roman" w:cs="Times New Roman"/>
          <w:sz w:val="24"/>
          <w:szCs w:val="24"/>
          <w:lang w:val="lt-LT"/>
        </w:rPr>
        <w:t>(Nutarimo 3.2.1 d.);</w:t>
      </w:r>
      <w:bookmarkStart w:id="126" w:name="_Hlk170311624"/>
      <w:r w:rsidR="002C712D" w:rsidRPr="00DF5596">
        <w:rPr>
          <w:rFonts w:ascii="Times New Roman" w:hAnsi="Times New Roman" w:cs="Times New Roman"/>
          <w:sz w:val="24"/>
          <w:szCs w:val="24"/>
          <w:lang w:val="lt-LT"/>
        </w:rPr>
        <w:t xml:space="preserve"> kai vienu hipotekos sandoriu įkeičiami keli nekilnojamieji daiktai, Laikinuosiuose dydžiuose nustatytas „notaro atlyginimo dydis skaičiuojamas nuo kiekvieno įkeičiamo nekilnojamojo daikto vertės ir tada sumuojamas“ (Nutarimo 3.2.2 d.); kai viena sutartimi nustatomas servitutas keliems nekilnojamiems daiktams</w:t>
      </w:r>
      <w:bookmarkEnd w:id="126"/>
      <w:r w:rsidR="002C712D" w:rsidRPr="00DF5596">
        <w:rPr>
          <w:rFonts w:ascii="Times New Roman" w:hAnsi="Times New Roman" w:cs="Times New Roman"/>
          <w:sz w:val="24"/>
          <w:szCs w:val="24"/>
          <w:lang w:val="lt-LT"/>
        </w:rPr>
        <w:t xml:space="preserve">, Laikinuosiuose dydžiuose nustatytas atlyginimo dydis dauginamas „iš daiktų, kuriems nustatomas (–i) servitutas (–ai) skaičiaus“ (Nutarimo 3.2.3 d.); </w:t>
      </w:r>
      <w:bookmarkStart w:id="127" w:name="_Hlk170311646"/>
      <w:r w:rsidR="002C712D" w:rsidRPr="00DF5596">
        <w:rPr>
          <w:rFonts w:ascii="Times New Roman" w:hAnsi="Times New Roman" w:cs="Times New Roman"/>
          <w:sz w:val="24"/>
          <w:szCs w:val="24"/>
          <w:lang w:val="lt-LT"/>
        </w:rPr>
        <w:t xml:space="preserve">kai viena sutartimi mainomos kelių daiktų </w:t>
      </w:r>
      <w:r w:rsidR="002C712D" w:rsidRPr="00DF5596">
        <w:rPr>
          <w:rFonts w:ascii="Times New Roman" w:hAnsi="Times New Roman" w:cs="Times New Roman"/>
          <w:sz w:val="24"/>
          <w:szCs w:val="24"/>
          <w:lang w:val="lt-LT"/>
        </w:rPr>
        <w:lastRenderedPageBreak/>
        <w:t>dalys</w:t>
      </w:r>
      <w:bookmarkEnd w:id="127"/>
      <w:r w:rsidR="002C712D" w:rsidRPr="00DF5596">
        <w:rPr>
          <w:rFonts w:ascii="Times New Roman" w:hAnsi="Times New Roman" w:cs="Times New Roman"/>
          <w:sz w:val="24"/>
          <w:szCs w:val="24"/>
          <w:lang w:val="lt-LT"/>
        </w:rPr>
        <w:t xml:space="preserve">, Laikinuosiuose dydžiuose nustatytas atlyginimo dydis skaičiuojamas „nuo kiekvieno sandoriu perleidžiamo daikto kainos ir tada </w:t>
      </w:r>
      <w:proofErr w:type="spellStart"/>
      <w:r w:rsidR="002C712D" w:rsidRPr="00DF5596">
        <w:rPr>
          <w:rFonts w:ascii="Times New Roman" w:hAnsi="Times New Roman" w:cs="Times New Roman"/>
          <w:sz w:val="24"/>
          <w:szCs w:val="24"/>
          <w:lang w:val="lt-LT"/>
        </w:rPr>
        <w:t>susumuo</w:t>
      </w:r>
      <w:proofErr w:type="spellEnd"/>
      <w:r w:rsidR="002C712D" w:rsidRPr="00B02BE5">
        <w:rPr>
          <w:rFonts w:ascii="Times New Roman" w:hAnsi="Times New Roman" w:cs="Times New Roman"/>
          <w:sz w:val="24"/>
          <w:szCs w:val="24"/>
          <w:lang w:val="lt-LT"/>
        </w:rPr>
        <w:t>[</w:t>
      </w:r>
      <w:proofErr w:type="spellStart"/>
      <w:r w:rsidR="002C712D" w:rsidRPr="00B02BE5">
        <w:rPr>
          <w:rFonts w:ascii="Times New Roman" w:hAnsi="Times New Roman" w:cs="Times New Roman"/>
          <w:sz w:val="24"/>
          <w:szCs w:val="24"/>
          <w:lang w:val="lt-LT"/>
        </w:rPr>
        <w:t>jamas</w:t>
      </w:r>
      <w:proofErr w:type="spellEnd"/>
      <w:r w:rsidR="002C712D" w:rsidRPr="00B02BE5">
        <w:rPr>
          <w:rFonts w:ascii="Times New Roman" w:hAnsi="Times New Roman" w:cs="Times New Roman"/>
          <w:sz w:val="24"/>
          <w:szCs w:val="24"/>
          <w:lang w:val="lt-LT"/>
        </w:rPr>
        <w:t xml:space="preserve">]“ (Nutarimo 3.2.4 d.). </w:t>
      </w:r>
    </w:p>
    <w:p w14:paraId="09C04D05" w14:textId="3DD9E71B" w:rsidR="002C712D" w:rsidRPr="00084353" w:rsidRDefault="002C712D" w:rsidP="002C712D">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B02BE5">
        <w:rPr>
          <w:rFonts w:ascii="Times New Roman" w:eastAsia="Times New Roman" w:hAnsi="Times New Roman" w:cs="Times New Roman"/>
          <w:sz w:val="24"/>
          <w:szCs w:val="24"/>
          <w:lang w:val="lt-LT"/>
        </w:rPr>
        <w:t xml:space="preserve"> </w:t>
      </w:r>
      <w:r w:rsidRPr="00B02BE5">
        <w:rPr>
          <w:rFonts w:ascii="Times New Roman" w:hAnsi="Times New Roman" w:cs="Times New Roman"/>
          <w:kern w:val="2"/>
          <w:sz w:val="24"/>
          <w:szCs w:val="24"/>
          <w:lang w:val="lt-LT"/>
          <w14:ligatures w14:val="standardContextual"/>
        </w:rPr>
        <w:t>Taigi</w:t>
      </w:r>
      <w:r w:rsidR="006B7AB5" w:rsidRPr="00B02BE5">
        <w:rPr>
          <w:rFonts w:ascii="Times New Roman" w:hAnsi="Times New Roman" w:cs="Times New Roman"/>
          <w:kern w:val="2"/>
          <w:sz w:val="24"/>
          <w:szCs w:val="24"/>
          <w:lang w:val="lt-LT"/>
          <w14:ligatures w14:val="standardContextual"/>
        </w:rPr>
        <w:t>,</w:t>
      </w:r>
      <w:r w:rsidRPr="00B02BE5">
        <w:rPr>
          <w:rFonts w:ascii="Times New Roman" w:hAnsi="Times New Roman" w:cs="Times New Roman"/>
          <w:kern w:val="2"/>
          <w:sz w:val="24"/>
          <w:szCs w:val="24"/>
          <w:lang w:val="lt-LT"/>
          <w14:ligatures w14:val="standardContextual"/>
        </w:rPr>
        <w:t xml:space="preserve"> nurodytais atvejais</w:t>
      </w:r>
      <w:r w:rsidR="000C325C" w:rsidRPr="00084353">
        <w:rPr>
          <w:rFonts w:ascii="Times New Roman" w:hAnsi="Times New Roman" w:cs="Times New Roman"/>
          <w:kern w:val="2"/>
          <w:sz w:val="24"/>
          <w:szCs w:val="24"/>
          <w:lang w:val="lt-LT"/>
          <w14:ligatures w14:val="standardContextual"/>
        </w:rPr>
        <w:t xml:space="preserve"> (</w:t>
      </w:r>
      <w:r w:rsidRPr="00084353">
        <w:rPr>
          <w:rFonts w:ascii="Times New Roman" w:hAnsi="Times New Roman" w:cs="Times New Roman"/>
          <w:kern w:val="2"/>
          <w:sz w:val="24"/>
          <w:szCs w:val="24"/>
          <w:lang w:val="lt-LT"/>
          <w14:ligatures w14:val="standardContextual"/>
        </w:rPr>
        <w:t>kai vienu hipotekos sandoriu įkeičiami keli nekilnojamieji daiktai, kai viena sutartimi nustatomas servitutas keliems nekilnojamiems daiktams, kai viena sutartimi mainomos kelių daiktų dalys</w:t>
      </w:r>
      <w:r w:rsidR="000C325C" w:rsidRPr="00084353">
        <w:rPr>
          <w:rFonts w:ascii="Times New Roman" w:hAnsi="Times New Roman" w:cs="Times New Roman"/>
          <w:kern w:val="2"/>
          <w:sz w:val="24"/>
          <w:szCs w:val="24"/>
          <w:lang w:val="lt-LT"/>
          <w14:ligatures w14:val="standardContextual"/>
        </w:rPr>
        <w:t>)</w:t>
      </w:r>
      <w:r w:rsidR="00084353" w:rsidRPr="00084353">
        <w:rPr>
          <w:rFonts w:ascii="Times New Roman" w:hAnsi="Times New Roman" w:cs="Times New Roman"/>
          <w:kern w:val="2"/>
          <w:sz w:val="24"/>
          <w:szCs w:val="24"/>
          <w:lang w:val="lt-LT"/>
          <w14:ligatures w14:val="standardContextual"/>
        </w:rPr>
        <w:t xml:space="preserve"> </w:t>
      </w:r>
      <w:r w:rsidRPr="00084353">
        <w:rPr>
          <w:rFonts w:ascii="Times New Roman" w:hAnsi="Times New Roman" w:cs="Times New Roman"/>
          <w:kern w:val="2"/>
          <w:sz w:val="24"/>
          <w:szCs w:val="24"/>
          <w:lang w:val="lt-LT"/>
          <w14:ligatures w14:val="standardContextual"/>
        </w:rPr>
        <w:t>Išaiškinimais buvo nustatytas toks notarų atlyginimo už atitinkamus notarinius veiksmus apskaičiavimo būdas, pagal kurį turėjo būti imamas didžiausias galimas atlyginimas už atitinkamus notarinius veiksmus.</w:t>
      </w:r>
      <w:r w:rsidR="00375A82" w:rsidRPr="00084353">
        <w:rPr>
          <w:rFonts w:ascii="Times New Roman" w:hAnsi="Times New Roman" w:cs="Times New Roman"/>
          <w:kern w:val="2"/>
          <w:sz w:val="24"/>
          <w:szCs w:val="24"/>
          <w:lang w:val="lt-LT"/>
          <w14:ligatures w14:val="standardContextual"/>
        </w:rPr>
        <w:t xml:space="preserve"> Taip pat buvo tiesiogiai nustatytas notarų taikytinas atlyginimo dydis – maksimalus intervalo atlyginimo dydis – imamas už hipotekos (įkeitimo) tvirtinimą tuo atveju, kai šalys nenurodo įkeičiamo objekto vertės. </w:t>
      </w:r>
    </w:p>
    <w:p w14:paraId="7702DE4F" w14:textId="77777777" w:rsidR="001E62B5" w:rsidRPr="001E62B5" w:rsidRDefault="00FB026D" w:rsidP="002E41BE">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sidRPr="00F7414A">
        <w:rPr>
          <w:rFonts w:ascii="Times New Roman" w:hAnsi="Times New Roman" w:cs="Times New Roman"/>
          <w:kern w:val="2"/>
          <w:sz w:val="24"/>
          <w:szCs w:val="24"/>
          <w:lang w:val="lt-LT"/>
          <w14:ligatures w14:val="standardContextual"/>
        </w:rPr>
        <w:t xml:space="preserve"> </w:t>
      </w:r>
      <w:r w:rsidR="00ED48BD" w:rsidRPr="00F7414A">
        <w:rPr>
          <w:rFonts w:ascii="Times New Roman" w:hAnsi="Times New Roman" w:cs="Times New Roman"/>
          <w:kern w:val="2"/>
          <w:sz w:val="24"/>
          <w:szCs w:val="24"/>
          <w:lang w:val="lt-LT"/>
          <w14:ligatures w14:val="standardContextual"/>
        </w:rPr>
        <w:t xml:space="preserve">Kitaip tariant, </w:t>
      </w:r>
      <w:r w:rsidR="007A6B3F" w:rsidRPr="00F7414A">
        <w:rPr>
          <w:rFonts w:ascii="Times New Roman" w:hAnsi="Times New Roman" w:cs="Times New Roman"/>
          <w:kern w:val="2"/>
          <w:sz w:val="24"/>
          <w:szCs w:val="24"/>
          <w:lang w:val="lt-LT"/>
          <w14:ligatures w14:val="standardContextual"/>
        </w:rPr>
        <w:t xml:space="preserve">Išaiškinimai, kurie, kaip nustatyta, laikytini privalomais visiems Lietuvoje veiklą vykdantiems notarams, </w:t>
      </w:r>
      <w:r w:rsidR="00DC2C85" w:rsidRPr="00F7414A">
        <w:rPr>
          <w:rFonts w:ascii="Times New Roman" w:hAnsi="Times New Roman" w:cs="Times New Roman"/>
          <w:kern w:val="2"/>
          <w:sz w:val="24"/>
          <w:szCs w:val="24"/>
          <w:lang w:val="lt-LT"/>
          <w14:ligatures w14:val="standardContextual"/>
        </w:rPr>
        <w:t xml:space="preserve">išplėstinės teisėjų kolegijos vertinimu, </w:t>
      </w:r>
      <w:r w:rsidR="00A40AF6" w:rsidRPr="00F7414A">
        <w:rPr>
          <w:rFonts w:ascii="Times New Roman" w:hAnsi="Times New Roman" w:cs="Times New Roman"/>
          <w:kern w:val="2"/>
          <w:sz w:val="24"/>
          <w:szCs w:val="24"/>
          <w:lang w:val="lt-LT"/>
          <w14:ligatures w14:val="standardContextual"/>
        </w:rPr>
        <w:t xml:space="preserve">pašalino bet kokį netikrumą, kaip </w:t>
      </w:r>
      <w:r w:rsidR="0056088E" w:rsidRPr="00F7414A">
        <w:rPr>
          <w:rFonts w:ascii="Times New Roman" w:hAnsi="Times New Roman" w:cs="Times New Roman"/>
          <w:kern w:val="2"/>
          <w:sz w:val="24"/>
          <w:szCs w:val="24"/>
          <w:lang w:val="lt-LT"/>
          <w14:ligatures w14:val="standardContextual"/>
        </w:rPr>
        <w:t>atitinkamais atvejais</w:t>
      </w:r>
      <w:r w:rsidR="000F2528" w:rsidRPr="00F7414A">
        <w:rPr>
          <w:rFonts w:ascii="Times New Roman" w:hAnsi="Times New Roman" w:cs="Times New Roman"/>
          <w:kern w:val="2"/>
          <w:sz w:val="24"/>
          <w:szCs w:val="24"/>
          <w:lang w:val="lt-LT"/>
          <w14:ligatures w14:val="standardContextual"/>
        </w:rPr>
        <w:t>, su kuriais susiję Išaiškinimai, bus paskaičiuojamas</w:t>
      </w:r>
      <w:r w:rsidR="00ED48BD" w:rsidRPr="00F7414A">
        <w:rPr>
          <w:rFonts w:ascii="Times New Roman" w:hAnsi="Times New Roman" w:cs="Times New Roman"/>
          <w:kern w:val="2"/>
          <w:sz w:val="24"/>
          <w:szCs w:val="24"/>
          <w:lang w:val="lt-LT"/>
          <w14:ligatures w14:val="standardContextual"/>
        </w:rPr>
        <w:t xml:space="preserve"> notarinės paslaugos atlyginimas. </w:t>
      </w:r>
      <w:r w:rsidR="002A6F72" w:rsidRPr="00F7414A">
        <w:rPr>
          <w:rFonts w:ascii="Times New Roman" w:hAnsi="Times New Roman" w:cs="Times New Roman"/>
          <w:kern w:val="2"/>
          <w:sz w:val="24"/>
          <w:szCs w:val="24"/>
          <w:lang w:val="lt-LT"/>
          <w14:ligatures w14:val="standardContextual"/>
        </w:rPr>
        <w:t xml:space="preserve">Tokią išvadą, be kita ko, patvirtina ir </w:t>
      </w:r>
      <w:r w:rsidR="00E82F36" w:rsidRPr="00F7414A">
        <w:rPr>
          <w:rFonts w:ascii="Times New Roman" w:hAnsi="Times New Roman" w:cs="Times New Roman"/>
          <w:kern w:val="2"/>
          <w:sz w:val="24"/>
          <w:szCs w:val="24"/>
          <w:lang w:val="lt-LT"/>
          <w14:ligatures w14:val="standardContextual"/>
        </w:rPr>
        <w:t xml:space="preserve">pačių </w:t>
      </w:r>
      <w:r w:rsidR="00D77491" w:rsidRPr="00F7414A">
        <w:rPr>
          <w:rFonts w:ascii="Times New Roman" w:hAnsi="Times New Roman" w:cs="Times New Roman"/>
          <w:kern w:val="2"/>
          <w:sz w:val="24"/>
          <w:szCs w:val="24"/>
          <w:lang w:val="lt-LT"/>
          <w14:ligatures w14:val="standardContextual"/>
        </w:rPr>
        <w:t>pareiškėjų nurodomas</w:t>
      </w:r>
      <w:r w:rsidR="000D1878" w:rsidRPr="00F7414A">
        <w:rPr>
          <w:rFonts w:ascii="Times New Roman" w:hAnsi="Times New Roman" w:cs="Times New Roman"/>
          <w:kern w:val="2"/>
          <w:sz w:val="24"/>
          <w:szCs w:val="24"/>
          <w:lang w:val="lt-LT"/>
          <w14:ligatures w14:val="standardContextual"/>
        </w:rPr>
        <w:t xml:space="preserve"> argumentas, kad </w:t>
      </w:r>
      <w:r w:rsidR="00116952" w:rsidRPr="00F7414A">
        <w:rPr>
          <w:rFonts w:ascii="Times New Roman" w:hAnsi="Times New Roman" w:cs="Times New Roman"/>
          <w:kern w:val="2"/>
          <w:sz w:val="24"/>
          <w:szCs w:val="24"/>
          <w:lang w:val="lt-LT"/>
          <w14:ligatures w14:val="standardContextual"/>
        </w:rPr>
        <w:t>I</w:t>
      </w:r>
      <w:r w:rsidR="00116952" w:rsidRPr="0036784E">
        <w:rPr>
          <w:rFonts w:ascii="Times New Roman" w:hAnsi="Times New Roman" w:cs="Times New Roman"/>
          <w:kern w:val="2"/>
          <w:sz w:val="24"/>
          <w:szCs w:val="24"/>
          <w:lang w:val="lt-LT"/>
          <w14:ligatures w14:val="standardContextual"/>
        </w:rPr>
        <w:t>šaiškinimai dėl Laikinųjų dydžių taikymo</w:t>
      </w:r>
      <w:r w:rsidR="00F7414A" w:rsidRPr="00F7414A">
        <w:rPr>
          <w:rFonts w:ascii="Times New Roman" w:hAnsi="Times New Roman" w:cs="Times New Roman"/>
          <w:kern w:val="2"/>
          <w:sz w:val="24"/>
          <w:szCs w:val="24"/>
          <w:lang w:val="lt-LT"/>
          <w14:ligatures w14:val="standardContextual"/>
        </w:rPr>
        <w:t xml:space="preserve"> buvo pateikti, </w:t>
      </w:r>
      <w:r w:rsidR="0036784E" w:rsidRPr="0036784E">
        <w:rPr>
          <w:rFonts w:ascii="Times New Roman" w:hAnsi="Times New Roman" w:cs="Times New Roman"/>
          <w:kern w:val="2"/>
          <w:sz w:val="24"/>
          <w:szCs w:val="24"/>
          <w:lang w:val="lt-LT"/>
          <w14:ligatures w14:val="standardContextual"/>
        </w:rPr>
        <w:t>siekiant suvienodinti notarinę praktiką</w:t>
      </w:r>
      <w:r w:rsidR="00F7414A" w:rsidRPr="00F7414A">
        <w:rPr>
          <w:rFonts w:ascii="Times New Roman" w:hAnsi="Times New Roman" w:cs="Times New Roman"/>
          <w:kern w:val="2"/>
          <w:sz w:val="24"/>
          <w:szCs w:val="24"/>
          <w:lang w:val="lt-LT"/>
          <w14:ligatures w14:val="standardContextual"/>
        </w:rPr>
        <w:t xml:space="preserve">. </w:t>
      </w:r>
      <w:r w:rsidR="00DC2C85" w:rsidRPr="00F7414A">
        <w:rPr>
          <w:rFonts w:ascii="Times New Roman" w:hAnsi="Times New Roman" w:cs="Times New Roman"/>
          <w:kern w:val="2"/>
          <w:sz w:val="24"/>
          <w:szCs w:val="24"/>
          <w:lang w:val="lt-LT"/>
          <w14:ligatures w14:val="standardContextual"/>
        </w:rPr>
        <w:t xml:space="preserve"> </w:t>
      </w:r>
    </w:p>
    <w:p w14:paraId="2A187C71" w14:textId="08407A33" w:rsidR="008118CB" w:rsidRPr="00F7414A" w:rsidRDefault="001E62B5" w:rsidP="002E41BE">
      <w:pPr>
        <w:numPr>
          <w:ilvl w:val="0"/>
          <w:numId w:val="22"/>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val="lt-LT"/>
        </w:rPr>
      </w:pPr>
      <w:r>
        <w:rPr>
          <w:rFonts w:ascii="Times New Roman" w:hAnsi="Times New Roman" w:cs="Times New Roman"/>
          <w:kern w:val="2"/>
          <w:sz w:val="24"/>
          <w:szCs w:val="24"/>
          <w:lang w:val="lt-LT"/>
          <w14:ligatures w14:val="standardContextual"/>
        </w:rPr>
        <w:t xml:space="preserve"> </w:t>
      </w:r>
      <w:r w:rsidR="00122FBF">
        <w:rPr>
          <w:rFonts w:ascii="Times New Roman" w:hAnsi="Times New Roman" w:cs="Times New Roman"/>
          <w:kern w:val="2"/>
          <w:sz w:val="24"/>
          <w:szCs w:val="24"/>
          <w:lang w:val="lt-LT"/>
          <w14:ligatures w14:val="standardContextual"/>
        </w:rPr>
        <w:t xml:space="preserve">Apibendrinant, </w:t>
      </w:r>
      <w:r w:rsidR="00A94C83">
        <w:rPr>
          <w:rFonts w:ascii="Times New Roman" w:hAnsi="Times New Roman" w:cs="Times New Roman"/>
          <w:kern w:val="2"/>
          <w:sz w:val="24"/>
          <w:szCs w:val="24"/>
          <w:lang w:val="lt-LT"/>
          <w14:ligatures w14:val="standardContextual"/>
        </w:rPr>
        <w:t>Išaiškinimais</w:t>
      </w:r>
      <w:r w:rsidR="007A6B3F" w:rsidRPr="00F7414A">
        <w:rPr>
          <w:rFonts w:ascii="Times New Roman" w:hAnsi="Times New Roman" w:cs="Times New Roman"/>
          <w:kern w:val="2"/>
          <w:sz w:val="24"/>
          <w:szCs w:val="24"/>
          <w:lang w:val="lt-LT"/>
          <w14:ligatures w14:val="standardContextual"/>
        </w:rPr>
        <w:t xml:space="preserve"> notarams įtvirtin</w:t>
      </w:r>
      <w:r>
        <w:rPr>
          <w:rFonts w:ascii="Times New Roman" w:hAnsi="Times New Roman" w:cs="Times New Roman"/>
          <w:kern w:val="2"/>
          <w:sz w:val="24"/>
          <w:szCs w:val="24"/>
          <w:lang w:val="lt-LT"/>
          <w14:ligatures w14:val="standardContextual"/>
        </w:rPr>
        <w:t>us</w:t>
      </w:r>
      <w:r w:rsidR="007A6B3F" w:rsidRPr="00F7414A">
        <w:rPr>
          <w:rFonts w:ascii="Times New Roman" w:hAnsi="Times New Roman" w:cs="Times New Roman"/>
          <w:kern w:val="2"/>
          <w:sz w:val="24"/>
          <w:szCs w:val="24"/>
          <w:lang w:val="lt-LT"/>
          <w14:ligatures w14:val="standardContextual"/>
        </w:rPr>
        <w:t xml:space="preserve"> </w:t>
      </w:r>
      <w:r w:rsidR="002B2B12">
        <w:rPr>
          <w:rFonts w:ascii="Times New Roman" w:hAnsi="Times New Roman" w:cs="Times New Roman"/>
          <w:kern w:val="2"/>
          <w:sz w:val="24"/>
          <w:szCs w:val="24"/>
          <w:lang w:val="lt-LT"/>
          <w14:ligatures w14:val="standardContextual"/>
        </w:rPr>
        <w:t xml:space="preserve">atitinkamos notarinės paslaugos </w:t>
      </w:r>
      <w:r w:rsidR="007A6B3F" w:rsidRPr="00F7414A">
        <w:rPr>
          <w:rFonts w:ascii="Times New Roman" w:hAnsi="Times New Roman" w:cs="Times New Roman"/>
          <w:kern w:val="2"/>
          <w:sz w:val="24"/>
          <w:szCs w:val="24"/>
          <w:lang w:val="lt-LT"/>
          <w14:ligatures w14:val="standardContextual"/>
        </w:rPr>
        <w:t>konkret</w:t>
      </w:r>
      <w:r w:rsidR="002B2B12">
        <w:rPr>
          <w:rFonts w:ascii="Times New Roman" w:hAnsi="Times New Roman" w:cs="Times New Roman"/>
          <w:kern w:val="2"/>
          <w:sz w:val="24"/>
          <w:szCs w:val="24"/>
          <w:lang w:val="lt-LT"/>
          <w14:ligatures w14:val="standardContextual"/>
        </w:rPr>
        <w:t>a</w:t>
      </w:r>
      <w:r w:rsidR="007A6B3F" w:rsidRPr="00F7414A">
        <w:rPr>
          <w:rFonts w:ascii="Times New Roman" w:hAnsi="Times New Roman" w:cs="Times New Roman"/>
          <w:kern w:val="2"/>
          <w:sz w:val="24"/>
          <w:szCs w:val="24"/>
          <w:lang w:val="lt-LT"/>
          <w14:ligatures w14:val="standardContextual"/>
        </w:rPr>
        <w:t>us atlyginimo apskaičiavimo būd</w:t>
      </w:r>
      <w:r w:rsidR="00F51C84">
        <w:rPr>
          <w:rFonts w:ascii="Times New Roman" w:hAnsi="Times New Roman" w:cs="Times New Roman"/>
          <w:kern w:val="2"/>
          <w:sz w:val="24"/>
          <w:szCs w:val="24"/>
          <w:lang w:val="lt-LT"/>
          <w14:ligatures w14:val="standardContextual"/>
        </w:rPr>
        <w:t>ą</w:t>
      </w:r>
      <w:r w:rsidR="007A6B3F" w:rsidRPr="00F7414A">
        <w:rPr>
          <w:rFonts w:ascii="Times New Roman" w:hAnsi="Times New Roman" w:cs="Times New Roman"/>
          <w:kern w:val="2"/>
          <w:sz w:val="24"/>
          <w:szCs w:val="24"/>
          <w:lang w:val="lt-LT"/>
          <w14:ligatures w14:val="standardContextual"/>
        </w:rPr>
        <w:t xml:space="preserve">, </w:t>
      </w:r>
      <w:r w:rsidR="00F51C84">
        <w:rPr>
          <w:rFonts w:ascii="Times New Roman" w:hAnsi="Times New Roman" w:cs="Times New Roman"/>
          <w:kern w:val="2"/>
          <w:sz w:val="24"/>
          <w:szCs w:val="24"/>
          <w:lang w:val="lt-LT"/>
          <w14:ligatures w14:val="standardContextual"/>
        </w:rPr>
        <w:t xml:space="preserve">taip pat </w:t>
      </w:r>
      <w:r w:rsidR="00F3128F">
        <w:rPr>
          <w:rFonts w:ascii="Times New Roman" w:hAnsi="Times New Roman" w:cs="Times New Roman"/>
          <w:kern w:val="2"/>
          <w:sz w:val="24"/>
          <w:szCs w:val="24"/>
          <w:lang w:val="lt-LT"/>
          <w14:ligatures w14:val="standardContextual"/>
        </w:rPr>
        <w:t xml:space="preserve">tam tikroms paslaugoms </w:t>
      </w:r>
      <w:r w:rsidR="007A6B3F" w:rsidRPr="00F7414A">
        <w:rPr>
          <w:rFonts w:ascii="Times New Roman" w:hAnsi="Times New Roman" w:cs="Times New Roman"/>
          <w:kern w:val="2"/>
          <w:sz w:val="24"/>
          <w:szCs w:val="24"/>
          <w:lang w:val="lt-LT"/>
          <w14:ligatures w14:val="standardContextual"/>
        </w:rPr>
        <w:t>nusta</w:t>
      </w:r>
      <w:r w:rsidR="00F51C84">
        <w:rPr>
          <w:rFonts w:ascii="Times New Roman" w:hAnsi="Times New Roman" w:cs="Times New Roman"/>
          <w:kern w:val="2"/>
          <w:sz w:val="24"/>
          <w:szCs w:val="24"/>
          <w:lang w:val="lt-LT"/>
          <w14:ligatures w14:val="standardContextual"/>
        </w:rPr>
        <w:t>čius</w:t>
      </w:r>
      <w:r w:rsidR="007A6B3F" w:rsidRPr="00F7414A">
        <w:rPr>
          <w:rFonts w:ascii="Times New Roman" w:hAnsi="Times New Roman" w:cs="Times New Roman"/>
          <w:kern w:val="2"/>
          <w:sz w:val="24"/>
          <w:szCs w:val="24"/>
          <w:lang w:val="lt-LT"/>
          <w14:ligatures w14:val="standardContextual"/>
        </w:rPr>
        <w:t xml:space="preserve"> maksimalų atlyginimo dydį, </w:t>
      </w:r>
      <w:r w:rsidR="007C40C7">
        <w:rPr>
          <w:rFonts w:ascii="Times New Roman" w:hAnsi="Times New Roman" w:cs="Times New Roman"/>
          <w:kern w:val="2"/>
          <w:sz w:val="24"/>
          <w:szCs w:val="24"/>
          <w:lang w:val="lt-LT"/>
          <w14:ligatures w14:val="standardContextual"/>
        </w:rPr>
        <w:t xml:space="preserve">buvo </w:t>
      </w:r>
      <w:r w:rsidR="007A6B3F" w:rsidRPr="00F7414A">
        <w:rPr>
          <w:rFonts w:ascii="Times New Roman" w:hAnsi="Times New Roman" w:cs="Times New Roman"/>
          <w:kern w:val="2"/>
          <w:sz w:val="24"/>
          <w:szCs w:val="24"/>
          <w:lang w:val="lt-LT"/>
          <w14:ligatures w14:val="standardContextual"/>
        </w:rPr>
        <w:t>panaikin</w:t>
      </w:r>
      <w:r w:rsidR="007C40C7">
        <w:rPr>
          <w:rFonts w:ascii="Times New Roman" w:hAnsi="Times New Roman" w:cs="Times New Roman"/>
          <w:kern w:val="2"/>
          <w:sz w:val="24"/>
          <w:szCs w:val="24"/>
          <w:lang w:val="lt-LT"/>
          <w14:ligatures w14:val="standardContextual"/>
        </w:rPr>
        <w:t>ta</w:t>
      </w:r>
      <w:r w:rsidR="007A6B3F" w:rsidRPr="00F7414A">
        <w:rPr>
          <w:rFonts w:ascii="Times New Roman" w:hAnsi="Times New Roman" w:cs="Times New Roman"/>
          <w:kern w:val="2"/>
          <w:sz w:val="24"/>
          <w:szCs w:val="24"/>
          <w:lang w:val="lt-LT"/>
          <w14:ligatures w14:val="standardContextual"/>
        </w:rPr>
        <w:t xml:space="preserve"> </w:t>
      </w:r>
      <w:r w:rsidR="00500E95">
        <w:rPr>
          <w:rFonts w:ascii="Times New Roman" w:hAnsi="Times New Roman" w:cs="Times New Roman"/>
          <w:kern w:val="2"/>
          <w:sz w:val="24"/>
          <w:szCs w:val="24"/>
          <w:lang w:val="lt-LT"/>
          <w14:ligatures w14:val="standardContextual"/>
        </w:rPr>
        <w:t>Laikin</w:t>
      </w:r>
      <w:r w:rsidR="00A21CA8">
        <w:rPr>
          <w:rFonts w:ascii="Times New Roman" w:hAnsi="Times New Roman" w:cs="Times New Roman"/>
          <w:kern w:val="2"/>
          <w:sz w:val="24"/>
          <w:szCs w:val="24"/>
          <w:lang w:val="lt-LT"/>
          <w14:ligatures w14:val="standardContextual"/>
        </w:rPr>
        <w:t>uosiuose</w:t>
      </w:r>
      <w:r w:rsidR="00500E95">
        <w:rPr>
          <w:rFonts w:ascii="Times New Roman" w:hAnsi="Times New Roman" w:cs="Times New Roman"/>
          <w:kern w:val="2"/>
          <w:sz w:val="24"/>
          <w:szCs w:val="24"/>
          <w:lang w:val="lt-LT"/>
          <w14:ligatures w14:val="standardContextual"/>
        </w:rPr>
        <w:t xml:space="preserve"> dydži</w:t>
      </w:r>
      <w:r w:rsidR="00A21CA8">
        <w:rPr>
          <w:rFonts w:ascii="Times New Roman" w:hAnsi="Times New Roman" w:cs="Times New Roman"/>
          <w:kern w:val="2"/>
          <w:sz w:val="24"/>
          <w:szCs w:val="24"/>
          <w:lang w:val="lt-LT"/>
          <w14:ligatures w14:val="standardContextual"/>
        </w:rPr>
        <w:t>uose palikta</w:t>
      </w:r>
      <w:r w:rsidR="00500E95">
        <w:rPr>
          <w:rFonts w:ascii="Times New Roman" w:hAnsi="Times New Roman" w:cs="Times New Roman"/>
          <w:kern w:val="2"/>
          <w:sz w:val="24"/>
          <w:szCs w:val="24"/>
          <w:lang w:val="lt-LT"/>
          <w14:ligatures w14:val="standardContextual"/>
        </w:rPr>
        <w:t xml:space="preserve"> </w:t>
      </w:r>
      <w:r w:rsidR="007A6B3F" w:rsidRPr="00F7414A">
        <w:rPr>
          <w:rFonts w:ascii="Times New Roman" w:hAnsi="Times New Roman" w:cs="Times New Roman"/>
          <w:kern w:val="2"/>
          <w:sz w:val="24"/>
          <w:szCs w:val="24"/>
          <w:lang w:val="lt-LT"/>
          <w14:ligatures w14:val="standardContextual"/>
        </w:rPr>
        <w:t xml:space="preserve">notarų </w:t>
      </w:r>
      <w:proofErr w:type="spellStart"/>
      <w:r w:rsidR="007A6B3F" w:rsidRPr="00F7414A">
        <w:rPr>
          <w:rFonts w:ascii="Times New Roman" w:hAnsi="Times New Roman" w:cs="Times New Roman"/>
          <w:kern w:val="2"/>
          <w:sz w:val="24"/>
          <w:szCs w:val="24"/>
          <w:lang w:val="lt-LT"/>
          <w14:ligatures w14:val="standardContextual"/>
        </w:rPr>
        <w:t>diskrecij</w:t>
      </w:r>
      <w:r w:rsidR="007C40C7">
        <w:rPr>
          <w:rFonts w:ascii="Times New Roman" w:hAnsi="Times New Roman" w:cs="Times New Roman"/>
          <w:kern w:val="2"/>
          <w:sz w:val="24"/>
          <w:szCs w:val="24"/>
          <w:lang w:val="lt-LT"/>
          <w14:ligatures w14:val="standardContextual"/>
        </w:rPr>
        <w:t>a</w:t>
      </w:r>
      <w:proofErr w:type="spellEnd"/>
      <w:r w:rsidR="007A6B3F" w:rsidRPr="00F7414A">
        <w:rPr>
          <w:rFonts w:ascii="Times New Roman" w:hAnsi="Times New Roman" w:cs="Times New Roman"/>
          <w:kern w:val="2"/>
          <w:sz w:val="24"/>
          <w:szCs w:val="24"/>
          <w:lang w:val="lt-LT"/>
          <w14:ligatures w14:val="standardContextual"/>
        </w:rPr>
        <w:t xml:space="preserve"> </w:t>
      </w:r>
      <w:r w:rsidR="008B59C0">
        <w:rPr>
          <w:rFonts w:ascii="Times New Roman" w:hAnsi="Times New Roman" w:cs="Times New Roman"/>
          <w:kern w:val="2"/>
          <w:sz w:val="24"/>
          <w:szCs w:val="24"/>
          <w:lang w:val="lt-LT"/>
          <w14:ligatures w14:val="standardContextual"/>
        </w:rPr>
        <w:t xml:space="preserve">individualiai </w:t>
      </w:r>
      <w:r w:rsidR="007C40C7">
        <w:rPr>
          <w:rFonts w:ascii="Times New Roman" w:hAnsi="Times New Roman" w:cs="Times New Roman"/>
          <w:kern w:val="2"/>
          <w:sz w:val="24"/>
          <w:szCs w:val="24"/>
          <w:lang w:val="lt-LT"/>
          <w14:ligatures w14:val="standardContextual"/>
        </w:rPr>
        <w:t xml:space="preserve">spręsti dėl </w:t>
      </w:r>
      <w:r w:rsidR="00592446">
        <w:rPr>
          <w:rFonts w:ascii="Times New Roman" w:hAnsi="Times New Roman" w:cs="Times New Roman"/>
          <w:kern w:val="2"/>
          <w:sz w:val="24"/>
          <w:szCs w:val="24"/>
          <w:lang w:val="lt-LT"/>
          <w14:ligatures w14:val="standardContextual"/>
        </w:rPr>
        <w:t>kon</w:t>
      </w:r>
      <w:r w:rsidR="007A3D36">
        <w:rPr>
          <w:rFonts w:ascii="Times New Roman" w:hAnsi="Times New Roman" w:cs="Times New Roman"/>
          <w:kern w:val="2"/>
          <w:sz w:val="24"/>
          <w:szCs w:val="24"/>
          <w:lang w:val="lt-LT"/>
          <w14:ligatures w14:val="standardContextual"/>
        </w:rPr>
        <w:t xml:space="preserve">krečiu atveju </w:t>
      </w:r>
      <w:r w:rsidR="008D0FEA">
        <w:rPr>
          <w:rFonts w:ascii="Times New Roman" w:hAnsi="Times New Roman" w:cs="Times New Roman"/>
          <w:kern w:val="2"/>
          <w:sz w:val="24"/>
          <w:szCs w:val="24"/>
          <w:lang w:val="lt-LT"/>
          <w14:ligatures w14:val="standardContextual"/>
        </w:rPr>
        <w:t>taikytino atlyginimo</w:t>
      </w:r>
      <w:r w:rsidR="007A3D36">
        <w:rPr>
          <w:rFonts w:ascii="Times New Roman" w:hAnsi="Times New Roman" w:cs="Times New Roman"/>
          <w:kern w:val="2"/>
          <w:sz w:val="24"/>
          <w:szCs w:val="24"/>
          <w:lang w:val="lt-LT"/>
          <w14:ligatures w14:val="standardContextual"/>
        </w:rPr>
        <w:t xml:space="preserve"> dydžio</w:t>
      </w:r>
      <w:r w:rsidR="00B26E5A">
        <w:rPr>
          <w:rFonts w:ascii="Times New Roman" w:hAnsi="Times New Roman" w:cs="Times New Roman"/>
          <w:kern w:val="2"/>
          <w:sz w:val="24"/>
          <w:szCs w:val="24"/>
          <w:lang w:val="lt-LT"/>
          <w14:ligatures w14:val="standardContextual"/>
        </w:rPr>
        <w:t xml:space="preserve"> (</w:t>
      </w:r>
      <w:r w:rsidR="00137294">
        <w:rPr>
          <w:rFonts w:ascii="Times New Roman" w:hAnsi="Times New Roman" w:cs="Times New Roman"/>
          <w:kern w:val="2"/>
          <w:sz w:val="24"/>
          <w:szCs w:val="24"/>
          <w:lang w:val="lt-LT"/>
          <w14:ligatures w14:val="standardContextual"/>
        </w:rPr>
        <w:t>atsižvelgiant į Notariato įstatymo 19</w:t>
      </w:r>
      <w:r w:rsidR="00137294" w:rsidRPr="000D5D6D">
        <w:rPr>
          <w:rFonts w:ascii="Times New Roman" w:hAnsi="Times New Roman" w:cs="Times New Roman"/>
          <w:kern w:val="2"/>
          <w:sz w:val="24"/>
          <w:szCs w:val="24"/>
          <w:vertAlign w:val="superscript"/>
          <w:lang w:val="lt-LT"/>
          <w14:ligatures w14:val="standardContextual"/>
        </w:rPr>
        <w:t>1</w:t>
      </w:r>
      <w:r w:rsidR="00137294">
        <w:rPr>
          <w:rFonts w:ascii="Times New Roman" w:hAnsi="Times New Roman" w:cs="Times New Roman"/>
          <w:kern w:val="2"/>
          <w:sz w:val="24"/>
          <w:szCs w:val="24"/>
          <w:lang w:val="lt-LT"/>
          <w14:ligatures w14:val="standardContextual"/>
        </w:rPr>
        <w:t xml:space="preserve"> straipsnyje nustatytus kriterijus)</w:t>
      </w:r>
      <w:r w:rsidR="007A3D36">
        <w:rPr>
          <w:rFonts w:ascii="Times New Roman" w:hAnsi="Times New Roman" w:cs="Times New Roman"/>
          <w:kern w:val="2"/>
          <w:sz w:val="24"/>
          <w:szCs w:val="24"/>
          <w:lang w:val="lt-LT"/>
          <w14:ligatures w14:val="standardContextual"/>
        </w:rPr>
        <w:t xml:space="preserve">. </w:t>
      </w:r>
      <w:r w:rsidR="007A6B3F" w:rsidRPr="00F7414A">
        <w:rPr>
          <w:rFonts w:ascii="Times New Roman" w:hAnsi="Times New Roman" w:cs="Times New Roman"/>
          <w:kern w:val="2"/>
          <w:sz w:val="24"/>
          <w:szCs w:val="24"/>
          <w:lang w:val="lt-LT"/>
          <w14:ligatures w14:val="standardContextual"/>
        </w:rPr>
        <w:t>Šis horizontalus atlyginimo nustatymo būdas</w:t>
      </w:r>
      <w:r w:rsidR="00F30382">
        <w:rPr>
          <w:rFonts w:ascii="Times New Roman" w:hAnsi="Times New Roman" w:cs="Times New Roman"/>
          <w:kern w:val="2"/>
          <w:sz w:val="24"/>
          <w:szCs w:val="24"/>
          <w:lang w:val="lt-LT"/>
          <w14:ligatures w14:val="standardContextual"/>
        </w:rPr>
        <w:t>, išplėstinės teisėjų kolegijos vertinimu,</w:t>
      </w:r>
      <w:r w:rsidR="007A6B3F" w:rsidRPr="00F7414A">
        <w:rPr>
          <w:rFonts w:ascii="Times New Roman" w:hAnsi="Times New Roman" w:cs="Times New Roman"/>
          <w:kern w:val="2"/>
          <w:sz w:val="24"/>
          <w:szCs w:val="24"/>
          <w:lang w:val="lt-LT"/>
          <w14:ligatures w14:val="standardContextual"/>
        </w:rPr>
        <w:t xml:space="preserve"> objektyviai </w:t>
      </w:r>
      <w:r w:rsidR="000F0CA2">
        <w:rPr>
          <w:rFonts w:ascii="Times New Roman" w:hAnsi="Times New Roman" w:cs="Times New Roman"/>
          <w:kern w:val="2"/>
          <w:sz w:val="24"/>
          <w:szCs w:val="24"/>
          <w:lang w:val="lt-LT"/>
          <w14:ligatures w14:val="standardContextual"/>
        </w:rPr>
        <w:t>ap</w:t>
      </w:r>
      <w:r w:rsidR="007A6B3F" w:rsidRPr="00F7414A">
        <w:rPr>
          <w:rFonts w:ascii="Times New Roman" w:hAnsi="Times New Roman" w:cs="Times New Roman"/>
          <w:kern w:val="2"/>
          <w:sz w:val="24"/>
          <w:szCs w:val="24"/>
          <w:lang w:val="lt-LT"/>
          <w14:ligatures w14:val="standardContextual"/>
        </w:rPr>
        <w:t>riboj</w:t>
      </w:r>
      <w:r w:rsidR="000F0CA2">
        <w:rPr>
          <w:rFonts w:ascii="Times New Roman" w:hAnsi="Times New Roman" w:cs="Times New Roman"/>
          <w:kern w:val="2"/>
          <w:sz w:val="24"/>
          <w:szCs w:val="24"/>
          <w:lang w:val="lt-LT"/>
          <w14:ligatures w14:val="standardContextual"/>
        </w:rPr>
        <w:t>o</w:t>
      </w:r>
      <w:r w:rsidR="007A6B3F" w:rsidRPr="00F7414A">
        <w:rPr>
          <w:rFonts w:ascii="Times New Roman" w:hAnsi="Times New Roman" w:cs="Times New Roman"/>
          <w:kern w:val="2"/>
          <w:sz w:val="24"/>
          <w:szCs w:val="24"/>
          <w:lang w:val="lt-LT"/>
          <w14:ligatures w14:val="standardContextual"/>
        </w:rPr>
        <w:t xml:space="preserve"> kiekvieno notaro savarankiškumą </w:t>
      </w:r>
      <w:r w:rsidR="000D5D6D">
        <w:rPr>
          <w:rFonts w:ascii="Times New Roman" w:hAnsi="Times New Roman" w:cs="Times New Roman"/>
          <w:kern w:val="2"/>
          <w:sz w:val="24"/>
          <w:szCs w:val="24"/>
          <w:lang w:val="lt-LT"/>
          <w14:ligatures w14:val="standardContextual"/>
        </w:rPr>
        <w:t xml:space="preserve">turimos </w:t>
      </w:r>
      <w:proofErr w:type="spellStart"/>
      <w:r w:rsidR="000D5D6D">
        <w:rPr>
          <w:rFonts w:ascii="Times New Roman" w:hAnsi="Times New Roman" w:cs="Times New Roman"/>
          <w:kern w:val="2"/>
          <w:sz w:val="24"/>
          <w:szCs w:val="24"/>
          <w:lang w:val="lt-LT"/>
          <w14:ligatures w14:val="standardContextual"/>
        </w:rPr>
        <w:t>diskrecijos</w:t>
      </w:r>
      <w:proofErr w:type="spellEnd"/>
      <w:r w:rsidR="000D5D6D">
        <w:rPr>
          <w:rFonts w:ascii="Times New Roman" w:hAnsi="Times New Roman" w:cs="Times New Roman"/>
          <w:kern w:val="2"/>
          <w:sz w:val="24"/>
          <w:szCs w:val="24"/>
          <w:lang w:val="lt-LT"/>
          <w14:ligatures w14:val="standardContextual"/>
        </w:rPr>
        <w:t xml:space="preserve"> ribose </w:t>
      </w:r>
      <w:r w:rsidR="007A6B3F" w:rsidRPr="00F7414A">
        <w:rPr>
          <w:rFonts w:ascii="Times New Roman" w:hAnsi="Times New Roman" w:cs="Times New Roman"/>
          <w:kern w:val="2"/>
          <w:sz w:val="24"/>
          <w:szCs w:val="24"/>
          <w:lang w:val="lt-LT"/>
          <w14:ligatures w14:val="standardContextual"/>
        </w:rPr>
        <w:t>formuoti individualią kainodarą ir sudar</w:t>
      </w:r>
      <w:r w:rsidR="0059535D">
        <w:rPr>
          <w:rFonts w:ascii="Times New Roman" w:hAnsi="Times New Roman" w:cs="Times New Roman"/>
          <w:kern w:val="2"/>
          <w:sz w:val="24"/>
          <w:szCs w:val="24"/>
          <w:lang w:val="lt-LT"/>
          <w14:ligatures w14:val="standardContextual"/>
        </w:rPr>
        <w:t>ė</w:t>
      </w:r>
      <w:r w:rsidR="007A6B3F" w:rsidRPr="00F7414A">
        <w:rPr>
          <w:rFonts w:ascii="Times New Roman" w:hAnsi="Times New Roman" w:cs="Times New Roman"/>
          <w:kern w:val="2"/>
          <w:sz w:val="24"/>
          <w:szCs w:val="24"/>
          <w:lang w:val="lt-LT"/>
          <w14:ligatures w14:val="standardContextual"/>
        </w:rPr>
        <w:t xml:space="preserve"> prielaidas </w:t>
      </w:r>
      <w:r w:rsidR="00CA547C">
        <w:rPr>
          <w:rFonts w:ascii="Times New Roman" w:hAnsi="Times New Roman" w:cs="Times New Roman"/>
          <w:kern w:val="2"/>
          <w:sz w:val="24"/>
          <w:szCs w:val="24"/>
          <w:lang w:val="lt-LT"/>
          <w14:ligatures w14:val="standardContextual"/>
        </w:rPr>
        <w:t xml:space="preserve">šiuo aspektu </w:t>
      </w:r>
      <w:r w:rsidR="007A6B3F" w:rsidRPr="00F7414A">
        <w:rPr>
          <w:rFonts w:ascii="Times New Roman" w:hAnsi="Times New Roman" w:cs="Times New Roman"/>
          <w:kern w:val="2"/>
          <w:sz w:val="24"/>
          <w:szCs w:val="24"/>
          <w:lang w:val="lt-LT"/>
          <w14:ligatures w14:val="standardContextual"/>
        </w:rPr>
        <w:t>notarams veikti vieningai</w:t>
      </w:r>
      <w:r w:rsidR="00F74D15">
        <w:rPr>
          <w:rFonts w:ascii="Times New Roman" w:hAnsi="Times New Roman" w:cs="Times New Roman"/>
          <w:kern w:val="2"/>
          <w:sz w:val="24"/>
          <w:szCs w:val="24"/>
          <w:lang w:val="lt-LT"/>
          <w14:ligatures w14:val="standardContextual"/>
        </w:rPr>
        <w:t>,</w:t>
      </w:r>
      <w:r w:rsidR="007A6B3F" w:rsidRPr="00F7414A">
        <w:rPr>
          <w:rFonts w:ascii="Times New Roman" w:hAnsi="Times New Roman" w:cs="Times New Roman"/>
          <w:kern w:val="2"/>
          <w:sz w:val="24"/>
          <w:szCs w:val="24"/>
          <w:lang w:val="lt-LT"/>
          <w14:ligatures w14:val="standardContextual"/>
        </w:rPr>
        <w:t xml:space="preserve"> taikant t</w:t>
      </w:r>
      <w:r w:rsidR="00C42724">
        <w:rPr>
          <w:rFonts w:ascii="Times New Roman" w:hAnsi="Times New Roman" w:cs="Times New Roman"/>
          <w:kern w:val="2"/>
          <w:sz w:val="24"/>
          <w:szCs w:val="24"/>
          <w:lang w:val="lt-LT"/>
          <w14:ligatures w14:val="standardContextual"/>
        </w:rPr>
        <w:t xml:space="preserve">okius </w:t>
      </w:r>
      <w:r w:rsidR="007A6B3F" w:rsidRPr="00F7414A">
        <w:rPr>
          <w:rFonts w:ascii="Times New Roman" w:hAnsi="Times New Roman" w:cs="Times New Roman"/>
          <w:kern w:val="2"/>
          <w:sz w:val="24"/>
          <w:szCs w:val="24"/>
          <w:lang w:val="lt-LT"/>
          <w14:ligatures w14:val="standardContextual"/>
        </w:rPr>
        <w:t>pačius įkainius</w:t>
      </w:r>
      <w:r w:rsidR="00C42724">
        <w:rPr>
          <w:rFonts w:ascii="Times New Roman" w:hAnsi="Times New Roman" w:cs="Times New Roman"/>
          <w:kern w:val="2"/>
          <w:sz w:val="24"/>
          <w:szCs w:val="24"/>
          <w:lang w:val="lt-LT"/>
          <w14:ligatures w14:val="standardContextual"/>
        </w:rPr>
        <w:t>. A</w:t>
      </w:r>
      <w:r w:rsidR="00C3777F">
        <w:rPr>
          <w:rFonts w:ascii="Times New Roman" w:hAnsi="Times New Roman" w:cs="Times New Roman"/>
          <w:kern w:val="2"/>
          <w:sz w:val="24"/>
          <w:szCs w:val="24"/>
          <w:lang w:val="lt-LT"/>
          <w14:ligatures w14:val="standardContextual"/>
        </w:rPr>
        <w:t xml:space="preserve">tsižvelgiant į notarų kaip </w:t>
      </w:r>
      <w:r w:rsidR="0059535D">
        <w:rPr>
          <w:rFonts w:ascii="Times New Roman" w:hAnsi="Times New Roman" w:cs="Times New Roman"/>
          <w:kern w:val="2"/>
          <w:sz w:val="24"/>
          <w:szCs w:val="24"/>
          <w:lang w:val="lt-LT"/>
          <w14:ligatures w14:val="standardContextual"/>
        </w:rPr>
        <w:t>„</w:t>
      </w:r>
      <w:r w:rsidR="00C3777F">
        <w:rPr>
          <w:rFonts w:ascii="Times New Roman" w:hAnsi="Times New Roman" w:cs="Times New Roman"/>
          <w:kern w:val="2"/>
          <w:sz w:val="24"/>
          <w:szCs w:val="24"/>
          <w:lang w:val="lt-LT"/>
          <w14:ligatures w14:val="standardContextual"/>
        </w:rPr>
        <w:t>įmonių</w:t>
      </w:r>
      <w:r w:rsidR="0059535D">
        <w:rPr>
          <w:rFonts w:ascii="Times New Roman" w:hAnsi="Times New Roman" w:cs="Times New Roman"/>
          <w:kern w:val="2"/>
          <w:sz w:val="24"/>
          <w:szCs w:val="24"/>
          <w:lang w:val="lt-LT"/>
          <w14:ligatures w14:val="standardContextual"/>
        </w:rPr>
        <w:t>“</w:t>
      </w:r>
      <w:r w:rsidR="00C3777F">
        <w:rPr>
          <w:rFonts w:ascii="Times New Roman" w:hAnsi="Times New Roman" w:cs="Times New Roman"/>
          <w:kern w:val="2"/>
          <w:sz w:val="24"/>
          <w:szCs w:val="24"/>
          <w:lang w:val="lt-LT"/>
          <w14:ligatures w14:val="standardContextual"/>
        </w:rPr>
        <w:t xml:space="preserve"> statusą</w:t>
      </w:r>
      <w:r w:rsidR="007A6B3F" w:rsidRPr="00F7414A">
        <w:rPr>
          <w:rFonts w:ascii="Times New Roman" w:hAnsi="Times New Roman" w:cs="Times New Roman"/>
          <w:kern w:val="2"/>
          <w:sz w:val="24"/>
          <w:szCs w:val="24"/>
          <w:lang w:val="lt-LT"/>
          <w14:ligatures w14:val="standardContextual"/>
        </w:rPr>
        <w:t xml:space="preserve"> SESV 101 straipsnio 1 dal</w:t>
      </w:r>
      <w:r w:rsidR="00C3777F">
        <w:rPr>
          <w:rFonts w:ascii="Times New Roman" w:hAnsi="Times New Roman" w:cs="Times New Roman"/>
          <w:kern w:val="2"/>
          <w:sz w:val="24"/>
          <w:szCs w:val="24"/>
          <w:lang w:val="lt-LT"/>
          <w14:ligatures w14:val="standardContextual"/>
        </w:rPr>
        <w:t xml:space="preserve">ies prasme, </w:t>
      </w:r>
      <w:r w:rsidR="00D42E05">
        <w:rPr>
          <w:rFonts w:ascii="Times New Roman" w:hAnsi="Times New Roman" w:cs="Times New Roman"/>
          <w:kern w:val="2"/>
          <w:sz w:val="24"/>
          <w:szCs w:val="24"/>
          <w:lang w:val="lt-LT"/>
          <w14:ligatures w14:val="standardContextual"/>
        </w:rPr>
        <w:t xml:space="preserve">tai laikytina </w:t>
      </w:r>
      <w:r w:rsidR="000A609B">
        <w:rPr>
          <w:rFonts w:ascii="Times New Roman" w:hAnsi="Times New Roman" w:cs="Times New Roman"/>
          <w:kern w:val="2"/>
          <w:sz w:val="24"/>
          <w:szCs w:val="24"/>
          <w:lang w:val="lt-LT"/>
          <w14:ligatures w14:val="standardContextual"/>
        </w:rPr>
        <w:t xml:space="preserve">minėtoje </w:t>
      </w:r>
      <w:r w:rsidR="00AA5C2F">
        <w:rPr>
          <w:rFonts w:ascii="Times New Roman" w:hAnsi="Times New Roman" w:cs="Times New Roman"/>
          <w:kern w:val="2"/>
          <w:sz w:val="24"/>
          <w:szCs w:val="24"/>
          <w:lang w:val="lt-LT"/>
          <w14:ligatures w14:val="standardContextual"/>
        </w:rPr>
        <w:t xml:space="preserve">nuostatoje </w:t>
      </w:r>
      <w:r w:rsidR="007A6B3F" w:rsidRPr="00F7414A">
        <w:rPr>
          <w:rFonts w:ascii="Times New Roman" w:hAnsi="Times New Roman" w:cs="Times New Roman"/>
          <w:kern w:val="2"/>
          <w:sz w:val="24"/>
          <w:szCs w:val="24"/>
          <w:lang w:val="lt-LT"/>
          <w14:ligatures w14:val="standardContextual"/>
        </w:rPr>
        <w:t>numatyto draudžiamo susitarimo požymi</w:t>
      </w:r>
      <w:r w:rsidR="000A609B">
        <w:rPr>
          <w:rFonts w:ascii="Times New Roman" w:hAnsi="Times New Roman" w:cs="Times New Roman"/>
          <w:kern w:val="2"/>
          <w:sz w:val="24"/>
          <w:szCs w:val="24"/>
          <w:lang w:val="lt-LT"/>
          <w14:ligatures w14:val="standardContextual"/>
        </w:rPr>
        <w:t>u</w:t>
      </w:r>
      <w:r w:rsidR="007A6B3F" w:rsidRPr="00F7414A">
        <w:rPr>
          <w:rFonts w:ascii="Times New Roman" w:hAnsi="Times New Roman" w:cs="Times New Roman"/>
          <w:kern w:val="2"/>
          <w:sz w:val="24"/>
          <w:szCs w:val="24"/>
          <w:lang w:val="lt-LT"/>
          <w14:ligatures w14:val="standardContextual"/>
        </w:rPr>
        <w:t>.</w:t>
      </w:r>
    </w:p>
    <w:p w14:paraId="78EFBBEE" w14:textId="1BF4745B" w:rsidR="00C505C0" w:rsidRPr="00B71343" w:rsidRDefault="00876809" w:rsidP="009D4FC9">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B71343">
        <w:rPr>
          <w:rFonts w:ascii="Times New Roman" w:eastAsia="Times New Roman" w:hAnsi="Times New Roman" w:cs="Times New Roman"/>
          <w:sz w:val="24"/>
          <w:szCs w:val="24"/>
          <w:lang w:val="lt-LT"/>
        </w:rPr>
        <w:t xml:space="preserve"> </w:t>
      </w:r>
      <w:r w:rsidR="00681B20">
        <w:rPr>
          <w:rFonts w:ascii="Times New Roman" w:eastAsia="Times New Roman" w:hAnsi="Times New Roman" w:cs="Times New Roman"/>
          <w:sz w:val="24"/>
          <w:szCs w:val="24"/>
          <w:lang w:val="lt-LT"/>
        </w:rPr>
        <w:t>Šiame kontekste i</w:t>
      </w:r>
      <w:r w:rsidR="00CB7983" w:rsidRPr="00B71343">
        <w:rPr>
          <w:rFonts w:ascii="Times New Roman" w:hAnsi="Times New Roman" w:cs="Times New Roman"/>
          <w:sz w:val="24"/>
          <w:szCs w:val="24"/>
          <w:lang w:val="lt-LT"/>
        </w:rPr>
        <w:t>šplėstinės teisėjų kolegijos manymu,</w:t>
      </w:r>
      <w:r w:rsidR="004A0055" w:rsidRPr="00B71343">
        <w:rPr>
          <w:rFonts w:ascii="Times New Roman" w:hAnsi="Times New Roman" w:cs="Times New Roman"/>
          <w:sz w:val="24"/>
          <w:szCs w:val="24"/>
          <w:lang w:val="lt-LT"/>
        </w:rPr>
        <w:t xml:space="preserve"> </w:t>
      </w:r>
      <w:r w:rsidR="00697488" w:rsidRPr="00B71343">
        <w:rPr>
          <w:rFonts w:ascii="Times New Roman" w:hAnsi="Times New Roman" w:cs="Times New Roman"/>
          <w:sz w:val="24"/>
          <w:szCs w:val="24"/>
          <w:lang w:val="lt-LT"/>
        </w:rPr>
        <w:t>Išaiškinim</w:t>
      </w:r>
      <w:r w:rsidR="00F61080" w:rsidRPr="00B71343">
        <w:rPr>
          <w:rFonts w:ascii="Times New Roman" w:hAnsi="Times New Roman" w:cs="Times New Roman"/>
          <w:sz w:val="24"/>
          <w:szCs w:val="24"/>
          <w:lang w:val="lt-LT"/>
        </w:rPr>
        <w:t>ų vertinimui</w:t>
      </w:r>
      <w:r w:rsidR="00681B20">
        <w:rPr>
          <w:rFonts w:ascii="Times New Roman" w:hAnsi="Times New Roman" w:cs="Times New Roman"/>
          <w:sz w:val="24"/>
          <w:szCs w:val="24"/>
          <w:lang w:val="lt-LT"/>
        </w:rPr>
        <w:t xml:space="preserve"> taip pat</w:t>
      </w:r>
      <w:r w:rsidR="00F61080" w:rsidRPr="00B71343">
        <w:rPr>
          <w:rFonts w:ascii="Times New Roman" w:hAnsi="Times New Roman" w:cs="Times New Roman"/>
          <w:sz w:val="24"/>
          <w:szCs w:val="24"/>
          <w:lang w:val="lt-LT"/>
        </w:rPr>
        <w:t xml:space="preserve"> reikšming</w:t>
      </w:r>
      <w:r w:rsidR="00CB7983" w:rsidRPr="00B71343">
        <w:rPr>
          <w:rFonts w:ascii="Times New Roman" w:hAnsi="Times New Roman" w:cs="Times New Roman"/>
          <w:sz w:val="24"/>
          <w:szCs w:val="24"/>
          <w:lang w:val="lt-LT"/>
        </w:rPr>
        <w:t>as</w:t>
      </w:r>
      <w:r w:rsidR="00F61080" w:rsidRPr="00B71343">
        <w:rPr>
          <w:rFonts w:ascii="Times New Roman" w:hAnsi="Times New Roman" w:cs="Times New Roman"/>
          <w:sz w:val="24"/>
          <w:szCs w:val="24"/>
          <w:lang w:val="lt-LT"/>
        </w:rPr>
        <w:t xml:space="preserve"> n</w:t>
      </w:r>
      <w:r w:rsidR="00697488" w:rsidRPr="00B71343">
        <w:rPr>
          <w:rFonts w:ascii="Times New Roman" w:hAnsi="Times New Roman" w:cs="Times New Roman"/>
          <w:sz w:val="24"/>
          <w:szCs w:val="24"/>
          <w:lang w:val="lt-LT"/>
        </w:rPr>
        <w:t xml:space="preserve">otarinių paslaugų kainodaros </w:t>
      </w:r>
      <w:r w:rsidR="00196977" w:rsidRPr="00B71343">
        <w:rPr>
          <w:rFonts w:ascii="Times New Roman" w:hAnsi="Times New Roman" w:cs="Times New Roman"/>
          <w:sz w:val="24"/>
          <w:szCs w:val="24"/>
          <w:lang w:val="lt-LT"/>
        </w:rPr>
        <w:t xml:space="preserve">teisinio </w:t>
      </w:r>
      <w:r w:rsidR="001D1698" w:rsidRPr="00B71343">
        <w:rPr>
          <w:rFonts w:ascii="Times New Roman" w:hAnsi="Times New Roman" w:cs="Times New Roman"/>
          <w:sz w:val="24"/>
          <w:szCs w:val="24"/>
          <w:lang w:val="lt-LT"/>
        </w:rPr>
        <w:t xml:space="preserve">reguliavimo </w:t>
      </w:r>
      <w:r w:rsidR="00697488" w:rsidRPr="00B71343">
        <w:rPr>
          <w:rFonts w:ascii="Times New Roman" w:hAnsi="Times New Roman" w:cs="Times New Roman"/>
          <w:sz w:val="24"/>
          <w:szCs w:val="24"/>
          <w:lang w:val="lt-LT"/>
        </w:rPr>
        <w:t>as</w:t>
      </w:r>
      <w:r w:rsidR="003D2E36" w:rsidRPr="00B71343">
        <w:rPr>
          <w:rFonts w:ascii="Times New Roman" w:hAnsi="Times New Roman" w:cs="Times New Roman"/>
          <w:sz w:val="24"/>
          <w:szCs w:val="24"/>
          <w:lang w:val="lt-LT"/>
        </w:rPr>
        <w:t>pekt</w:t>
      </w:r>
      <w:r w:rsidR="00CB7983" w:rsidRPr="00B71343">
        <w:rPr>
          <w:rFonts w:ascii="Times New Roman" w:hAnsi="Times New Roman" w:cs="Times New Roman"/>
          <w:sz w:val="24"/>
          <w:szCs w:val="24"/>
          <w:lang w:val="lt-LT"/>
        </w:rPr>
        <w:t xml:space="preserve">as. </w:t>
      </w:r>
    </w:p>
    <w:p w14:paraId="30A30B70" w14:textId="32DFDB91" w:rsidR="004B7910" w:rsidRDefault="00C505C0" w:rsidP="0024117F">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F48F7">
        <w:rPr>
          <w:rFonts w:ascii="Times New Roman" w:hAnsi="Times New Roman" w:cs="Times New Roman"/>
          <w:sz w:val="24"/>
          <w:szCs w:val="24"/>
          <w:lang w:val="lt-LT"/>
        </w:rPr>
        <w:t xml:space="preserve">Pagal </w:t>
      </w:r>
      <w:r w:rsidR="003F2039">
        <w:rPr>
          <w:rFonts w:ascii="Times New Roman" w:hAnsi="Times New Roman" w:cs="Times New Roman"/>
          <w:sz w:val="24"/>
          <w:szCs w:val="24"/>
          <w:lang w:val="lt-LT"/>
        </w:rPr>
        <w:t xml:space="preserve">Notariato </w:t>
      </w:r>
      <w:r w:rsidR="001F48F7">
        <w:rPr>
          <w:rFonts w:ascii="Times New Roman" w:hAnsi="Times New Roman" w:cs="Times New Roman"/>
          <w:sz w:val="24"/>
          <w:szCs w:val="24"/>
          <w:lang w:val="lt-LT"/>
        </w:rPr>
        <w:t>įstatymo 19 straipsnį u</w:t>
      </w:r>
      <w:r w:rsidR="007F2C57" w:rsidRPr="007F2C57">
        <w:rPr>
          <w:rFonts w:ascii="Times New Roman" w:hAnsi="Times New Roman" w:cs="Times New Roman"/>
          <w:sz w:val="24"/>
          <w:szCs w:val="24"/>
          <w:lang w:val="lt-LT"/>
        </w:rPr>
        <w:t>ž notarinių veiksmų atlikimą, sandorių projektų parengimą, konsultacijas ir technines paslaugas notaras ima atlyginimą, kurio dydį (įkainius) nustato Lietuvos Respublikos teisingumo ministras, atsižvelgdamas į šio įstatymo 19</w:t>
      </w:r>
      <w:r w:rsidR="007F2C57" w:rsidRPr="007F2C57">
        <w:rPr>
          <w:rFonts w:ascii="Times New Roman" w:hAnsi="Times New Roman" w:cs="Times New Roman"/>
          <w:sz w:val="24"/>
          <w:szCs w:val="24"/>
          <w:vertAlign w:val="superscript"/>
          <w:lang w:val="lt-LT"/>
        </w:rPr>
        <w:t>1</w:t>
      </w:r>
      <w:r w:rsidR="007F2C57" w:rsidRPr="007F2C57">
        <w:rPr>
          <w:rFonts w:ascii="Times New Roman" w:hAnsi="Times New Roman" w:cs="Times New Roman"/>
          <w:sz w:val="24"/>
          <w:szCs w:val="24"/>
          <w:lang w:val="lt-LT"/>
        </w:rPr>
        <w:t> straipsnyje nurodytus notarų atlyginimo dydžių (įkainių) nustatymo kriterijus ir suderinęs su Lietuvos Respublikos finansų ministru ir Notarų rūmais</w:t>
      </w:r>
      <w:r w:rsidR="003F2039">
        <w:rPr>
          <w:rFonts w:ascii="Times New Roman" w:hAnsi="Times New Roman" w:cs="Times New Roman"/>
          <w:sz w:val="24"/>
          <w:szCs w:val="24"/>
          <w:lang w:val="lt-LT"/>
        </w:rPr>
        <w:t>.</w:t>
      </w:r>
      <w:r w:rsidR="00DD622E">
        <w:rPr>
          <w:rFonts w:ascii="Times New Roman" w:hAnsi="Times New Roman" w:cs="Times New Roman"/>
          <w:sz w:val="24"/>
          <w:szCs w:val="24"/>
          <w:lang w:val="lt-LT"/>
        </w:rPr>
        <w:t xml:space="preserve"> </w:t>
      </w:r>
      <w:r w:rsidR="00C5306B">
        <w:rPr>
          <w:rFonts w:ascii="Times New Roman" w:hAnsi="Times New Roman" w:cs="Times New Roman"/>
          <w:sz w:val="24"/>
          <w:szCs w:val="24"/>
          <w:lang w:val="lt-LT"/>
        </w:rPr>
        <w:t>Pagal tą pačią nuostatą</w:t>
      </w:r>
      <w:r w:rsidR="00C5306B" w:rsidRPr="00C5306B">
        <w:rPr>
          <w:rFonts w:ascii="Times New Roman" w:hAnsi="Times New Roman" w:cs="Times New Roman"/>
          <w:sz w:val="24"/>
          <w:szCs w:val="24"/>
          <w:lang w:val="lt-LT"/>
        </w:rPr>
        <w:t xml:space="preserve"> dėl civilinių ginčų taikinamojo tarpininkavimo (mediacijos) paslaugų kainos ir apmokėjimo tvarkos </w:t>
      </w:r>
      <w:r w:rsidR="00326822">
        <w:rPr>
          <w:rFonts w:ascii="Times New Roman" w:hAnsi="Times New Roman" w:cs="Times New Roman"/>
          <w:sz w:val="24"/>
          <w:szCs w:val="24"/>
          <w:lang w:val="lt-LT"/>
        </w:rPr>
        <w:t xml:space="preserve">notarui leidžiama </w:t>
      </w:r>
      <w:r w:rsidR="00C5306B" w:rsidRPr="00C5306B">
        <w:rPr>
          <w:rFonts w:ascii="Times New Roman" w:hAnsi="Times New Roman" w:cs="Times New Roman"/>
          <w:sz w:val="24"/>
          <w:szCs w:val="24"/>
          <w:lang w:val="lt-LT"/>
        </w:rPr>
        <w:t>susitar</w:t>
      </w:r>
      <w:r w:rsidR="00326822">
        <w:rPr>
          <w:rFonts w:ascii="Times New Roman" w:hAnsi="Times New Roman" w:cs="Times New Roman"/>
          <w:sz w:val="24"/>
          <w:szCs w:val="24"/>
          <w:lang w:val="lt-LT"/>
        </w:rPr>
        <w:t>ti</w:t>
      </w:r>
      <w:r w:rsidR="00C5306B" w:rsidRPr="00C5306B">
        <w:rPr>
          <w:rFonts w:ascii="Times New Roman" w:hAnsi="Times New Roman" w:cs="Times New Roman"/>
          <w:sz w:val="24"/>
          <w:szCs w:val="24"/>
          <w:lang w:val="lt-LT"/>
        </w:rPr>
        <w:t xml:space="preserve"> su klientais, sudar</w:t>
      </w:r>
      <w:r w:rsidR="00326822">
        <w:rPr>
          <w:rFonts w:ascii="Times New Roman" w:hAnsi="Times New Roman" w:cs="Times New Roman"/>
          <w:sz w:val="24"/>
          <w:szCs w:val="24"/>
          <w:lang w:val="lt-LT"/>
        </w:rPr>
        <w:t>ant</w:t>
      </w:r>
      <w:r w:rsidR="00C5306B" w:rsidRPr="00C5306B">
        <w:rPr>
          <w:rFonts w:ascii="Times New Roman" w:hAnsi="Times New Roman" w:cs="Times New Roman"/>
          <w:sz w:val="24"/>
          <w:szCs w:val="24"/>
          <w:lang w:val="lt-LT"/>
        </w:rPr>
        <w:t xml:space="preserve"> sutartį dėl paslaugų teikimo, jeigu įstatymuose nenustatyta kitaip</w:t>
      </w:r>
      <w:r w:rsidR="00326822">
        <w:rPr>
          <w:rFonts w:ascii="Times New Roman" w:hAnsi="Times New Roman" w:cs="Times New Roman"/>
          <w:sz w:val="24"/>
          <w:szCs w:val="24"/>
          <w:lang w:val="lt-LT"/>
        </w:rPr>
        <w:t xml:space="preserve">. Taigi, vadovaudamasis aiškiai įstatymo suteikta kompetencija </w:t>
      </w:r>
      <w:r w:rsidR="00853164">
        <w:rPr>
          <w:rFonts w:ascii="Times New Roman" w:hAnsi="Times New Roman" w:cs="Times New Roman"/>
          <w:sz w:val="24"/>
          <w:szCs w:val="24"/>
          <w:lang w:val="lt-LT"/>
        </w:rPr>
        <w:t>nustat</w:t>
      </w:r>
      <w:r w:rsidR="00211784">
        <w:rPr>
          <w:rFonts w:ascii="Times New Roman" w:hAnsi="Times New Roman" w:cs="Times New Roman"/>
          <w:sz w:val="24"/>
          <w:szCs w:val="24"/>
          <w:lang w:val="lt-LT"/>
        </w:rPr>
        <w:t xml:space="preserve">yti už tam tikras notarines paslaugas imamo atlyginimo dydį, </w:t>
      </w:r>
      <w:r w:rsidR="00533132">
        <w:rPr>
          <w:rFonts w:ascii="Times New Roman" w:hAnsi="Times New Roman" w:cs="Times New Roman"/>
          <w:sz w:val="24"/>
          <w:szCs w:val="24"/>
          <w:lang w:val="lt-LT"/>
        </w:rPr>
        <w:t>t</w:t>
      </w:r>
      <w:r w:rsidR="00326822">
        <w:rPr>
          <w:rFonts w:ascii="Times New Roman" w:hAnsi="Times New Roman" w:cs="Times New Roman"/>
          <w:sz w:val="24"/>
          <w:szCs w:val="24"/>
          <w:lang w:val="lt-LT"/>
        </w:rPr>
        <w:t>eisingumo ministras</w:t>
      </w:r>
      <w:r w:rsidR="00917DC9" w:rsidRPr="00917DC9">
        <w:rPr>
          <w:rFonts w:ascii="Times New Roman" w:hAnsi="Times New Roman" w:cs="Times New Roman"/>
          <w:sz w:val="24"/>
          <w:szCs w:val="24"/>
          <w:lang w:val="lt-LT"/>
        </w:rPr>
        <w:t xml:space="preserve"> </w:t>
      </w:r>
      <w:r w:rsidR="00566629">
        <w:rPr>
          <w:rFonts w:ascii="Times New Roman" w:hAnsi="Times New Roman" w:cs="Times New Roman"/>
          <w:sz w:val="24"/>
          <w:szCs w:val="24"/>
          <w:lang w:val="lt-LT"/>
        </w:rPr>
        <w:t>priėmė Laikinuosius dydžius</w:t>
      </w:r>
      <w:r w:rsidR="00E11C94">
        <w:rPr>
          <w:rFonts w:ascii="Times New Roman" w:hAnsi="Times New Roman" w:cs="Times New Roman"/>
          <w:sz w:val="24"/>
          <w:szCs w:val="24"/>
          <w:lang w:val="lt-LT"/>
        </w:rPr>
        <w:t xml:space="preserve">, kuriuose </w:t>
      </w:r>
      <w:r w:rsidR="009F30BC">
        <w:rPr>
          <w:rFonts w:ascii="Times New Roman" w:hAnsi="Times New Roman" w:cs="Times New Roman"/>
          <w:sz w:val="24"/>
          <w:szCs w:val="24"/>
          <w:lang w:val="lt-LT"/>
        </w:rPr>
        <w:t xml:space="preserve">atlyginimas už notarines paslaugas </w:t>
      </w:r>
      <w:r w:rsidR="00E17AC5">
        <w:rPr>
          <w:rFonts w:ascii="Times New Roman" w:hAnsi="Times New Roman" w:cs="Times New Roman"/>
          <w:sz w:val="24"/>
          <w:szCs w:val="24"/>
          <w:lang w:val="lt-LT"/>
        </w:rPr>
        <w:t>(</w:t>
      </w:r>
      <w:r w:rsidR="00CD1577">
        <w:rPr>
          <w:rFonts w:ascii="Times New Roman" w:hAnsi="Times New Roman" w:cs="Times New Roman"/>
          <w:sz w:val="24"/>
          <w:szCs w:val="24"/>
          <w:lang w:val="lt-LT"/>
        </w:rPr>
        <w:t xml:space="preserve">kiek jos susiję </w:t>
      </w:r>
      <w:r w:rsidR="00471395">
        <w:rPr>
          <w:rFonts w:ascii="Times New Roman" w:hAnsi="Times New Roman" w:cs="Times New Roman"/>
          <w:sz w:val="24"/>
          <w:szCs w:val="24"/>
          <w:lang w:val="lt-LT"/>
        </w:rPr>
        <w:t>su Išaiškinimais</w:t>
      </w:r>
      <w:r w:rsidR="00CD1577">
        <w:rPr>
          <w:rFonts w:ascii="Times New Roman" w:hAnsi="Times New Roman" w:cs="Times New Roman"/>
          <w:sz w:val="24"/>
          <w:szCs w:val="24"/>
          <w:lang w:val="lt-LT"/>
        </w:rPr>
        <w:t>)</w:t>
      </w:r>
      <w:r w:rsidR="000D20D5">
        <w:rPr>
          <w:rFonts w:ascii="Times New Roman" w:hAnsi="Times New Roman" w:cs="Times New Roman"/>
          <w:sz w:val="24"/>
          <w:szCs w:val="24"/>
          <w:lang w:val="lt-LT"/>
        </w:rPr>
        <w:t xml:space="preserve"> buvo</w:t>
      </w:r>
      <w:r w:rsidR="00CD1577">
        <w:rPr>
          <w:rFonts w:ascii="Times New Roman" w:hAnsi="Times New Roman" w:cs="Times New Roman"/>
          <w:sz w:val="24"/>
          <w:szCs w:val="24"/>
          <w:lang w:val="lt-LT"/>
        </w:rPr>
        <w:t xml:space="preserve"> nustatytas</w:t>
      </w:r>
      <w:r w:rsidR="00493BA2">
        <w:rPr>
          <w:rFonts w:ascii="Times New Roman" w:hAnsi="Times New Roman" w:cs="Times New Roman"/>
          <w:sz w:val="24"/>
          <w:szCs w:val="24"/>
          <w:lang w:val="lt-LT"/>
        </w:rPr>
        <w:t xml:space="preserve"> intervalo principu</w:t>
      </w:r>
      <w:r w:rsidR="00566629">
        <w:rPr>
          <w:rFonts w:ascii="Times New Roman" w:hAnsi="Times New Roman" w:cs="Times New Roman"/>
          <w:sz w:val="24"/>
          <w:szCs w:val="24"/>
          <w:lang w:val="lt-LT"/>
        </w:rPr>
        <w:t xml:space="preserve">. </w:t>
      </w:r>
    </w:p>
    <w:p w14:paraId="1C23F6BF" w14:textId="0CF28796" w:rsidR="008F1110" w:rsidRDefault="008F1110" w:rsidP="0024117F">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Vėliau gi </w:t>
      </w:r>
      <w:r w:rsidRPr="00917DC9">
        <w:rPr>
          <w:rFonts w:ascii="Times New Roman" w:hAnsi="Times New Roman" w:cs="Times New Roman"/>
          <w:sz w:val="24"/>
          <w:szCs w:val="24"/>
          <w:lang w:val="lt-LT"/>
        </w:rPr>
        <w:t>Notarų rūmai</w:t>
      </w:r>
      <w:r>
        <w:rPr>
          <w:rFonts w:ascii="Times New Roman" w:hAnsi="Times New Roman" w:cs="Times New Roman"/>
          <w:sz w:val="24"/>
          <w:szCs w:val="24"/>
          <w:lang w:val="lt-LT"/>
        </w:rPr>
        <w:t xml:space="preserve"> priėmė Išaiškinimus, kurie lėmė (ar turėjo lemti) vienodą atlyginimų už tam tikras notarines paslaugas </w:t>
      </w:r>
      <w:r w:rsidR="00D968D3">
        <w:rPr>
          <w:rFonts w:ascii="Times New Roman" w:hAnsi="Times New Roman" w:cs="Times New Roman"/>
          <w:sz w:val="24"/>
          <w:szCs w:val="24"/>
          <w:lang w:val="lt-LT"/>
        </w:rPr>
        <w:t>ap</w:t>
      </w:r>
      <w:r>
        <w:rPr>
          <w:rFonts w:ascii="Times New Roman" w:hAnsi="Times New Roman" w:cs="Times New Roman"/>
          <w:sz w:val="24"/>
          <w:szCs w:val="24"/>
          <w:lang w:val="lt-LT"/>
        </w:rPr>
        <w:t>skaičiavimą visos šalies mastu.</w:t>
      </w:r>
    </w:p>
    <w:p w14:paraId="577FB0BB" w14:textId="0B984BFB" w:rsidR="009A61CA" w:rsidRDefault="004B7910" w:rsidP="0024117F">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7024E">
        <w:rPr>
          <w:rFonts w:ascii="Times New Roman" w:hAnsi="Times New Roman" w:cs="Times New Roman"/>
          <w:sz w:val="24"/>
          <w:szCs w:val="24"/>
          <w:lang w:val="lt-LT"/>
        </w:rPr>
        <w:t xml:space="preserve">Pabrėžtina, kad </w:t>
      </w:r>
      <w:r>
        <w:rPr>
          <w:rFonts w:ascii="Times New Roman" w:hAnsi="Times New Roman" w:cs="Times New Roman"/>
          <w:sz w:val="24"/>
          <w:szCs w:val="24"/>
          <w:lang w:val="lt-LT"/>
        </w:rPr>
        <w:t>Išaiškinimų priėmimo metu</w:t>
      </w:r>
      <w:r w:rsidRPr="004C08C5">
        <w:rPr>
          <w:rFonts w:ascii="Times New Roman" w:hAnsi="Times New Roman" w:cs="Times New Roman"/>
          <w:sz w:val="24"/>
          <w:szCs w:val="24"/>
          <w:lang w:val="lt-LT"/>
        </w:rPr>
        <w:t xml:space="preserve"> </w:t>
      </w:r>
      <w:r>
        <w:rPr>
          <w:rFonts w:ascii="Times New Roman" w:hAnsi="Times New Roman" w:cs="Times New Roman"/>
          <w:sz w:val="24"/>
          <w:szCs w:val="24"/>
          <w:lang w:val="lt-LT"/>
        </w:rPr>
        <w:t>galiojęs teisinis reguliavimas</w:t>
      </w:r>
      <w:r w:rsidR="008A53E2">
        <w:rPr>
          <w:rFonts w:ascii="Times New Roman" w:hAnsi="Times New Roman" w:cs="Times New Roman"/>
          <w:sz w:val="24"/>
          <w:szCs w:val="24"/>
          <w:lang w:val="lt-LT"/>
        </w:rPr>
        <w:t xml:space="preserve"> taip pat</w:t>
      </w:r>
      <w:r w:rsidR="0077024E">
        <w:rPr>
          <w:rFonts w:ascii="Times New Roman" w:hAnsi="Times New Roman" w:cs="Times New Roman"/>
          <w:sz w:val="24"/>
          <w:szCs w:val="24"/>
          <w:lang w:val="lt-LT"/>
        </w:rPr>
        <w:t xml:space="preserve"> nustatė</w:t>
      </w:r>
      <w:r w:rsidR="00AC22F8">
        <w:rPr>
          <w:rFonts w:ascii="Times New Roman" w:hAnsi="Times New Roman" w:cs="Times New Roman"/>
          <w:sz w:val="24"/>
          <w:szCs w:val="24"/>
          <w:lang w:val="lt-LT"/>
        </w:rPr>
        <w:t xml:space="preserve"> aiškią Notarų rūmų</w:t>
      </w:r>
      <w:r w:rsidR="00C6004E">
        <w:rPr>
          <w:rFonts w:ascii="Times New Roman" w:hAnsi="Times New Roman" w:cs="Times New Roman"/>
          <w:sz w:val="24"/>
          <w:szCs w:val="24"/>
          <w:lang w:val="lt-LT"/>
        </w:rPr>
        <w:t xml:space="preserve"> </w:t>
      </w:r>
      <w:r w:rsidR="008A53E2">
        <w:rPr>
          <w:rFonts w:ascii="Times New Roman" w:hAnsi="Times New Roman" w:cs="Times New Roman"/>
          <w:sz w:val="24"/>
          <w:szCs w:val="24"/>
          <w:lang w:val="lt-LT"/>
        </w:rPr>
        <w:t xml:space="preserve">kompetenciją </w:t>
      </w:r>
      <w:r w:rsidR="00C6004E">
        <w:rPr>
          <w:rFonts w:ascii="Times New Roman" w:hAnsi="Times New Roman" w:cs="Times New Roman"/>
          <w:sz w:val="24"/>
          <w:szCs w:val="24"/>
          <w:lang w:val="lt-LT"/>
        </w:rPr>
        <w:t>šioje srityje</w:t>
      </w:r>
      <w:r w:rsidR="008A53E2">
        <w:rPr>
          <w:rFonts w:ascii="Times New Roman" w:hAnsi="Times New Roman" w:cs="Times New Roman"/>
          <w:sz w:val="24"/>
          <w:szCs w:val="24"/>
          <w:lang w:val="lt-LT"/>
        </w:rPr>
        <w:t xml:space="preserve">: </w:t>
      </w:r>
      <w:r w:rsidR="008D3EA2">
        <w:rPr>
          <w:rFonts w:ascii="Times New Roman" w:hAnsi="Times New Roman" w:cs="Times New Roman"/>
          <w:sz w:val="24"/>
          <w:szCs w:val="24"/>
          <w:lang w:val="lt-LT"/>
        </w:rPr>
        <w:t xml:space="preserve">o būtent, </w:t>
      </w:r>
      <w:r w:rsidR="0056468D">
        <w:rPr>
          <w:rFonts w:ascii="Times New Roman" w:hAnsi="Times New Roman" w:cs="Times New Roman"/>
          <w:sz w:val="24"/>
          <w:szCs w:val="24"/>
          <w:lang w:val="lt-LT"/>
        </w:rPr>
        <w:t xml:space="preserve">pagal </w:t>
      </w:r>
      <w:r w:rsidR="00597D38">
        <w:rPr>
          <w:rFonts w:ascii="Times New Roman" w:hAnsi="Times New Roman" w:cs="Times New Roman"/>
          <w:sz w:val="24"/>
          <w:szCs w:val="24"/>
          <w:lang w:val="lt-LT"/>
        </w:rPr>
        <w:t xml:space="preserve">jau minėtą </w:t>
      </w:r>
      <w:r w:rsidR="0056468D">
        <w:rPr>
          <w:rFonts w:ascii="Times New Roman" w:hAnsi="Times New Roman" w:cs="Times New Roman"/>
          <w:sz w:val="24"/>
          <w:szCs w:val="24"/>
          <w:lang w:val="lt-LT"/>
        </w:rPr>
        <w:t>Notariato įstatymo</w:t>
      </w:r>
      <w:r w:rsidR="00597D38">
        <w:rPr>
          <w:rFonts w:ascii="Times New Roman" w:hAnsi="Times New Roman" w:cs="Times New Roman"/>
          <w:sz w:val="24"/>
          <w:szCs w:val="24"/>
          <w:lang w:val="lt-LT"/>
        </w:rPr>
        <w:t xml:space="preserve"> 19 straipsnį</w:t>
      </w:r>
      <w:r w:rsidR="0056468D">
        <w:rPr>
          <w:rFonts w:ascii="Times New Roman" w:hAnsi="Times New Roman" w:cs="Times New Roman"/>
          <w:sz w:val="24"/>
          <w:szCs w:val="24"/>
          <w:lang w:val="lt-LT"/>
        </w:rPr>
        <w:t xml:space="preserve"> </w:t>
      </w:r>
      <w:r w:rsidR="00BB2FD6">
        <w:rPr>
          <w:rFonts w:ascii="Times New Roman" w:hAnsi="Times New Roman" w:cs="Times New Roman"/>
          <w:sz w:val="24"/>
          <w:szCs w:val="24"/>
          <w:lang w:val="lt-LT"/>
        </w:rPr>
        <w:t xml:space="preserve">su Teisingumo ministru </w:t>
      </w:r>
      <w:r w:rsidR="002F5984">
        <w:rPr>
          <w:rFonts w:ascii="Times New Roman" w:hAnsi="Times New Roman" w:cs="Times New Roman"/>
          <w:sz w:val="24"/>
          <w:szCs w:val="24"/>
          <w:lang w:val="lt-LT"/>
        </w:rPr>
        <w:t xml:space="preserve">suderinti </w:t>
      </w:r>
      <w:r w:rsidR="00C55368">
        <w:rPr>
          <w:rFonts w:ascii="Times New Roman" w:hAnsi="Times New Roman" w:cs="Times New Roman"/>
          <w:sz w:val="24"/>
          <w:szCs w:val="24"/>
          <w:lang w:val="lt-LT"/>
        </w:rPr>
        <w:t>šio ministro</w:t>
      </w:r>
      <w:r w:rsidR="004252CF">
        <w:rPr>
          <w:rFonts w:ascii="Times New Roman" w:hAnsi="Times New Roman" w:cs="Times New Roman"/>
          <w:sz w:val="24"/>
          <w:szCs w:val="24"/>
          <w:lang w:val="lt-LT"/>
        </w:rPr>
        <w:t xml:space="preserve"> nustatomą</w:t>
      </w:r>
      <w:r w:rsidR="00A918BC">
        <w:rPr>
          <w:rFonts w:ascii="Times New Roman" w:hAnsi="Times New Roman" w:cs="Times New Roman"/>
          <w:sz w:val="24"/>
          <w:szCs w:val="24"/>
          <w:lang w:val="lt-LT"/>
        </w:rPr>
        <w:t xml:space="preserve"> </w:t>
      </w:r>
      <w:r w:rsidR="008D3EA2">
        <w:rPr>
          <w:rFonts w:ascii="Times New Roman" w:hAnsi="Times New Roman" w:cs="Times New Roman"/>
          <w:sz w:val="24"/>
          <w:szCs w:val="24"/>
          <w:lang w:val="lt-LT"/>
        </w:rPr>
        <w:t xml:space="preserve">notarinių paslaugų </w:t>
      </w:r>
      <w:r w:rsidR="009446E8">
        <w:rPr>
          <w:rFonts w:ascii="Times New Roman" w:hAnsi="Times New Roman" w:cs="Times New Roman"/>
          <w:sz w:val="24"/>
          <w:szCs w:val="24"/>
          <w:lang w:val="lt-LT"/>
        </w:rPr>
        <w:t>atlyginimo dyd</w:t>
      </w:r>
      <w:r w:rsidR="002F5984">
        <w:rPr>
          <w:rFonts w:ascii="Times New Roman" w:hAnsi="Times New Roman" w:cs="Times New Roman"/>
          <w:sz w:val="24"/>
          <w:szCs w:val="24"/>
          <w:lang w:val="lt-LT"/>
        </w:rPr>
        <w:t>į</w:t>
      </w:r>
      <w:r w:rsidR="006F147C">
        <w:rPr>
          <w:rFonts w:ascii="Times New Roman" w:hAnsi="Times New Roman" w:cs="Times New Roman"/>
          <w:sz w:val="24"/>
          <w:szCs w:val="24"/>
          <w:lang w:val="lt-LT"/>
        </w:rPr>
        <w:t>.</w:t>
      </w:r>
      <w:r w:rsidR="004252CF">
        <w:rPr>
          <w:rFonts w:ascii="Times New Roman" w:hAnsi="Times New Roman" w:cs="Times New Roman"/>
          <w:sz w:val="24"/>
          <w:szCs w:val="24"/>
          <w:lang w:val="lt-LT"/>
        </w:rPr>
        <w:t xml:space="preserve"> </w:t>
      </w:r>
      <w:r w:rsidR="002A1483">
        <w:rPr>
          <w:rFonts w:ascii="Times New Roman" w:hAnsi="Times New Roman" w:cs="Times New Roman"/>
          <w:sz w:val="24"/>
          <w:szCs w:val="24"/>
          <w:lang w:val="lt-LT"/>
        </w:rPr>
        <w:t xml:space="preserve">Notariato įstatymo </w:t>
      </w:r>
      <w:r w:rsidR="003F354F">
        <w:rPr>
          <w:rFonts w:ascii="Times New Roman" w:hAnsi="Times New Roman" w:cs="Times New Roman"/>
          <w:sz w:val="24"/>
          <w:szCs w:val="24"/>
          <w:lang w:val="lt-LT"/>
        </w:rPr>
        <w:t>9 straipsnio 5 punktas nustat</w:t>
      </w:r>
      <w:r w:rsidR="00BF256F">
        <w:rPr>
          <w:rFonts w:ascii="Times New Roman" w:hAnsi="Times New Roman" w:cs="Times New Roman"/>
          <w:sz w:val="24"/>
          <w:szCs w:val="24"/>
          <w:lang w:val="lt-LT"/>
        </w:rPr>
        <w:t>ė</w:t>
      </w:r>
      <w:r w:rsidR="00877141" w:rsidRPr="00877141">
        <w:rPr>
          <w:rFonts w:ascii="Times New Roman" w:hAnsi="Times New Roman" w:cs="Times New Roman"/>
          <w:sz w:val="24"/>
          <w:szCs w:val="24"/>
          <w:lang w:val="lt-LT"/>
        </w:rPr>
        <w:t xml:space="preserve">  notarin</w:t>
      </w:r>
      <w:r w:rsidR="00877141">
        <w:rPr>
          <w:rFonts w:ascii="Times New Roman" w:hAnsi="Times New Roman" w:cs="Times New Roman"/>
          <w:sz w:val="24"/>
          <w:szCs w:val="24"/>
          <w:lang w:val="lt-LT"/>
        </w:rPr>
        <w:t>ės</w:t>
      </w:r>
      <w:r w:rsidR="00877141" w:rsidRPr="00877141">
        <w:rPr>
          <w:rFonts w:ascii="Times New Roman" w:hAnsi="Times New Roman" w:cs="Times New Roman"/>
          <w:sz w:val="24"/>
          <w:szCs w:val="24"/>
          <w:lang w:val="lt-LT"/>
        </w:rPr>
        <w:t xml:space="preserve"> praktik</w:t>
      </w:r>
      <w:r w:rsidR="00877141">
        <w:rPr>
          <w:rFonts w:ascii="Times New Roman" w:hAnsi="Times New Roman" w:cs="Times New Roman"/>
          <w:sz w:val="24"/>
          <w:szCs w:val="24"/>
          <w:lang w:val="lt-LT"/>
        </w:rPr>
        <w:t>os vienodinimą kaip Notarų rūmų uždavinį</w:t>
      </w:r>
      <w:r w:rsidR="0022097D">
        <w:rPr>
          <w:rFonts w:ascii="Times New Roman" w:hAnsi="Times New Roman" w:cs="Times New Roman"/>
          <w:sz w:val="24"/>
          <w:szCs w:val="24"/>
          <w:lang w:val="lt-LT"/>
        </w:rPr>
        <w:t>.</w:t>
      </w:r>
      <w:r w:rsidR="00336CEB">
        <w:rPr>
          <w:rFonts w:ascii="Times New Roman" w:hAnsi="Times New Roman" w:cs="Times New Roman"/>
          <w:sz w:val="24"/>
          <w:szCs w:val="24"/>
          <w:lang w:val="lt-LT"/>
        </w:rPr>
        <w:t xml:space="preserve"> </w:t>
      </w:r>
      <w:r w:rsidR="00C4156A">
        <w:rPr>
          <w:rFonts w:ascii="Times New Roman" w:hAnsi="Times New Roman" w:cs="Times New Roman"/>
          <w:sz w:val="24"/>
          <w:szCs w:val="24"/>
          <w:lang w:val="lt-LT"/>
        </w:rPr>
        <w:t>Vis dėlto, n</w:t>
      </w:r>
      <w:r w:rsidR="00336CEB">
        <w:rPr>
          <w:rFonts w:ascii="Times New Roman" w:hAnsi="Times New Roman" w:cs="Times New Roman"/>
          <w:sz w:val="24"/>
          <w:szCs w:val="24"/>
          <w:lang w:val="lt-LT"/>
        </w:rPr>
        <w:t>ei š</w:t>
      </w:r>
      <w:r w:rsidR="007E6D3E">
        <w:rPr>
          <w:rFonts w:ascii="Times New Roman" w:hAnsi="Times New Roman" w:cs="Times New Roman"/>
          <w:sz w:val="24"/>
          <w:szCs w:val="24"/>
          <w:lang w:val="lt-LT"/>
        </w:rPr>
        <w:t>io įstatymo 10 straipsn</w:t>
      </w:r>
      <w:r w:rsidR="00336CEB">
        <w:rPr>
          <w:rFonts w:ascii="Times New Roman" w:hAnsi="Times New Roman" w:cs="Times New Roman"/>
          <w:sz w:val="24"/>
          <w:szCs w:val="24"/>
          <w:lang w:val="lt-LT"/>
        </w:rPr>
        <w:t>yje</w:t>
      </w:r>
      <w:r w:rsidR="007E6D3E">
        <w:rPr>
          <w:rFonts w:ascii="Times New Roman" w:hAnsi="Times New Roman" w:cs="Times New Roman"/>
          <w:sz w:val="24"/>
          <w:szCs w:val="24"/>
          <w:lang w:val="lt-LT"/>
        </w:rPr>
        <w:t xml:space="preserve">, kuriame nustatytos funkcijos, </w:t>
      </w:r>
      <w:r w:rsidR="00797C8D">
        <w:rPr>
          <w:rFonts w:ascii="Times New Roman" w:hAnsi="Times New Roman" w:cs="Times New Roman"/>
          <w:sz w:val="24"/>
          <w:szCs w:val="24"/>
          <w:lang w:val="lt-LT"/>
        </w:rPr>
        <w:t>minėtiems uždaviniams atlikti, nei Statute ar kituose teisės aktuose</w:t>
      </w:r>
      <w:r w:rsidR="00336CEB">
        <w:rPr>
          <w:rFonts w:ascii="Times New Roman" w:hAnsi="Times New Roman" w:cs="Times New Roman"/>
          <w:sz w:val="24"/>
          <w:szCs w:val="24"/>
          <w:lang w:val="lt-LT"/>
        </w:rPr>
        <w:t xml:space="preserve"> nėra numatyta</w:t>
      </w:r>
      <w:r w:rsidR="00B234B0">
        <w:rPr>
          <w:rFonts w:ascii="Times New Roman" w:hAnsi="Times New Roman" w:cs="Times New Roman"/>
          <w:sz w:val="24"/>
          <w:szCs w:val="24"/>
          <w:lang w:val="lt-LT"/>
        </w:rPr>
        <w:t xml:space="preserve"> </w:t>
      </w:r>
      <w:r w:rsidR="007442C6">
        <w:rPr>
          <w:rFonts w:ascii="Times New Roman" w:hAnsi="Times New Roman" w:cs="Times New Roman"/>
          <w:sz w:val="24"/>
          <w:szCs w:val="24"/>
          <w:lang w:val="lt-LT"/>
        </w:rPr>
        <w:t>kit</w:t>
      </w:r>
      <w:r w:rsidR="00597D38">
        <w:rPr>
          <w:rFonts w:ascii="Times New Roman" w:hAnsi="Times New Roman" w:cs="Times New Roman"/>
          <w:sz w:val="24"/>
          <w:szCs w:val="24"/>
          <w:lang w:val="lt-LT"/>
        </w:rPr>
        <w:t>oki</w:t>
      </w:r>
      <w:r w:rsidR="007442C6">
        <w:rPr>
          <w:rFonts w:ascii="Times New Roman" w:hAnsi="Times New Roman" w:cs="Times New Roman"/>
          <w:sz w:val="24"/>
          <w:szCs w:val="24"/>
          <w:lang w:val="lt-LT"/>
        </w:rPr>
        <w:t>a</w:t>
      </w:r>
      <w:r w:rsidR="0056468D">
        <w:rPr>
          <w:rFonts w:ascii="Times New Roman" w:hAnsi="Times New Roman" w:cs="Times New Roman"/>
          <w:sz w:val="24"/>
          <w:szCs w:val="24"/>
          <w:lang w:val="lt-LT"/>
        </w:rPr>
        <w:t xml:space="preserve"> nei </w:t>
      </w:r>
      <w:r w:rsidR="00597D38">
        <w:rPr>
          <w:rFonts w:ascii="Times New Roman" w:hAnsi="Times New Roman" w:cs="Times New Roman"/>
          <w:sz w:val="24"/>
          <w:szCs w:val="24"/>
          <w:lang w:val="lt-LT"/>
        </w:rPr>
        <w:t xml:space="preserve">Notariato įstatymo 19 straipsnyje </w:t>
      </w:r>
      <w:r w:rsidR="00F37E60">
        <w:rPr>
          <w:rFonts w:ascii="Times New Roman" w:hAnsi="Times New Roman" w:cs="Times New Roman"/>
          <w:sz w:val="24"/>
          <w:szCs w:val="24"/>
          <w:lang w:val="lt-LT"/>
        </w:rPr>
        <w:t xml:space="preserve">paminėta </w:t>
      </w:r>
      <w:r w:rsidR="00B234B0">
        <w:rPr>
          <w:rFonts w:ascii="Times New Roman" w:hAnsi="Times New Roman" w:cs="Times New Roman"/>
          <w:sz w:val="24"/>
          <w:szCs w:val="24"/>
          <w:lang w:val="lt-LT"/>
        </w:rPr>
        <w:t xml:space="preserve">Notarų rūmų kompetencija </w:t>
      </w:r>
      <w:r w:rsidR="00D63AD2">
        <w:rPr>
          <w:rFonts w:ascii="Times New Roman" w:hAnsi="Times New Roman" w:cs="Times New Roman"/>
          <w:sz w:val="24"/>
          <w:szCs w:val="24"/>
          <w:lang w:val="lt-LT"/>
        </w:rPr>
        <w:t>notarinių paslaugų atlyginimo reguliavimo srityje</w:t>
      </w:r>
      <w:r w:rsidR="003B56D1">
        <w:rPr>
          <w:rFonts w:ascii="Times New Roman" w:hAnsi="Times New Roman" w:cs="Times New Roman"/>
          <w:sz w:val="24"/>
          <w:szCs w:val="24"/>
          <w:lang w:val="lt-LT"/>
        </w:rPr>
        <w:t>.</w:t>
      </w:r>
      <w:r w:rsidR="00877141" w:rsidRPr="00877141">
        <w:rPr>
          <w:rFonts w:ascii="Times New Roman" w:hAnsi="Times New Roman" w:cs="Times New Roman"/>
          <w:sz w:val="24"/>
          <w:szCs w:val="24"/>
          <w:lang w:val="lt-LT"/>
        </w:rPr>
        <w:t xml:space="preserve"> </w:t>
      </w:r>
    </w:p>
    <w:p w14:paraId="4CBE919D" w14:textId="7C0A87F0" w:rsidR="009A61CA" w:rsidRDefault="009A61CA" w:rsidP="0024117F">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073B54">
        <w:rPr>
          <w:rFonts w:ascii="Times New Roman" w:hAnsi="Times New Roman" w:cs="Times New Roman"/>
          <w:sz w:val="24"/>
          <w:szCs w:val="24"/>
          <w:lang w:val="lt-LT"/>
        </w:rPr>
        <w:t xml:space="preserve">Taigi, </w:t>
      </w:r>
      <w:r w:rsidR="00DA6875">
        <w:rPr>
          <w:rFonts w:ascii="Times New Roman" w:hAnsi="Times New Roman" w:cs="Times New Roman"/>
          <w:sz w:val="24"/>
          <w:szCs w:val="24"/>
          <w:lang w:val="lt-LT"/>
        </w:rPr>
        <w:t xml:space="preserve">nagrinėjamai bylai aktualus reglamentavimas </w:t>
      </w:r>
      <w:r w:rsidR="00F2068B">
        <w:rPr>
          <w:rFonts w:ascii="Times New Roman" w:hAnsi="Times New Roman" w:cs="Times New Roman"/>
          <w:sz w:val="24"/>
          <w:szCs w:val="24"/>
          <w:lang w:val="lt-LT"/>
        </w:rPr>
        <w:t xml:space="preserve">nesuteikia pagrindo išvadai, </w:t>
      </w:r>
      <w:r w:rsidR="00F2068B" w:rsidRPr="00023D4D">
        <w:rPr>
          <w:rFonts w:ascii="Times New Roman" w:hAnsi="Times New Roman" w:cs="Times New Roman"/>
          <w:sz w:val="24"/>
          <w:szCs w:val="24"/>
          <w:lang w:val="lt-LT"/>
        </w:rPr>
        <w:t>kad Notarų</w:t>
      </w:r>
      <w:r w:rsidR="00A23F36" w:rsidRPr="00023D4D">
        <w:rPr>
          <w:rFonts w:ascii="Times New Roman" w:hAnsi="Times New Roman" w:cs="Times New Roman"/>
          <w:sz w:val="24"/>
          <w:szCs w:val="24"/>
          <w:lang w:val="lt-LT"/>
        </w:rPr>
        <w:t xml:space="preserve"> rūm</w:t>
      </w:r>
      <w:r w:rsidR="00023D4D" w:rsidRPr="00023D4D">
        <w:rPr>
          <w:rFonts w:ascii="Times New Roman" w:hAnsi="Times New Roman" w:cs="Times New Roman"/>
          <w:sz w:val="24"/>
          <w:szCs w:val="24"/>
          <w:lang w:val="lt-LT"/>
        </w:rPr>
        <w:t xml:space="preserve">ai, veikdami per savo </w:t>
      </w:r>
      <w:r w:rsidR="0080298A" w:rsidRPr="00023D4D">
        <w:rPr>
          <w:rFonts w:ascii="Times New Roman" w:hAnsi="Times New Roman" w:cs="Times New Roman"/>
          <w:sz w:val="24"/>
          <w:szCs w:val="24"/>
          <w:lang w:val="lt-LT"/>
        </w:rPr>
        <w:t>prezidium</w:t>
      </w:r>
      <w:r w:rsidR="00023D4D" w:rsidRPr="00023D4D">
        <w:rPr>
          <w:rFonts w:ascii="Times New Roman" w:hAnsi="Times New Roman" w:cs="Times New Roman"/>
          <w:sz w:val="24"/>
          <w:szCs w:val="24"/>
          <w:lang w:val="lt-LT"/>
        </w:rPr>
        <w:t>ą,</w:t>
      </w:r>
      <w:r w:rsidR="00A23F36">
        <w:rPr>
          <w:rFonts w:ascii="Times New Roman" w:hAnsi="Times New Roman" w:cs="Times New Roman"/>
          <w:sz w:val="24"/>
          <w:szCs w:val="24"/>
          <w:lang w:val="lt-LT"/>
        </w:rPr>
        <w:t xml:space="preserve"> apskritai turėjo kompetenciją </w:t>
      </w:r>
      <w:r w:rsidR="0086732A">
        <w:rPr>
          <w:rFonts w:ascii="Times New Roman" w:hAnsi="Times New Roman" w:cs="Times New Roman"/>
          <w:sz w:val="24"/>
          <w:szCs w:val="24"/>
          <w:lang w:val="lt-LT"/>
        </w:rPr>
        <w:t xml:space="preserve">savo priimamais nutarimais tiesiogiai ar netiesiogiai </w:t>
      </w:r>
      <w:r w:rsidR="00B570F5">
        <w:rPr>
          <w:rFonts w:ascii="Times New Roman" w:hAnsi="Times New Roman" w:cs="Times New Roman"/>
          <w:sz w:val="24"/>
          <w:szCs w:val="24"/>
          <w:lang w:val="lt-LT"/>
        </w:rPr>
        <w:t xml:space="preserve">reguliuoti </w:t>
      </w:r>
      <w:r w:rsidR="00132D79">
        <w:rPr>
          <w:rFonts w:ascii="Times New Roman" w:hAnsi="Times New Roman" w:cs="Times New Roman"/>
          <w:sz w:val="24"/>
          <w:szCs w:val="24"/>
          <w:lang w:val="lt-LT"/>
        </w:rPr>
        <w:t xml:space="preserve">notarinių paslaugų kainodaros. </w:t>
      </w:r>
      <w:r w:rsidR="006D1923">
        <w:rPr>
          <w:rFonts w:ascii="Times New Roman" w:hAnsi="Times New Roman" w:cs="Times New Roman"/>
          <w:sz w:val="24"/>
          <w:szCs w:val="24"/>
          <w:lang w:val="lt-LT"/>
        </w:rPr>
        <w:t>Išplėstinė teisėjų kolegija</w:t>
      </w:r>
      <w:r w:rsidR="003B08E9">
        <w:rPr>
          <w:rFonts w:ascii="Times New Roman" w:hAnsi="Times New Roman" w:cs="Times New Roman"/>
          <w:sz w:val="24"/>
          <w:szCs w:val="24"/>
          <w:lang w:val="lt-LT"/>
        </w:rPr>
        <w:t xml:space="preserve"> laikosi </w:t>
      </w:r>
      <w:r w:rsidR="003B08E9">
        <w:rPr>
          <w:rFonts w:ascii="Times New Roman" w:hAnsi="Times New Roman" w:cs="Times New Roman"/>
          <w:sz w:val="24"/>
          <w:szCs w:val="24"/>
          <w:lang w:val="lt-LT"/>
        </w:rPr>
        <w:lastRenderedPageBreak/>
        <w:t xml:space="preserve">pozicijos, kad </w:t>
      </w:r>
      <w:r w:rsidR="006644E2">
        <w:rPr>
          <w:rFonts w:ascii="Times New Roman" w:hAnsi="Times New Roman" w:cs="Times New Roman"/>
          <w:sz w:val="24"/>
          <w:szCs w:val="24"/>
          <w:lang w:val="lt-LT"/>
        </w:rPr>
        <w:t xml:space="preserve">tai yra logiška ir pagrįsta, atsižvelgiant </w:t>
      </w:r>
      <w:r w:rsidR="006644E2" w:rsidRPr="000035AB">
        <w:rPr>
          <w:rFonts w:ascii="Times New Roman" w:hAnsi="Times New Roman" w:cs="Times New Roman"/>
          <w:sz w:val="24"/>
          <w:szCs w:val="24"/>
          <w:lang w:val="lt-LT"/>
        </w:rPr>
        <w:t>į Notarų rūmų</w:t>
      </w:r>
      <w:r w:rsidR="00645076" w:rsidRPr="000035AB">
        <w:rPr>
          <w:rFonts w:ascii="Times New Roman" w:hAnsi="Times New Roman" w:cs="Times New Roman"/>
          <w:sz w:val="24"/>
          <w:szCs w:val="24"/>
          <w:lang w:val="lt-LT"/>
        </w:rPr>
        <w:t>,</w:t>
      </w:r>
      <w:r w:rsidR="003C2A9D" w:rsidRPr="000035AB">
        <w:rPr>
          <w:rFonts w:ascii="Times New Roman" w:hAnsi="Times New Roman" w:cs="Times New Roman"/>
          <w:sz w:val="24"/>
          <w:szCs w:val="24"/>
          <w:lang w:val="lt-LT"/>
        </w:rPr>
        <w:t xml:space="preserve"> pirmiausia</w:t>
      </w:r>
      <w:r w:rsidR="00645076" w:rsidRPr="000035AB">
        <w:rPr>
          <w:rFonts w:ascii="Times New Roman" w:hAnsi="Times New Roman" w:cs="Times New Roman"/>
          <w:sz w:val="24"/>
          <w:szCs w:val="24"/>
          <w:lang w:val="lt-LT"/>
        </w:rPr>
        <w:t>,</w:t>
      </w:r>
      <w:r w:rsidR="003C2A9D" w:rsidRPr="000035AB">
        <w:rPr>
          <w:rFonts w:ascii="Times New Roman" w:hAnsi="Times New Roman" w:cs="Times New Roman"/>
          <w:sz w:val="24"/>
          <w:szCs w:val="24"/>
          <w:lang w:val="lt-LT"/>
        </w:rPr>
        <w:t xml:space="preserve"> kaip notarų </w:t>
      </w:r>
      <w:r w:rsidR="0000632C" w:rsidRPr="000035AB">
        <w:rPr>
          <w:rFonts w:ascii="Times New Roman" w:hAnsi="Times New Roman" w:cs="Times New Roman"/>
          <w:sz w:val="24"/>
          <w:szCs w:val="24"/>
          <w:lang w:val="lt-LT"/>
        </w:rPr>
        <w:t>profesijos asmenis vienij</w:t>
      </w:r>
      <w:r w:rsidR="00E125AB" w:rsidRPr="000035AB">
        <w:rPr>
          <w:rFonts w:ascii="Times New Roman" w:hAnsi="Times New Roman" w:cs="Times New Roman"/>
          <w:sz w:val="24"/>
          <w:szCs w:val="24"/>
          <w:lang w:val="lt-LT"/>
        </w:rPr>
        <w:t>ančio</w:t>
      </w:r>
      <w:r w:rsidR="00802D8C" w:rsidRPr="000035AB">
        <w:rPr>
          <w:rFonts w:ascii="Times New Roman" w:hAnsi="Times New Roman" w:cs="Times New Roman"/>
          <w:sz w:val="24"/>
          <w:szCs w:val="24"/>
          <w:lang w:val="lt-LT"/>
        </w:rPr>
        <w:t>s</w:t>
      </w:r>
      <w:r w:rsidR="00E125AB" w:rsidRPr="000035AB">
        <w:rPr>
          <w:rFonts w:ascii="Times New Roman" w:hAnsi="Times New Roman" w:cs="Times New Roman"/>
          <w:sz w:val="24"/>
          <w:szCs w:val="24"/>
          <w:lang w:val="lt-LT"/>
        </w:rPr>
        <w:t xml:space="preserve"> </w:t>
      </w:r>
      <w:r w:rsidR="002A4CA4" w:rsidRPr="000035AB">
        <w:rPr>
          <w:rFonts w:ascii="Times New Roman" w:hAnsi="Times New Roman" w:cs="Times New Roman"/>
          <w:sz w:val="24"/>
          <w:szCs w:val="24"/>
          <w:lang w:val="lt-LT"/>
        </w:rPr>
        <w:t>– taigi, jų interesus ats</w:t>
      </w:r>
      <w:r w:rsidR="0083428B" w:rsidRPr="000035AB">
        <w:rPr>
          <w:rFonts w:ascii="Times New Roman" w:hAnsi="Times New Roman" w:cs="Times New Roman"/>
          <w:sz w:val="24"/>
          <w:szCs w:val="24"/>
          <w:lang w:val="lt-LT"/>
        </w:rPr>
        <w:t>t</w:t>
      </w:r>
      <w:r w:rsidR="002A4CA4" w:rsidRPr="000035AB">
        <w:rPr>
          <w:rFonts w:ascii="Times New Roman" w:hAnsi="Times New Roman" w:cs="Times New Roman"/>
          <w:sz w:val="24"/>
          <w:szCs w:val="24"/>
          <w:lang w:val="lt-LT"/>
        </w:rPr>
        <w:t>ovaujančio</w:t>
      </w:r>
      <w:r w:rsidR="00802D8C" w:rsidRPr="000035AB">
        <w:rPr>
          <w:rFonts w:ascii="Times New Roman" w:hAnsi="Times New Roman" w:cs="Times New Roman"/>
          <w:sz w:val="24"/>
          <w:szCs w:val="24"/>
          <w:lang w:val="lt-LT"/>
        </w:rPr>
        <w:t>s</w:t>
      </w:r>
      <w:r w:rsidR="002A4CA4" w:rsidRPr="000035AB">
        <w:rPr>
          <w:rFonts w:ascii="Times New Roman" w:hAnsi="Times New Roman" w:cs="Times New Roman"/>
          <w:sz w:val="24"/>
          <w:szCs w:val="24"/>
          <w:lang w:val="lt-LT"/>
        </w:rPr>
        <w:t xml:space="preserve"> </w:t>
      </w:r>
      <w:r w:rsidR="0083428B" w:rsidRPr="000035AB">
        <w:rPr>
          <w:rFonts w:ascii="Times New Roman" w:hAnsi="Times New Roman" w:cs="Times New Roman"/>
          <w:sz w:val="24"/>
          <w:szCs w:val="24"/>
          <w:lang w:val="lt-LT"/>
        </w:rPr>
        <w:t>–</w:t>
      </w:r>
      <w:r w:rsidR="002A4CA4" w:rsidRPr="000035AB">
        <w:rPr>
          <w:rFonts w:ascii="Times New Roman" w:hAnsi="Times New Roman" w:cs="Times New Roman"/>
          <w:sz w:val="24"/>
          <w:szCs w:val="24"/>
          <w:lang w:val="lt-LT"/>
        </w:rPr>
        <w:t xml:space="preserve"> </w:t>
      </w:r>
      <w:r w:rsidR="00E125AB" w:rsidRPr="000035AB">
        <w:rPr>
          <w:rFonts w:ascii="Times New Roman" w:hAnsi="Times New Roman" w:cs="Times New Roman"/>
          <w:sz w:val="24"/>
          <w:szCs w:val="24"/>
          <w:lang w:val="lt-LT"/>
        </w:rPr>
        <w:t>savivaldos</w:t>
      </w:r>
      <w:r w:rsidR="000035AB" w:rsidRPr="000035AB">
        <w:rPr>
          <w:rFonts w:ascii="Times New Roman" w:hAnsi="Times New Roman" w:cs="Times New Roman"/>
          <w:sz w:val="24"/>
          <w:szCs w:val="24"/>
          <w:lang w:val="lt-LT"/>
        </w:rPr>
        <w:t xml:space="preserve"> institucijos</w:t>
      </w:r>
      <w:r w:rsidR="00645076" w:rsidRPr="000035AB">
        <w:rPr>
          <w:rFonts w:ascii="Times New Roman" w:hAnsi="Times New Roman" w:cs="Times New Roman"/>
          <w:sz w:val="24"/>
          <w:szCs w:val="24"/>
          <w:lang w:val="lt-LT"/>
        </w:rPr>
        <w:t>,</w:t>
      </w:r>
      <w:r w:rsidR="00713F3B" w:rsidRPr="000035AB">
        <w:rPr>
          <w:rFonts w:ascii="Times New Roman" w:hAnsi="Times New Roman" w:cs="Times New Roman"/>
          <w:sz w:val="24"/>
          <w:szCs w:val="24"/>
          <w:lang w:val="lt-LT"/>
        </w:rPr>
        <w:t xml:space="preserve"> ypatybes</w:t>
      </w:r>
      <w:r w:rsidR="00556F36" w:rsidRPr="000035AB">
        <w:rPr>
          <w:rFonts w:ascii="Times New Roman" w:hAnsi="Times New Roman" w:cs="Times New Roman"/>
          <w:sz w:val="24"/>
          <w:szCs w:val="24"/>
          <w:lang w:val="lt-LT"/>
        </w:rPr>
        <w:t xml:space="preserve">. </w:t>
      </w:r>
    </w:p>
    <w:p w14:paraId="3EF0ADC8" w14:textId="26FC7809" w:rsidR="006F147C" w:rsidRDefault="00EA05F3" w:rsidP="0024117F">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Šiame kontekste</w:t>
      </w:r>
      <w:r w:rsidR="00B178CD">
        <w:rPr>
          <w:rFonts w:ascii="Times New Roman" w:hAnsi="Times New Roman" w:cs="Times New Roman"/>
          <w:sz w:val="24"/>
          <w:szCs w:val="24"/>
          <w:lang w:val="lt-LT"/>
        </w:rPr>
        <w:t xml:space="preserve"> atkreiptinas dėmesys į</w:t>
      </w:r>
      <w:r w:rsidR="00710AA8">
        <w:rPr>
          <w:rFonts w:ascii="Times New Roman" w:hAnsi="Times New Roman" w:cs="Times New Roman"/>
          <w:sz w:val="24"/>
          <w:szCs w:val="24"/>
          <w:lang w:val="lt-LT"/>
        </w:rPr>
        <w:t xml:space="preserve"> pareiškėjų argumentą</w:t>
      </w:r>
      <w:r w:rsidR="00353888">
        <w:rPr>
          <w:rFonts w:ascii="Times New Roman" w:hAnsi="Times New Roman" w:cs="Times New Roman"/>
          <w:sz w:val="24"/>
          <w:szCs w:val="24"/>
          <w:lang w:val="lt-LT"/>
        </w:rPr>
        <w:t xml:space="preserve"> dėl Išaiškinim</w:t>
      </w:r>
      <w:r w:rsidR="00E36C31">
        <w:rPr>
          <w:rFonts w:ascii="Times New Roman" w:hAnsi="Times New Roman" w:cs="Times New Roman"/>
          <w:sz w:val="24"/>
          <w:szCs w:val="24"/>
          <w:lang w:val="lt-LT"/>
        </w:rPr>
        <w:t xml:space="preserve">ais siektų </w:t>
      </w:r>
      <w:r w:rsidR="00353888">
        <w:rPr>
          <w:rFonts w:ascii="Times New Roman" w:hAnsi="Times New Roman" w:cs="Times New Roman"/>
          <w:sz w:val="24"/>
          <w:szCs w:val="24"/>
          <w:lang w:val="lt-LT"/>
        </w:rPr>
        <w:t>tikslų, t. y., kad jais buvo siekiama</w:t>
      </w:r>
      <w:r w:rsidR="00E36C31">
        <w:rPr>
          <w:rFonts w:ascii="Times New Roman" w:hAnsi="Times New Roman" w:cs="Times New Roman"/>
          <w:sz w:val="24"/>
          <w:szCs w:val="24"/>
          <w:lang w:val="lt-LT"/>
        </w:rPr>
        <w:t xml:space="preserve"> </w:t>
      </w:r>
      <w:r w:rsidR="00427199">
        <w:rPr>
          <w:rFonts w:ascii="Times New Roman" w:hAnsi="Times New Roman" w:cs="Times New Roman"/>
          <w:sz w:val="24"/>
          <w:szCs w:val="24"/>
          <w:lang w:val="lt-LT"/>
        </w:rPr>
        <w:t xml:space="preserve">užtikrinti </w:t>
      </w:r>
      <w:r w:rsidR="00E36C31" w:rsidRPr="00E36C31">
        <w:rPr>
          <w:rFonts w:ascii="Times New Roman" w:hAnsi="Times New Roman" w:cs="Times New Roman"/>
          <w:sz w:val="24"/>
          <w:szCs w:val="24"/>
          <w:lang w:val="lt-LT"/>
        </w:rPr>
        <w:t>lygiateisiškumo ir proporcingumo principų laikymąsi ir apsaugoti notarus nuo nepagrįstos civilinės atsakomybės, suvienodinant notarų praktiką ir panaikinant teisinio reguliavimo spragą</w:t>
      </w:r>
      <w:r w:rsidR="00B178CD">
        <w:rPr>
          <w:rFonts w:ascii="Times New Roman" w:hAnsi="Times New Roman" w:cs="Times New Roman"/>
          <w:sz w:val="24"/>
          <w:szCs w:val="24"/>
          <w:lang w:val="lt-LT"/>
        </w:rPr>
        <w:t>. Šiuo aspektu išplėstinė teisėjų kolegija</w:t>
      </w:r>
      <w:r w:rsidR="00C649B0">
        <w:rPr>
          <w:rFonts w:ascii="Times New Roman" w:hAnsi="Times New Roman" w:cs="Times New Roman"/>
          <w:sz w:val="24"/>
          <w:szCs w:val="24"/>
          <w:lang w:val="lt-LT"/>
        </w:rPr>
        <w:t xml:space="preserve"> </w:t>
      </w:r>
      <w:r w:rsidR="00074061">
        <w:rPr>
          <w:rFonts w:ascii="Times New Roman" w:hAnsi="Times New Roman" w:cs="Times New Roman"/>
          <w:sz w:val="24"/>
          <w:szCs w:val="24"/>
          <w:lang w:val="lt-LT"/>
        </w:rPr>
        <w:t>laikosi pozicijos</w:t>
      </w:r>
      <w:r w:rsidR="00CA1595">
        <w:rPr>
          <w:rFonts w:ascii="Times New Roman" w:hAnsi="Times New Roman" w:cs="Times New Roman"/>
          <w:sz w:val="24"/>
          <w:szCs w:val="24"/>
          <w:lang w:val="lt-LT"/>
        </w:rPr>
        <w:t xml:space="preserve">, kad </w:t>
      </w:r>
      <w:r w:rsidR="00F01CDB">
        <w:rPr>
          <w:rFonts w:ascii="Times New Roman" w:hAnsi="Times New Roman" w:cs="Times New Roman"/>
          <w:sz w:val="24"/>
          <w:szCs w:val="24"/>
          <w:lang w:val="lt-LT"/>
        </w:rPr>
        <w:t>Notariato įstatymo 9 straipsnio 5 punkte nustatytas</w:t>
      </w:r>
      <w:r w:rsidR="00F01CDB" w:rsidRPr="00877141">
        <w:rPr>
          <w:rFonts w:ascii="Times New Roman" w:hAnsi="Times New Roman" w:cs="Times New Roman"/>
          <w:sz w:val="24"/>
          <w:szCs w:val="24"/>
          <w:lang w:val="lt-LT"/>
        </w:rPr>
        <w:t xml:space="preserve"> notarin</w:t>
      </w:r>
      <w:r w:rsidR="00F01CDB">
        <w:rPr>
          <w:rFonts w:ascii="Times New Roman" w:hAnsi="Times New Roman" w:cs="Times New Roman"/>
          <w:sz w:val="24"/>
          <w:szCs w:val="24"/>
          <w:lang w:val="lt-LT"/>
        </w:rPr>
        <w:t>ės</w:t>
      </w:r>
      <w:r w:rsidR="00F01CDB" w:rsidRPr="00877141">
        <w:rPr>
          <w:rFonts w:ascii="Times New Roman" w:hAnsi="Times New Roman" w:cs="Times New Roman"/>
          <w:sz w:val="24"/>
          <w:szCs w:val="24"/>
          <w:lang w:val="lt-LT"/>
        </w:rPr>
        <w:t xml:space="preserve"> praktik</w:t>
      </w:r>
      <w:r w:rsidR="00F01CDB">
        <w:rPr>
          <w:rFonts w:ascii="Times New Roman" w:hAnsi="Times New Roman" w:cs="Times New Roman"/>
          <w:sz w:val="24"/>
          <w:szCs w:val="24"/>
          <w:lang w:val="lt-LT"/>
        </w:rPr>
        <w:t xml:space="preserve">os vienodinimo uždavinys </w:t>
      </w:r>
      <w:r w:rsidR="002648DD">
        <w:rPr>
          <w:rFonts w:ascii="Times New Roman" w:hAnsi="Times New Roman" w:cs="Times New Roman"/>
          <w:sz w:val="24"/>
          <w:szCs w:val="24"/>
          <w:lang w:val="lt-LT"/>
        </w:rPr>
        <w:t xml:space="preserve">nagrinėjamame kontekste turėtų būti skaitomas sistemiškai su </w:t>
      </w:r>
      <w:r w:rsidR="00807089">
        <w:rPr>
          <w:rFonts w:ascii="Times New Roman" w:hAnsi="Times New Roman" w:cs="Times New Roman"/>
          <w:sz w:val="24"/>
          <w:szCs w:val="24"/>
          <w:lang w:val="lt-LT"/>
        </w:rPr>
        <w:t>šio</w:t>
      </w:r>
      <w:r w:rsidR="00CA1595">
        <w:rPr>
          <w:rFonts w:ascii="Times New Roman" w:hAnsi="Times New Roman" w:cs="Times New Roman"/>
          <w:sz w:val="24"/>
          <w:szCs w:val="24"/>
          <w:lang w:val="lt-LT"/>
        </w:rPr>
        <w:t xml:space="preserve"> įstatymo 10 straipsnio </w:t>
      </w:r>
      <w:r w:rsidR="0083214D">
        <w:rPr>
          <w:rFonts w:ascii="Times New Roman" w:hAnsi="Times New Roman" w:cs="Times New Roman"/>
          <w:sz w:val="24"/>
          <w:szCs w:val="24"/>
          <w:lang w:val="lt-LT"/>
        </w:rPr>
        <w:t>3 punkt</w:t>
      </w:r>
      <w:r w:rsidR="00807089">
        <w:rPr>
          <w:rFonts w:ascii="Times New Roman" w:hAnsi="Times New Roman" w:cs="Times New Roman"/>
          <w:sz w:val="24"/>
          <w:szCs w:val="24"/>
          <w:lang w:val="lt-LT"/>
        </w:rPr>
        <w:t xml:space="preserve">u, pagal kurį </w:t>
      </w:r>
      <w:r w:rsidR="0083214D">
        <w:rPr>
          <w:rFonts w:ascii="Times New Roman" w:hAnsi="Times New Roman" w:cs="Times New Roman"/>
          <w:sz w:val="24"/>
          <w:szCs w:val="24"/>
          <w:lang w:val="lt-LT"/>
        </w:rPr>
        <w:t>Notarų rūmams suteik</w:t>
      </w:r>
      <w:r w:rsidR="00807089">
        <w:rPr>
          <w:rFonts w:ascii="Times New Roman" w:hAnsi="Times New Roman" w:cs="Times New Roman"/>
          <w:sz w:val="24"/>
          <w:szCs w:val="24"/>
          <w:lang w:val="lt-LT"/>
        </w:rPr>
        <w:t>ta</w:t>
      </w:r>
      <w:r w:rsidR="0083214D">
        <w:rPr>
          <w:rFonts w:ascii="Times New Roman" w:hAnsi="Times New Roman" w:cs="Times New Roman"/>
          <w:sz w:val="24"/>
          <w:szCs w:val="24"/>
          <w:lang w:val="lt-LT"/>
        </w:rPr>
        <w:t xml:space="preserve"> aiški kompetencij</w:t>
      </w:r>
      <w:r w:rsidR="00807089">
        <w:rPr>
          <w:rFonts w:ascii="Times New Roman" w:hAnsi="Times New Roman" w:cs="Times New Roman"/>
          <w:sz w:val="24"/>
          <w:szCs w:val="24"/>
          <w:lang w:val="lt-LT"/>
        </w:rPr>
        <w:t>a</w:t>
      </w:r>
      <w:r w:rsidR="0083214D">
        <w:rPr>
          <w:rFonts w:ascii="Times New Roman" w:hAnsi="Times New Roman" w:cs="Times New Roman"/>
          <w:sz w:val="24"/>
          <w:szCs w:val="24"/>
          <w:lang w:val="lt-LT"/>
        </w:rPr>
        <w:t xml:space="preserve"> </w:t>
      </w:r>
      <w:r w:rsidR="00F219CD" w:rsidRPr="00F219CD">
        <w:rPr>
          <w:rFonts w:ascii="Times New Roman" w:hAnsi="Times New Roman" w:cs="Times New Roman"/>
          <w:sz w:val="24"/>
          <w:szCs w:val="24"/>
          <w:lang w:val="lt-LT"/>
        </w:rPr>
        <w:t>teik</w:t>
      </w:r>
      <w:r w:rsidR="0083214D">
        <w:rPr>
          <w:rFonts w:ascii="Times New Roman" w:hAnsi="Times New Roman" w:cs="Times New Roman"/>
          <w:sz w:val="24"/>
          <w:szCs w:val="24"/>
          <w:lang w:val="lt-LT"/>
        </w:rPr>
        <w:t>ti</w:t>
      </w:r>
      <w:r w:rsidR="00F219CD" w:rsidRPr="00F219CD">
        <w:rPr>
          <w:rFonts w:ascii="Times New Roman" w:hAnsi="Times New Roman" w:cs="Times New Roman"/>
          <w:sz w:val="24"/>
          <w:szCs w:val="24"/>
          <w:lang w:val="lt-LT"/>
        </w:rPr>
        <w:t xml:space="preserve"> pasiūlymus aukštesnėms instancijoms notarų veiklos klausimais</w:t>
      </w:r>
      <w:r w:rsidR="0060006A">
        <w:rPr>
          <w:rFonts w:ascii="Times New Roman" w:hAnsi="Times New Roman" w:cs="Times New Roman"/>
          <w:sz w:val="24"/>
          <w:szCs w:val="24"/>
          <w:lang w:val="lt-LT"/>
        </w:rPr>
        <w:t xml:space="preserve">. </w:t>
      </w:r>
      <w:r w:rsidR="0057689E">
        <w:rPr>
          <w:rFonts w:ascii="Times New Roman" w:hAnsi="Times New Roman" w:cs="Times New Roman"/>
          <w:sz w:val="24"/>
          <w:szCs w:val="24"/>
          <w:lang w:val="lt-LT"/>
        </w:rPr>
        <w:t>T</w:t>
      </w:r>
      <w:r w:rsidR="0060006A">
        <w:rPr>
          <w:rFonts w:ascii="Times New Roman" w:hAnsi="Times New Roman" w:cs="Times New Roman"/>
          <w:sz w:val="24"/>
          <w:szCs w:val="24"/>
          <w:lang w:val="lt-LT"/>
        </w:rPr>
        <w:t>aigi</w:t>
      </w:r>
      <w:r w:rsidR="009A61CA">
        <w:rPr>
          <w:rFonts w:ascii="Times New Roman" w:hAnsi="Times New Roman" w:cs="Times New Roman"/>
          <w:sz w:val="24"/>
          <w:szCs w:val="24"/>
          <w:lang w:val="lt-LT"/>
        </w:rPr>
        <w:t>,</w:t>
      </w:r>
      <w:r w:rsidR="009245A5" w:rsidRPr="009245A5">
        <w:rPr>
          <w:rFonts w:ascii="Times New Roman" w:hAnsi="Times New Roman" w:cs="Times New Roman"/>
          <w:sz w:val="24"/>
          <w:szCs w:val="24"/>
          <w:lang w:val="lt-LT"/>
        </w:rPr>
        <w:t xml:space="preserve"> man</w:t>
      </w:r>
      <w:r w:rsidR="00D64A5C">
        <w:rPr>
          <w:rFonts w:ascii="Times New Roman" w:hAnsi="Times New Roman" w:cs="Times New Roman"/>
          <w:sz w:val="24"/>
          <w:szCs w:val="24"/>
          <w:lang w:val="lt-LT"/>
        </w:rPr>
        <w:t>ant</w:t>
      </w:r>
      <w:r w:rsidR="009245A5" w:rsidRPr="009245A5">
        <w:rPr>
          <w:rFonts w:ascii="Times New Roman" w:hAnsi="Times New Roman" w:cs="Times New Roman"/>
          <w:sz w:val="24"/>
          <w:szCs w:val="24"/>
          <w:lang w:val="lt-LT"/>
        </w:rPr>
        <w:t xml:space="preserve">, kad Laikinuosiuose dydžiuose egzistuoja teisės spraga arba reikia nustatyti </w:t>
      </w:r>
      <w:r w:rsidR="000A4880" w:rsidRPr="009245A5">
        <w:rPr>
          <w:rFonts w:ascii="Times New Roman" w:hAnsi="Times New Roman" w:cs="Times New Roman"/>
          <w:sz w:val="24"/>
          <w:szCs w:val="24"/>
          <w:lang w:val="lt-LT"/>
        </w:rPr>
        <w:t>tam tikr</w:t>
      </w:r>
      <w:r w:rsidR="000A4880">
        <w:rPr>
          <w:rFonts w:ascii="Times New Roman" w:hAnsi="Times New Roman" w:cs="Times New Roman"/>
          <w:sz w:val="24"/>
          <w:szCs w:val="24"/>
          <w:lang w:val="lt-LT"/>
        </w:rPr>
        <w:t>iems</w:t>
      </w:r>
      <w:r w:rsidR="000A4880" w:rsidRPr="009245A5">
        <w:rPr>
          <w:rFonts w:ascii="Times New Roman" w:hAnsi="Times New Roman" w:cs="Times New Roman"/>
          <w:sz w:val="24"/>
          <w:szCs w:val="24"/>
          <w:lang w:val="lt-LT"/>
        </w:rPr>
        <w:t xml:space="preserve"> atveja</w:t>
      </w:r>
      <w:r w:rsidR="000A4880">
        <w:rPr>
          <w:rFonts w:ascii="Times New Roman" w:hAnsi="Times New Roman" w:cs="Times New Roman"/>
          <w:sz w:val="24"/>
          <w:szCs w:val="24"/>
          <w:lang w:val="lt-LT"/>
        </w:rPr>
        <w:t>m</w:t>
      </w:r>
      <w:r w:rsidR="000A4880" w:rsidRPr="009245A5">
        <w:rPr>
          <w:rFonts w:ascii="Times New Roman" w:hAnsi="Times New Roman" w:cs="Times New Roman"/>
          <w:sz w:val="24"/>
          <w:szCs w:val="24"/>
          <w:lang w:val="lt-LT"/>
        </w:rPr>
        <w:t xml:space="preserve">s </w:t>
      </w:r>
      <w:r w:rsidR="000A4880">
        <w:rPr>
          <w:rFonts w:ascii="Times New Roman" w:hAnsi="Times New Roman" w:cs="Times New Roman"/>
          <w:sz w:val="24"/>
          <w:szCs w:val="24"/>
          <w:lang w:val="lt-LT"/>
        </w:rPr>
        <w:t xml:space="preserve">taikytiną </w:t>
      </w:r>
      <w:r w:rsidR="009245A5" w:rsidRPr="009245A5">
        <w:rPr>
          <w:rFonts w:ascii="Times New Roman" w:hAnsi="Times New Roman" w:cs="Times New Roman"/>
          <w:sz w:val="24"/>
          <w:szCs w:val="24"/>
          <w:lang w:val="lt-LT"/>
        </w:rPr>
        <w:t>aiškesn</w:t>
      </w:r>
      <w:r w:rsidR="000A4880">
        <w:rPr>
          <w:rFonts w:ascii="Times New Roman" w:hAnsi="Times New Roman" w:cs="Times New Roman"/>
          <w:sz w:val="24"/>
          <w:szCs w:val="24"/>
          <w:lang w:val="lt-LT"/>
        </w:rPr>
        <w:t>ę</w:t>
      </w:r>
      <w:r w:rsidR="009245A5" w:rsidRPr="009245A5">
        <w:rPr>
          <w:rFonts w:ascii="Times New Roman" w:hAnsi="Times New Roman" w:cs="Times New Roman"/>
          <w:sz w:val="24"/>
          <w:szCs w:val="24"/>
          <w:lang w:val="lt-LT"/>
        </w:rPr>
        <w:t xml:space="preserve"> notarinių paslaugų atlyginimo </w:t>
      </w:r>
      <w:r w:rsidR="000A4880">
        <w:rPr>
          <w:rFonts w:ascii="Times New Roman" w:hAnsi="Times New Roman" w:cs="Times New Roman"/>
          <w:sz w:val="24"/>
          <w:szCs w:val="24"/>
          <w:lang w:val="lt-LT"/>
        </w:rPr>
        <w:t>paskaičiavimo metodiką</w:t>
      </w:r>
      <w:r w:rsidR="009245A5" w:rsidRPr="009245A5">
        <w:rPr>
          <w:rFonts w:ascii="Times New Roman" w:hAnsi="Times New Roman" w:cs="Times New Roman"/>
          <w:sz w:val="24"/>
          <w:szCs w:val="24"/>
          <w:lang w:val="lt-LT"/>
        </w:rPr>
        <w:t xml:space="preserve">, </w:t>
      </w:r>
      <w:r w:rsidR="007F3C66">
        <w:rPr>
          <w:rFonts w:ascii="Times New Roman" w:hAnsi="Times New Roman" w:cs="Times New Roman"/>
          <w:sz w:val="24"/>
          <w:szCs w:val="24"/>
          <w:lang w:val="lt-LT"/>
        </w:rPr>
        <w:t xml:space="preserve">pagal aptartą teisinį reguliavimą </w:t>
      </w:r>
      <w:r w:rsidR="005519A8" w:rsidRPr="009245A5">
        <w:rPr>
          <w:rFonts w:ascii="Times New Roman" w:hAnsi="Times New Roman" w:cs="Times New Roman"/>
          <w:sz w:val="24"/>
          <w:szCs w:val="24"/>
          <w:lang w:val="lt-LT"/>
        </w:rPr>
        <w:t>Notarų rūma</w:t>
      </w:r>
      <w:r w:rsidR="00466434">
        <w:rPr>
          <w:rFonts w:ascii="Times New Roman" w:hAnsi="Times New Roman" w:cs="Times New Roman"/>
          <w:sz w:val="24"/>
          <w:szCs w:val="24"/>
          <w:lang w:val="lt-LT"/>
        </w:rPr>
        <w:t xml:space="preserve">i turėtų </w:t>
      </w:r>
      <w:r w:rsidR="009245A5" w:rsidRPr="009245A5">
        <w:rPr>
          <w:rFonts w:ascii="Times New Roman" w:hAnsi="Times New Roman" w:cs="Times New Roman"/>
          <w:sz w:val="24"/>
          <w:szCs w:val="24"/>
          <w:lang w:val="lt-LT"/>
        </w:rPr>
        <w:t>kreiptis į Teisingumo ministrą, siūl</w:t>
      </w:r>
      <w:r w:rsidR="00466434">
        <w:rPr>
          <w:rFonts w:ascii="Times New Roman" w:hAnsi="Times New Roman" w:cs="Times New Roman"/>
          <w:sz w:val="24"/>
          <w:szCs w:val="24"/>
          <w:lang w:val="lt-LT"/>
        </w:rPr>
        <w:t>ydami</w:t>
      </w:r>
      <w:r w:rsidR="0095219F">
        <w:rPr>
          <w:rFonts w:ascii="Times New Roman" w:hAnsi="Times New Roman" w:cs="Times New Roman"/>
          <w:sz w:val="24"/>
          <w:szCs w:val="24"/>
          <w:lang w:val="lt-LT"/>
        </w:rPr>
        <w:t xml:space="preserve"> </w:t>
      </w:r>
      <w:r w:rsidR="009245A5" w:rsidRPr="009245A5">
        <w:rPr>
          <w:rFonts w:ascii="Times New Roman" w:hAnsi="Times New Roman" w:cs="Times New Roman"/>
          <w:sz w:val="24"/>
          <w:szCs w:val="24"/>
          <w:lang w:val="lt-LT"/>
        </w:rPr>
        <w:t xml:space="preserve">atitinkamus </w:t>
      </w:r>
      <w:r w:rsidR="00C85CC6">
        <w:rPr>
          <w:rFonts w:ascii="Times New Roman" w:hAnsi="Times New Roman" w:cs="Times New Roman"/>
          <w:sz w:val="24"/>
          <w:szCs w:val="24"/>
          <w:lang w:val="lt-LT"/>
        </w:rPr>
        <w:t xml:space="preserve">Laikinųjų dydžių </w:t>
      </w:r>
      <w:r w:rsidR="009245A5" w:rsidRPr="009245A5">
        <w:rPr>
          <w:rFonts w:ascii="Times New Roman" w:hAnsi="Times New Roman" w:cs="Times New Roman"/>
          <w:sz w:val="24"/>
          <w:szCs w:val="24"/>
          <w:lang w:val="lt-LT"/>
        </w:rPr>
        <w:t xml:space="preserve">pakeitimus. </w:t>
      </w:r>
      <w:r w:rsidR="007C7EC2">
        <w:rPr>
          <w:rFonts w:ascii="Times New Roman" w:hAnsi="Times New Roman" w:cs="Times New Roman"/>
          <w:sz w:val="24"/>
          <w:szCs w:val="24"/>
          <w:lang w:val="lt-LT"/>
        </w:rPr>
        <w:t xml:space="preserve">Toks </w:t>
      </w:r>
      <w:r w:rsidR="00821EF5">
        <w:rPr>
          <w:rFonts w:ascii="Times New Roman" w:hAnsi="Times New Roman" w:cs="Times New Roman"/>
          <w:sz w:val="24"/>
          <w:szCs w:val="24"/>
          <w:lang w:val="lt-LT"/>
        </w:rPr>
        <w:t xml:space="preserve">teisinis </w:t>
      </w:r>
      <w:r w:rsidR="007C7EC2">
        <w:rPr>
          <w:rFonts w:ascii="Times New Roman" w:hAnsi="Times New Roman" w:cs="Times New Roman"/>
          <w:sz w:val="24"/>
          <w:szCs w:val="24"/>
          <w:lang w:val="lt-LT"/>
        </w:rPr>
        <w:t>reguliavimas nėra savitikslis, o</w:t>
      </w:r>
      <w:r w:rsidR="00D968D3">
        <w:rPr>
          <w:rFonts w:ascii="Times New Roman" w:hAnsi="Times New Roman" w:cs="Times New Roman"/>
          <w:sz w:val="24"/>
          <w:szCs w:val="24"/>
          <w:lang w:val="lt-LT"/>
        </w:rPr>
        <w:t>,</w:t>
      </w:r>
      <w:r w:rsidR="007C7EC2">
        <w:rPr>
          <w:rFonts w:ascii="Times New Roman" w:hAnsi="Times New Roman" w:cs="Times New Roman"/>
          <w:sz w:val="24"/>
          <w:szCs w:val="24"/>
          <w:lang w:val="lt-LT"/>
        </w:rPr>
        <w:t xml:space="preserve"> manytina, </w:t>
      </w:r>
      <w:r w:rsidR="009015A4">
        <w:rPr>
          <w:rFonts w:ascii="Times New Roman" w:hAnsi="Times New Roman" w:cs="Times New Roman"/>
          <w:sz w:val="24"/>
          <w:szCs w:val="24"/>
          <w:lang w:val="lt-LT"/>
        </w:rPr>
        <w:t xml:space="preserve">skirtas </w:t>
      </w:r>
      <w:r w:rsidR="00FB4330">
        <w:rPr>
          <w:rFonts w:ascii="Times New Roman" w:hAnsi="Times New Roman" w:cs="Times New Roman"/>
          <w:sz w:val="24"/>
          <w:szCs w:val="24"/>
          <w:lang w:val="lt-LT"/>
        </w:rPr>
        <w:t xml:space="preserve">veiksmingai </w:t>
      </w:r>
      <w:r w:rsidR="009245A5" w:rsidRPr="009245A5">
        <w:rPr>
          <w:rFonts w:ascii="Times New Roman" w:hAnsi="Times New Roman" w:cs="Times New Roman"/>
          <w:sz w:val="24"/>
          <w:szCs w:val="24"/>
          <w:lang w:val="lt-LT"/>
        </w:rPr>
        <w:t>užtikrin</w:t>
      </w:r>
      <w:r w:rsidR="009015A4">
        <w:rPr>
          <w:rFonts w:ascii="Times New Roman" w:hAnsi="Times New Roman" w:cs="Times New Roman"/>
          <w:sz w:val="24"/>
          <w:szCs w:val="24"/>
          <w:lang w:val="lt-LT"/>
        </w:rPr>
        <w:t>ti</w:t>
      </w:r>
      <w:r w:rsidR="00BA59B2">
        <w:rPr>
          <w:rFonts w:ascii="Times New Roman" w:hAnsi="Times New Roman" w:cs="Times New Roman"/>
          <w:sz w:val="24"/>
          <w:szCs w:val="24"/>
          <w:lang w:val="lt-LT"/>
        </w:rPr>
        <w:t>, kad</w:t>
      </w:r>
      <w:r w:rsidR="009245A5" w:rsidRPr="009245A5">
        <w:rPr>
          <w:rFonts w:ascii="Times New Roman" w:hAnsi="Times New Roman" w:cs="Times New Roman"/>
          <w:sz w:val="24"/>
          <w:szCs w:val="24"/>
          <w:lang w:val="lt-LT"/>
        </w:rPr>
        <w:t xml:space="preserve"> notarinių paslaugų atlyginimo reguliavimo klausim</w:t>
      </w:r>
      <w:r w:rsidR="008C6B7B">
        <w:rPr>
          <w:rFonts w:ascii="Times New Roman" w:hAnsi="Times New Roman" w:cs="Times New Roman"/>
          <w:sz w:val="24"/>
          <w:szCs w:val="24"/>
          <w:lang w:val="lt-LT"/>
        </w:rPr>
        <w:t>us spręstų</w:t>
      </w:r>
      <w:r w:rsidR="009245A5" w:rsidRPr="009245A5">
        <w:rPr>
          <w:rFonts w:ascii="Times New Roman" w:hAnsi="Times New Roman" w:cs="Times New Roman"/>
          <w:sz w:val="24"/>
          <w:szCs w:val="24"/>
          <w:lang w:val="lt-LT"/>
        </w:rPr>
        <w:t xml:space="preserve"> </w:t>
      </w:r>
      <w:r w:rsidR="00821EF5">
        <w:rPr>
          <w:rFonts w:ascii="Times New Roman" w:hAnsi="Times New Roman" w:cs="Times New Roman"/>
          <w:sz w:val="24"/>
          <w:szCs w:val="24"/>
          <w:lang w:val="lt-LT"/>
        </w:rPr>
        <w:t>pagal įstatymus tam</w:t>
      </w:r>
      <w:r w:rsidR="00E37B8A">
        <w:rPr>
          <w:rFonts w:ascii="Times New Roman" w:hAnsi="Times New Roman" w:cs="Times New Roman"/>
          <w:sz w:val="24"/>
          <w:szCs w:val="24"/>
          <w:lang w:val="lt-LT"/>
        </w:rPr>
        <w:t xml:space="preserve"> atitinkamus</w:t>
      </w:r>
      <w:r w:rsidR="00821EF5">
        <w:rPr>
          <w:rFonts w:ascii="Times New Roman" w:hAnsi="Times New Roman" w:cs="Times New Roman"/>
          <w:sz w:val="24"/>
          <w:szCs w:val="24"/>
          <w:lang w:val="lt-LT"/>
        </w:rPr>
        <w:t xml:space="preserve"> </w:t>
      </w:r>
      <w:r w:rsidR="00FF0973">
        <w:rPr>
          <w:rFonts w:ascii="Times New Roman" w:hAnsi="Times New Roman" w:cs="Times New Roman"/>
          <w:sz w:val="24"/>
          <w:szCs w:val="24"/>
          <w:lang w:val="lt-LT"/>
        </w:rPr>
        <w:t>įgaliojimus turinči</w:t>
      </w:r>
      <w:r w:rsidR="00FB4330">
        <w:rPr>
          <w:rFonts w:ascii="Times New Roman" w:hAnsi="Times New Roman" w:cs="Times New Roman"/>
          <w:sz w:val="24"/>
          <w:szCs w:val="24"/>
          <w:lang w:val="lt-LT"/>
        </w:rPr>
        <w:t>os</w:t>
      </w:r>
      <w:r w:rsidR="00FF0973">
        <w:rPr>
          <w:rFonts w:ascii="Times New Roman" w:hAnsi="Times New Roman" w:cs="Times New Roman"/>
          <w:sz w:val="24"/>
          <w:szCs w:val="24"/>
          <w:lang w:val="lt-LT"/>
        </w:rPr>
        <w:t xml:space="preserve"> </w:t>
      </w:r>
      <w:r w:rsidR="009245A5" w:rsidRPr="009245A5">
        <w:rPr>
          <w:rFonts w:ascii="Times New Roman" w:hAnsi="Times New Roman" w:cs="Times New Roman"/>
          <w:sz w:val="24"/>
          <w:szCs w:val="24"/>
          <w:lang w:val="lt-LT"/>
        </w:rPr>
        <w:t>kompetenting</w:t>
      </w:r>
      <w:r w:rsidR="00FB4330">
        <w:rPr>
          <w:rFonts w:ascii="Times New Roman" w:hAnsi="Times New Roman" w:cs="Times New Roman"/>
          <w:sz w:val="24"/>
          <w:szCs w:val="24"/>
          <w:lang w:val="lt-LT"/>
        </w:rPr>
        <w:t>os</w:t>
      </w:r>
      <w:r w:rsidR="009245A5" w:rsidRPr="009245A5">
        <w:rPr>
          <w:rFonts w:ascii="Times New Roman" w:hAnsi="Times New Roman" w:cs="Times New Roman"/>
          <w:sz w:val="24"/>
          <w:szCs w:val="24"/>
          <w:lang w:val="lt-LT"/>
        </w:rPr>
        <w:t xml:space="preserve"> institucij</w:t>
      </w:r>
      <w:r w:rsidR="00FB4330">
        <w:rPr>
          <w:rFonts w:ascii="Times New Roman" w:hAnsi="Times New Roman" w:cs="Times New Roman"/>
          <w:sz w:val="24"/>
          <w:szCs w:val="24"/>
          <w:lang w:val="lt-LT"/>
        </w:rPr>
        <w:t>os</w:t>
      </w:r>
      <w:r w:rsidR="00EE6A87">
        <w:rPr>
          <w:rFonts w:ascii="Times New Roman" w:hAnsi="Times New Roman" w:cs="Times New Roman"/>
          <w:sz w:val="24"/>
          <w:szCs w:val="24"/>
          <w:lang w:val="lt-LT"/>
        </w:rPr>
        <w:t>, taip</w:t>
      </w:r>
      <w:r w:rsidR="00F033C4">
        <w:rPr>
          <w:rFonts w:ascii="Times New Roman" w:hAnsi="Times New Roman" w:cs="Times New Roman"/>
          <w:sz w:val="24"/>
          <w:szCs w:val="24"/>
          <w:lang w:val="lt-LT"/>
        </w:rPr>
        <w:t xml:space="preserve">, </w:t>
      </w:r>
      <w:r w:rsidR="00FF0973">
        <w:rPr>
          <w:rFonts w:ascii="Times New Roman" w:hAnsi="Times New Roman" w:cs="Times New Roman"/>
          <w:sz w:val="24"/>
          <w:szCs w:val="24"/>
          <w:lang w:val="lt-LT"/>
        </w:rPr>
        <w:t>be kita ko,</w:t>
      </w:r>
      <w:r w:rsidR="00F033C4">
        <w:rPr>
          <w:rFonts w:ascii="Times New Roman" w:hAnsi="Times New Roman" w:cs="Times New Roman"/>
          <w:sz w:val="24"/>
          <w:szCs w:val="24"/>
          <w:lang w:val="lt-LT"/>
        </w:rPr>
        <w:t xml:space="preserve"> </w:t>
      </w:r>
      <w:r w:rsidR="003B7B9A">
        <w:rPr>
          <w:rFonts w:ascii="Times New Roman" w:hAnsi="Times New Roman" w:cs="Times New Roman"/>
          <w:sz w:val="24"/>
          <w:szCs w:val="24"/>
          <w:lang w:val="lt-LT"/>
        </w:rPr>
        <w:t>sudar</w:t>
      </w:r>
      <w:r w:rsidR="00EE6A87">
        <w:rPr>
          <w:rFonts w:ascii="Times New Roman" w:hAnsi="Times New Roman" w:cs="Times New Roman"/>
          <w:sz w:val="24"/>
          <w:szCs w:val="24"/>
          <w:lang w:val="lt-LT"/>
        </w:rPr>
        <w:t>ant</w:t>
      </w:r>
      <w:r w:rsidR="003B7B9A">
        <w:rPr>
          <w:rFonts w:ascii="Times New Roman" w:hAnsi="Times New Roman" w:cs="Times New Roman"/>
          <w:sz w:val="24"/>
          <w:szCs w:val="24"/>
          <w:lang w:val="lt-LT"/>
        </w:rPr>
        <w:t xml:space="preserve"> prielaidas</w:t>
      </w:r>
      <w:r w:rsidR="00F033C4">
        <w:rPr>
          <w:rFonts w:ascii="Times New Roman" w:hAnsi="Times New Roman" w:cs="Times New Roman"/>
          <w:sz w:val="24"/>
          <w:szCs w:val="24"/>
          <w:lang w:val="lt-LT"/>
        </w:rPr>
        <w:t xml:space="preserve"> </w:t>
      </w:r>
      <w:r w:rsidR="00D41587" w:rsidRPr="00D41587">
        <w:rPr>
          <w:rFonts w:ascii="Times New Roman" w:hAnsi="Times New Roman" w:cs="Times New Roman"/>
          <w:sz w:val="24"/>
          <w:szCs w:val="24"/>
          <w:lang w:val="lt-LT"/>
        </w:rPr>
        <w:t>vieš</w:t>
      </w:r>
      <w:r w:rsidR="00900DDD">
        <w:rPr>
          <w:rFonts w:ascii="Times New Roman" w:hAnsi="Times New Roman" w:cs="Times New Roman"/>
          <w:sz w:val="24"/>
          <w:szCs w:val="24"/>
          <w:lang w:val="lt-LT"/>
        </w:rPr>
        <w:t>ojo</w:t>
      </w:r>
      <w:r w:rsidR="00D41587" w:rsidRPr="00D41587">
        <w:rPr>
          <w:rFonts w:ascii="Times New Roman" w:hAnsi="Times New Roman" w:cs="Times New Roman"/>
          <w:sz w:val="24"/>
          <w:szCs w:val="24"/>
          <w:lang w:val="lt-LT"/>
        </w:rPr>
        <w:t xml:space="preserve"> interes</w:t>
      </w:r>
      <w:r w:rsidR="0070506E">
        <w:rPr>
          <w:rFonts w:ascii="Times New Roman" w:hAnsi="Times New Roman" w:cs="Times New Roman"/>
          <w:sz w:val="24"/>
          <w:szCs w:val="24"/>
          <w:lang w:val="lt-LT"/>
        </w:rPr>
        <w:t xml:space="preserve">o </w:t>
      </w:r>
      <w:r w:rsidR="00EE6A87">
        <w:rPr>
          <w:rFonts w:ascii="Times New Roman" w:hAnsi="Times New Roman" w:cs="Times New Roman"/>
          <w:sz w:val="24"/>
          <w:szCs w:val="24"/>
          <w:lang w:val="lt-LT"/>
        </w:rPr>
        <w:t xml:space="preserve">užtikrinimui </w:t>
      </w:r>
      <w:r w:rsidR="00D41587" w:rsidRPr="00D41587">
        <w:rPr>
          <w:rFonts w:ascii="Times New Roman" w:hAnsi="Times New Roman" w:cs="Times New Roman"/>
          <w:sz w:val="24"/>
          <w:szCs w:val="24"/>
          <w:lang w:val="lt-LT"/>
        </w:rPr>
        <w:t>ir konkurencijos teisės pažeidimo rizik</w:t>
      </w:r>
      <w:r w:rsidR="00900DDD">
        <w:rPr>
          <w:rFonts w:ascii="Times New Roman" w:hAnsi="Times New Roman" w:cs="Times New Roman"/>
          <w:sz w:val="24"/>
          <w:szCs w:val="24"/>
          <w:lang w:val="lt-LT"/>
        </w:rPr>
        <w:t>os</w:t>
      </w:r>
      <w:r w:rsidR="00D41587" w:rsidRPr="00D41587">
        <w:rPr>
          <w:rFonts w:ascii="Times New Roman" w:hAnsi="Times New Roman" w:cs="Times New Roman"/>
          <w:sz w:val="24"/>
          <w:szCs w:val="24"/>
          <w:lang w:val="lt-LT"/>
        </w:rPr>
        <w:t>, kuri šiuo atveju kyla dėl</w:t>
      </w:r>
      <w:r w:rsidR="00D852E7">
        <w:rPr>
          <w:rFonts w:ascii="Times New Roman" w:hAnsi="Times New Roman" w:cs="Times New Roman"/>
          <w:sz w:val="24"/>
          <w:szCs w:val="24"/>
          <w:lang w:val="lt-LT"/>
        </w:rPr>
        <w:t xml:space="preserve"> Notarų rūmų kaip įmonių asociacijos</w:t>
      </w:r>
      <w:r w:rsidR="00D41587" w:rsidRPr="00D41587">
        <w:rPr>
          <w:rFonts w:ascii="Times New Roman" w:hAnsi="Times New Roman" w:cs="Times New Roman"/>
          <w:sz w:val="24"/>
          <w:szCs w:val="24"/>
          <w:lang w:val="lt-LT"/>
        </w:rPr>
        <w:t xml:space="preserve"> statuso SESV 101 straipsn</w:t>
      </w:r>
      <w:r w:rsidR="005243A3">
        <w:rPr>
          <w:rFonts w:ascii="Times New Roman" w:hAnsi="Times New Roman" w:cs="Times New Roman"/>
          <w:sz w:val="24"/>
          <w:szCs w:val="24"/>
          <w:lang w:val="lt-LT"/>
        </w:rPr>
        <w:t>io 1 dalies prasme</w:t>
      </w:r>
      <w:r w:rsidR="00BB7244">
        <w:rPr>
          <w:rFonts w:ascii="Times New Roman" w:hAnsi="Times New Roman" w:cs="Times New Roman"/>
          <w:sz w:val="24"/>
          <w:szCs w:val="24"/>
          <w:lang w:val="lt-LT"/>
        </w:rPr>
        <w:t>, eliminavimui.</w:t>
      </w:r>
    </w:p>
    <w:p w14:paraId="75904938" w14:textId="1B3EE8CA" w:rsidR="0070159F" w:rsidRDefault="005E17C0" w:rsidP="008235C6">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bookmarkStart w:id="128" w:name="_Hlk175139719"/>
      <w:r>
        <w:rPr>
          <w:rFonts w:ascii="Times New Roman" w:hAnsi="Times New Roman" w:cs="Times New Roman"/>
          <w:sz w:val="24"/>
          <w:szCs w:val="24"/>
          <w:lang w:val="lt-LT"/>
        </w:rPr>
        <w:t xml:space="preserve"> </w:t>
      </w:r>
      <w:r w:rsidR="0070159F" w:rsidRPr="00075873">
        <w:rPr>
          <w:rFonts w:ascii="Times New Roman" w:hAnsi="Times New Roman" w:cs="Times New Roman"/>
          <w:sz w:val="24"/>
          <w:szCs w:val="24"/>
          <w:lang w:val="lt-LT"/>
        </w:rPr>
        <w:t>Apibendrin</w:t>
      </w:r>
      <w:r w:rsidR="00754DC7" w:rsidRPr="00075873">
        <w:rPr>
          <w:rFonts w:ascii="Times New Roman" w:hAnsi="Times New Roman" w:cs="Times New Roman"/>
          <w:sz w:val="24"/>
          <w:szCs w:val="24"/>
          <w:lang w:val="lt-LT"/>
        </w:rPr>
        <w:t>an</w:t>
      </w:r>
      <w:r w:rsidR="0070159F" w:rsidRPr="00075873">
        <w:rPr>
          <w:rFonts w:ascii="Times New Roman" w:hAnsi="Times New Roman" w:cs="Times New Roman"/>
          <w:sz w:val="24"/>
          <w:szCs w:val="24"/>
          <w:lang w:val="lt-LT"/>
        </w:rPr>
        <w:t xml:space="preserve">t, visos </w:t>
      </w:r>
      <w:r w:rsidR="0070159F">
        <w:rPr>
          <w:rFonts w:ascii="Times New Roman" w:hAnsi="Times New Roman" w:cs="Times New Roman"/>
          <w:sz w:val="24"/>
          <w:szCs w:val="24"/>
          <w:lang w:val="lt-LT"/>
        </w:rPr>
        <w:t>šios išnagrinėtos aplinkybės</w:t>
      </w:r>
      <w:r w:rsidR="0070159F" w:rsidRPr="007E13A0">
        <w:rPr>
          <w:rFonts w:ascii="Times New Roman" w:hAnsi="Times New Roman" w:cs="Times New Roman"/>
          <w:sz w:val="24"/>
          <w:szCs w:val="24"/>
          <w:lang w:val="lt-LT"/>
        </w:rPr>
        <w:t xml:space="preserve"> išplėstin</w:t>
      </w:r>
      <w:r w:rsidR="0070159F">
        <w:rPr>
          <w:rFonts w:ascii="Times New Roman" w:hAnsi="Times New Roman" w:cs="Times New Roman"/>
          <w:sz w:val="24"/>
          <w:szCs w:val="24"/>
          <w:lang w:val="lt-LT"/>
        </w:rPr>
        <w:t>ei</w:t>
      </w:r>
      <w:r w:rsidR="0070159F" w:rsidRPr="007E13A0">
        <w:rPr>
          <w:rFonts w:ascii="Times New Roman" w:hAnsi="Times New Roman" w:cs="Times New Roman"/>
          <w:sz w:val="24"/>
          <w:szCs w:val="24"/>
          <w:lang w:val="lt-LT"/>
        </w:rPr>
        <w:t xml:space="preserve"> teisėjų kolegija</w:t>
      </w:r>
      <w:r w:rsidR="0070159F">
        <w:rPr>
          <w:rFonts w:ascii="Times New Roman" w:hAnsi="Times New Roman" w:cs="Times New Roman"/>
          <w:sz w:val="24"/>
          <w:szCs w:val="24"/>
          <w:lang w:val="lt-LT"/>
        </w:rPr>
        <w:t xml:space="preserve">i sudaro pagrindą pagrįstai spręsti, kad </w:t>
      </w:r>
      <w:r w:rsidR="0070159F" w:rsidRPr="007E13A0">
        <w:rPr>
          <w:rFonts w:ascii="Times New Roman" w:hAnsi="Times New Roman" w:cs="Times New Roman"/>
          <w:sz w:val="24"/>
          <w:szCs w:val="24"/>
          <w:lang w:val="lt-LT"/>
        </w:rPr>
        <w:t>Išaiškinimai turi būti laikomi konkurencijos ribojimu pagal tikslą, t. y. susitarimas (asociacijos sprendimas), lėmęs horizontalų atitinkamų paslaugų kainų nustatymą, kaip tai suprantama pagal SESV 101 straipsnio 1 dalies a punktą ir pagal Konkurencijos įstatymo 5 straipsnio 1 dalies 1 punktą.</w:t>
      </w:r>
    </w:p>
    <w:p w14:paraId="760C0282" w14:textId="2994E2AC" w:rsidR="001233D2" w:rsidRDefault="0070159F" w:rsidP="008235C6">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032520">
        <w:rPr>
          <w:rFonts w:ascii="Times New Roman" w:hAnsi="Times New Roman" w:cs="Times New Roman"/>
          <w:sz w:val="24"/>
          <w:szCs w:val="24"/>
          <w:lang w:val="lt-LT"/>
        </w:rPr>
        <w:t xml:space="preserve">Kiek tai susiję su pareiškėjų argumentais, kad </w:t>
      </w:r>
      <w:r w:rsidR="00032520" w:rsidRPr="00DF5596">
        <w:rPr>
          <w:rFonts w:ascii="Times New Roman" w:hAnsi="Times New Roman" w:cs="Times New Roman"/>
          <w:sz w:val="24"/>
          <w:szCs w:val="24"/>
          <w:lang w:val="lt-LT"/>
        </w:rPr>
        <w:t xml:space="preserve">dėl </w:t>
      </w:r>
      <w:r w:rsidR="001A39F1" w:rsidRPr="00DF5596">
        <w:rPr>
          <w:rFonts w:ascii="Times New Roman" w:hAnsi="Times New Roman" w:cs="Times New Roman"/>
          <w:sz w:val="24"/>
          <w:szCs w:val="24"/>
          <w:lang w:val="lt-LT"/>
        </w:rPr>
        <w:t xml:space="preserve">Išaiškinimais siektų </w:t>
      </w:r>
      <w:r w:rsidR="006D6C4C" w:rsidRPr="00DF5596">
        <w:rPr>
          <w:rFonts w:ascii="Times New Roman" w:hAnsi="Times New Roman" w:cs="Times New Roman"/>
          <w:sz w:val="24"/>
          <w:szCs w:val="24"/>
          <w:lang w:val="lt-LT"/>
        </w:rPr>
        <w:t xml:space="preserve">teisėtų </w:t>
      </w:r>
      <w:r w:rsidR="001A39F1" w:rsidRPr="00DF5596">
        <w:rPr>
          <w:rFonts w:ascii="Times New Roman" w:hAnsi="Times New Roman" w:cs="Times New Roman"/>
          <w:sz w:val="24"/>
          <w:szCs w:val="24"/>
          <w:lang w:val="lt-LT"/>
        </w:rPr>
        <w:t xml:space="preserve">tikslų </w:t>
      </w:r>
      <w:r w:rsidR="00340A49" w:rsidRPr="00DF5596">
        <w:rPr>
          <w:rFonts w:ascii="Times New Roman" w:hAnsi="Times New Roman" w:cs="Times New Roman"/>
          <w:sz w:val="24"/>
          <w:szCs w:val="24"/>
          <w:lang w:val="lt-LT"/>
        </w:rPr>
        <w:t>jie</w:t>
      </w:r>
      <w:r w:rsidR="00340A49">
        <w:rPr>
          <w:rFonts w:ascii="Times New Roman" w:hAnsi="Times New Roman" w:cs="Times New Roman"/>
          <w:sz w:val="24"/>
          <w:szCs w:val="24"/>
          <w:lang w:val="lt-LT"/>
        </w:rPr>
        <w:t xml:space="preserve"> neturėtų būti la</w:t>
      </w:r>
      <w:r w:rsidR="00B96238">
        <w:rPr>
          <w:rFonts w:ascii="Times New Roman" w:hAnsi="Times New Roman" w:cs="Times New Roman"/>
          <w:sz w:val="24"/>
          <w:szCs w:val="24"/>
          <w:lang w:val="lt-LT"/>
        </w:rPr>
        <w:t>ikomi patenkančiais į SESV 101 straipsnio 1 dalies sritį</w:t>
      </w:r>
      <w:r w:rsidR="00A618C4">
        <w:rPr>
          <w:rFonts w:ascii="Times New Roman" w:hAnsi="Times New Roman" w:cs="Times New Roman"/>
          <w:sz w:val="24"/>
          <w:szCs w:val="24"/>
          <w:lang w:val="lt-LT"/>
        </w:rPr>
        <w:t xml:space="preserve">, išplėstinė teisėjų kolegija </w:t>
      </w:r>
      <w:r w:rsidR="00034F6D">
        <w:rPr>
          <w:rFonts w:ascii="Times New Roman" w:hAnsi="Times New Roman" w:cs="Times New Roman"/>
          <w:sz w:val="24"/>
          <w:szCs w:val="24"/>
          <w:lang w:val="lt-LT"/>
        </w:rPr>
        <w:t>atkreipia dėmesį</w:t>
      </w:r>
      <w:r w:rsidR="00E156D1">
        <w:rPr>
          <w:rFonts w:ascii="Times New Roman" w:hAnsi="Times New Roman" w:cs="Times New Roman"/>
          <w:sz w:val="24"/>
          <w:szCs w:val="24"/>
          <w:lang w:val="lt-LT"/>
        </w:rPr>
        <w:t xml:space="preserve"> į šiuo aspektu naujausią reikšmingą Teisingumo Teismo </w:t>
      </w:r>
      <w:r w:rsidR="006D6C4C">
        <w:rPr>
          <w:rFonts w:ascii="Times New Roman" w:hAnsi="Times New Roman" w:cs="Times New Roman"/>
          <w:sz w:val="24"/>
          <w:szCs w:val="24"/>
          <w:lang w:val="lt-LT"/>
        </w:rPr>
        <w:t xml:space="preserve">jurisprudenciją. </w:t>
      </w:r>
    </w:p>
    <w:p w14:paraId="4CE74CFB" w14:textId="7CFE29A8" w:rsidR="009112DD" w:rsidRDefault="001233D2" w:rsidP="008235C6">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84579">
        <w:rPr>
          <w:rFonts w:ascii="Times New Roman" w:hAnsi="Times New Roman" w:cs="Times New Roman"/>
          <w:sz w:val="24"/>
          <w:szCs w:val="24"/>
          <w:lang w:val="lt-LT"/>
        </w:rPr>
        <w:t xml:space="preserve">Iš tiesų, vadovaujantis Teisingumo Teismo praktika, </w:t>
      </w:r>
      <w:r w:rsidR="00114505" w:rsidRPr="00637C6E">
        <w:rPr>
          <w:rFonts w:ascii="Times New Roman" w:hAnsi="Times New Roman" w:cs="Times New Roman"/>
          <w:sz w:val="24"/>
          <w:szCs w:val="24"/>
          <w:lang w:val="lt-LT"/>
        </w:rPr>
        <w:t xml:space="preserve">SESV 101 straipsnio 1 dalyje nustatytas draudimas taikomas ne bet kokiam įmonių susitarimui ar įmonių asociacijos sprendimui, kuriuo ribojama įmonių, kurios yra šio susitarimo šalys arba privalo laikytis šio sprendimo, veiksmų laisvė. </w:t>
      </w:r>
      <w:r w:rsidR="00D64216">
        <w:rPr>
          <w:rFonts w:ascii="Times New Roman" w:hAnsi="Times New Roman" w:cs="Times New Roman"/>
          <w:sz w:val="24"/>
          <w:szCs w:val="24"/>
          <w:lang w:val="lt-LT"/>
        </w:rPr>
        <w:t>Pasak Teisingumo Teismo, i</w:t>
      </w:r>
      <w:r w:rsidR="00114505" w:rsidRPr="00637C6E">
        <w:rPr>
          <w:rFonts w:ascii="Times New Roman" w:hAnsi="Times New Roman" w:cs="Times New Roman"/>
          <w:sz w:val="24"/>
          <w:szCs w:val="24"/>
          <w:lang w:val="lt-LT"/>
        </w:rPr>
        <w:t>šnagrinėjus ekonominį ir teisinį kai kurių iš šių susitarimų ir tam tikrų sprendimų kontekstą galima konstatuoti, pirma, kad jie pateisinami vienu ar keliais teisėtais bendrojo intereso tikslais, kurie patys savaime nėra antikonkurenciniai, antra, kad konkrečios priemonės, kurių imamasi šiems tikslams pasiekti, yra iš tikrųjų būtinos šiam tikslui pasiekti, ir, trečia, kad net jei paaiškėja, jog šios priemonės turi neatsiejamą poveikį riboti arba iškraipyti konkurenciją (bent jau potencialiai), šis neatsiejamas poveikis neviršija to, kas būtina, visų pirma nepanaikina jokios konkurencijos (</w:t>
      </w:r>
      <w:r w:rsidR="00114505">
        <w:rPr>
          <w:rFonts w:ascii="Times New Roman" w:hAnsi="Times New Roman" w:cs="Times New Roman"/>
          <w:sz w:val="24"/>
          <w:szCs w:val="24"/>
          <w:lang w:val="lt-LT"/>
        </w:rPr>
        <w:t xml:space="preserve">Teisingumo Teismas referavo į </w:t>
      </w:r>
      <w:r w:rsidR="00114505" w:rsidRPr="00637C6E">
        <w:rPr>
          <w:rFonts w:ascii="Times New Roman" w:hAnsi="Times New Roman" w:cs="Times New Roman"/>
          <w:sz w:val="24"/>
          <w:szCs w:val="24"/>
          <w:lang w:val="lt-LT"/>
        </w:rPr>
        <w:t>2023 m. gruodžio 21 d. Sprendimo </w:t>
      </w:r>
      <w:r w:rsidR="00114505" w:rsidRPr="00637C6E">
        <w:rPr>
          <w:rFonts w:ascii="Times New Roman" w:hAnsi="Times New Roman" w:cs="Times New Roman"/>
          <w:i/>
          <w:iCs/>
          <w:sz w:val="24"/>
          <w:szCs w:val="24"/>
          <w:lang w:val="lt-LT"/>
        </w:rPr>
        <w:t xml:space="preserve">European </w:t>
      </w:r>
      <w:proofErr w:type="spellStart"/>
      <w:r w:rsidR="00114505" w:rsidRPr="00637C6E">
        <w:rPr>
          <w:rFonts w:ascii="Times New Roman" w:hAnsi="Times New Roman" w:cs="Times New Roman"/>
          <w:i/>
          <w:iCs/>
          <w:sz w:val="24"/>
          <w:szCs w:val="24"/>
          <w:lang w:val="lt-LT"/>
        </w:rPr>
        <w:t>Superleague</w:t>
      </w:r>
      <w:proofErr w:type="spellEnd"/>
      <w:r w:rsidR="00114505" w:rsidRPr="00637C6E">
        <w:rPr>
          <w:rFonts w:ascii="Times New Roman" w:hAnsi="Times New Roman" w:cs="Times New Roman"/>
          <w:i/>
          <w:iCs/>
          <w:sz w:val="24"/>
          <w:szCs w:val="24"/>
          <w:lang w:val="lt-LT"/>
        </w:rPr>
        <w:t xml:space="preserve"> Company</w:t>
      </w:r>
      <w:r w:rsidR="00114505" w:rsidRPr="00637C6E">
        <w:rPr>
          <w:rFonts w:ascii="Times New Roman" w:hAnsi="Times New Roman" w:cs="Times New Roman"/>
          <w:sz w:val="24"/>
          <w:szCs w:val="24"/>
          <w:lang w:val="lt-LT"/>
        </w:rPr>
        <w:t>, C</w:t>
      </w:r>
      <w:r w:rsidR="00114505" w:rsidRPr="00637C6E">
        <w:rPr>
          <w:rFonts w:ascii="Times New Roman" w:hAnsi="Times New Roman" w:cs="Times New Roman"/>
          <w:sz w:val="24"/>
          <w:szCs w:val="24"/>
          <w:lang w:val="lt-LT"/>
        </w:rPr>
        <w:noBreakHyphen/>
        <w:t>333/21, EU:C:2023:1011, 183 p</w:t>
      </w:r>
      <w:r w:rsidR="00114505">
        <w:rPr>
          <w:rFonts w:ascii="Times New Roman" w:hAnsi="Times New Roman" w:cs="Times New Roman"/>
          <w:sz w:val="24"/>
          <w:szCs w:val="24"/>
          <w:lang w:val="lt-LT"/>
        </w:rPr>
        <w:t>.</w:t>
      </w:r>
      <w:r w:rsidR="00114505" w:rsidRPr="00637C6E">
        <w:rPr>
          <w:rFonts w:ascii="Times New Roman" w:hAnsi="Times New Roman" w:cs="Times New Roman"/>
          <w:sz w:val="24"/>
          <w:szCs w:val="24"/>
          <w:lang w:val="lt-LT"/>
        </w:rPr>
        <w:t>).</w:t>
      </w:r>
      <w:r w:rsidR="00114505">
        <w:rPr>
          <w:rFonts w:ascii="Times New Roman" w:hAnsi="Times New Roman" w:cs="Times New Roman"/>
          <w:sz w:val="24"/>
          <w:szCs w:val="24"/>
          <w:lang w:val="lt-LT"/>
        </w:rPr>
        <w:t xml:space="preserve"> </w:t>
      </w:r>
    </w:p>
    <w:p w14:paraId="5A291F5E" w14:textId="4F48481A" w:rsidR="00B57001" w:rsidRDefault="009112DD" w:rsidP="0074641B">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B57001">
        <w:rPr>
          <w:rFonts w:ascii="Times New Roman" w:hAnsi="Times New Roman" w:cs="Times New Roman"/>
          <w:sz w:val="24"/>
          <w:szCs w:val="24"/>
          <w:lang w:val="lt-LT"/>
        </w:rPr>
        <w:t xml:space="preserve"> Vis dėlto </w:t>
      </w:r>
      <w:r w:rsidR="006D6C4C" w:rsidRPr="00B57001">
        <w:rPr>
          <w:rFonts w:ascii="Times New Roman" w:hAnsi="Times New Roman" w:cs="Times New Roman"/>
          <w:sz w:val="24"/>
          <w:szCs w:val="24"/>
          <w:lang w:val="lt-LT"/>
        </w:rPr>
        <w:t xml:space="preserve">Sprendime </w:t>
      </w:r>
      <w:proofErr w:type="spellStart"/>
      <w:r w:rsidR="006D6C4C" w:rsidRPr="00B57001">
        <w:rPr>
          <w:rFonts w:ascii="Times New Roman" w:hAnsi="Times New Roman" w:cs="Times New Roman"/>
          <w:i/>
          <w:iCs/>
          <w:sz w:val="24"/>
          <w:szCs w:val="24"/>
          <w:lang w:val="lt-LT"/>
        </w:rPr>
        <w:t>Em</w:t>
      </w:r>
      <w:proofErr w:type="spellEnd"/>
      <w:r w:rsidR="006D6C4C" w:rsidRPr="00B57001">
        <w:rPr>
          <w:rFonts w:ascii="Times New Roman" w:hAnsi="Times New Roman" w:cs="Times New Roman"/>
          <w:i/>
          <w:iCs/>
          <w:sz w:val="24"/>
          <w:szCs w:val="24"/>
          <w:lang w:val="lt-LT"/>
        </w:rPr>
        <w:t xml:space="preserve"> </w:t>
      </w:r>
      <w:proofErr w:type="spellStart"/>
      <w:r w:rsidR="006D6C4C" w:rsidRPr="00B57001">
        <w:rPr>
          <w:rFonts w:ascii="Times New Roman" w:hAnsi="Times New Roman" w:cs="Times New Roman"/>
          <w:i/>
          <w:iCs/>
          <w:sz w:val="24"/>
          <w:szCs w:val="24"/>
          <w:lang w:val="lt-LT"/>
        </w:rPr>
        <w:t>akaunt</w:t>
      </w:r>
      <w:proofErr w:type="spellEnd"/>
      <w:r w:rsidR="006D6C4C" w:rsidRPr="00B57001">
        <w:rPr>
          <w:rFonts w:ascii="Times New Roman" w:hAnsi="Times New Roman" w:cs="Times New Roman"/>
          <w:i/>
          <w:iCs/>
          <w:sz w:val="24"/>
          <w:szCs w:val="24"/>
          <w:lang w:val="lt-LT"/>
        </w:rPr>
        <w:t xml:space="preserve"> BG ЕООD</w:t>
      </w:r>
      <w:r w:rsidR="00936564" w:rsidRPr="00B57001">
        <w:rPr>
          <w:rFonts w:ascii="Times New Roman" w:hAnsi="Times New Roman" w:cs="Times New Roman"/>
          <w:sz w:val="24"/>
          <w:szCs w:val="24"/>
          <w:lang w:val="lt-LT"/>
        </w:rPr>
        <w:t xml:space="preserve"> </w:t>
      </w:r>
      <w:r w:rsidR="0047028A" w:rsidRPr="00B57001">
        <w:rPr>
          <w:rFonts w:ascii="Times New Roman" w:hAnsi="Times New Roman" w:cs="Times New Roman"/>
          <w:sz w:val="24"/>
          <w:szCs w:val="24"/>
          <w:lang w:val="lt-LT"/>
        </w:rPr>
        <w:t>Teisingumo Teismas pripažin</w:t>
      </w:r>
      <w:r w:rsidR="006D6C4C" w:rsidRPr="00B57001">
        <w:rPr>
          <w:rFonts w:ascii="Times New Roman" w:hAnsi="Times New Roman" w:cs="Times New Roman"/>
          <w:sz w:val="24"/>
          <w:szCs w:val="24"/>
          <w:lang w:val="lt-LT"/>
        </w:rPr>
        <w:t>o</w:t>
      </w:r>
      <w:r w:rsidR="0047028A" w:rsidRPr="00B57001">
        <w:rPr>
          <w:rFonts w:ascii="Times New Roman" w:hAnsi="Times New Roman" w:cs="Times New Roman"/>
          <w:sz w:val="24"/>
          <w:szCs w:val="24"/>
          <w:lang w:val="lt-LT"/>
        </w:rPr>
        <w:t xml:space="preserve">, </w:t>
      </w:r>
      <w:r w:rsidR="0047028A" w:rsidRPr="00DF5596">
        <w:rPr>
          <w:rFonts w:ascii="Times New Roman" w:hAnsi="Times New Roman" w:cs="Times New Roman"/>
          <w:sz w:val="24"/>
          <w:szCs w:val="24"/>
          <w:lang w:val="lt-LT"/>
        </w:rPr>
        <w:t xml:space="preserve">jog </w:t>
      </w:r>
      <w:r w:rsidR="00444BF6" w:rsidRPr="00DF5596">
        <w:rPr>
          <w:rFonts w:ascii="Times New Roman" w:hAnsi="Times New Roman" w:cs="Times New Roman"/>
          <w:sz w:val="24"/>
          <w:szCs w:val="24"/>
          <w:lang w:val="lt-LT"/>
        </w:rPr>
        <w:t>tokia</w:t>
      </w:r>
      <w:r w:rsidR="0047028A" w:rsidRPr="00DF5596">
        <w:rPr>
          <w:rFonts w:ascii="Times New Roman" w:hAnsi="Times New Roman" w:cs="Times New Roman"/>
          <w:sz w:val="24"/>
          <w:szCs w:val="24"/>
          <w:lang w:val="lt-LT"/>
        </w:rPr>
        <w:t xml:space="preserve"> jurisprudencija galėjo leisti daryti prielaidą, kad net įmonės veiksmai, kuriais konkurencija ribojama „dėl tikslo“, kaip tai suprantama pagal SESV 101 straipsnio 1 dalį, gali nepatekti į šioje nuostatoje įtvirtintą draudimą, jeigu dėl to atsirandantis konkurenciją ribojantis poveikis yra neatsiejamas nuo teisėtų tikslų siekimo.</w:t>
      </w:r>
      <w:r w:rsidR="00F75188" w:rsidRPr="00DF5596">
        <w:rPr>
          <w:rFonts w:ascii="Times New Roman" w:hAnsi="Times New Roman" w:cs="Times New Roman"/>
          <w:sz w:val="24"/>
          <w:szCs w:val="24"/>
          <w:lang w:val="lt-LT"/>
        </w:rPr>
        <w:t xml:space="preserve"> </w:t>
      </w:r>
      <w:r w:rsidR="008E1888" w:rsidRPr="00DF5596">
        <w:rPr>
          <w:rFonts w:ascii="Times New Roman" w:hAnsi="Times New Roman" w:cs="Times New Roman"/>
          <w:sz w:val="24"/>
          <w:szCs w:val="24"/>
          <w:lang w:val="lt-LT"/>
        </w:rPr>
        <w:t>T</w:t>
      </w:r>
      <w:r w:rsidR="008E1888" w:rsidRPr="008E1888">
        <w:rPr>
          <w:rFonts w:ascii="Times New Roman" w:hAnsi="Times New Roman" w:cs="Times New Roman"/>
          <w:sz w:val="24"/>
          <w:szCs w:val="24"/>
          <w:lang w:val="lt-LT"/>
        </w:rPr>
        <w:t>ačiau tokia prielaida nepagrįsta</w:t>
      </w:r>
      <w:r w:rsidR="00D968D3">
        <w:rPr>
          <w:rFonts w:ascii="Times New Roman" w:hAnsi="Times New Roman" w:cs="Times New Roman"/>
          <w:sz w:val="24"/>
          <w:szCs w:val="24"/>
          <w:lang w:val="lt-LT"/>
        </w:rPr>
        <w:t>,</w:t>
      </w:r>
      <w:r w:rsidR="008E1888" w:rsidRPr="008E1888">
        <w:rPr>
          <w:rFonts w:ascii="Times New Roman" w:hAnsi="Times New Roman" w:cs="Times New Roman"/>
          <w:sz w:val="24"/>
          <w:szCs w:val="24"/>
          <w:lang w:val="lt-LT"/>
        </w:rPr>
        <w:t xml:space="preserve"> </w:t>
      </w:r>
      <w:r w:rsidR="00B57001" w:rsidRPr="00B57001">
        <w:rPr>
          <w:rFonts w:ascii="Times New Roman" w:hAnsi="Times New Roman" w:cs="Times New Roman"/>
          <w:sz w:val="24"/>
          <w:szCs w:val="24"/>
          <w:lang w:val="lt-LT"/>
        </w:rPr>
        <w:t xml:space="preserve">ir </w:t>
      </w:r>
      <w:r w:rsidR="00686A9C" w:rsidRPr="00B57001">
        <w:rPr>
          <w:rFonts w:ascii="Times New Roman" w:hAnsi="Times New Roman" w:cs="Times New Roman"/>
          <w:sz w:val="24"/>
          <w:szCs w:val="24"/>
          <w:lang w:val="lt-LT"/>
        </w:rPr>
        <w:t xml:space="preserve">Teisingumo Teismas </w:t>
      </w:r>
      <w:r w:rsidR="004C0DA7" w:rsidRPr="00B57001">
        <w:rPr>
          <w:rFonts w:ascii="Times New Roman" w:hAnsi="Times New Roman" w:cs="Times New Roman"/>
          <w:sz w:val="24"/>
          <w:szCs w:val="24"/>
          <w:lang w:val="lt-LT"/>
        </w:rPr>
        <w:t xml:space="preserve">šiuo aspektu </w:t>
      </w:r>
      <w:r w:rsidR="00E2600A">
        <w:rPr>
          <w:rFonts w:ascii="Times New Roman" w:hAnsi="Times New Roman" w:cs="Times New Roman"/>
          <w:sz w:val="24"/>
          <w:szCs w:val="24"/>
          <w:lang w:val="lt-LT"/>
        </w:rPr>
        <w:t xml:space="preserve">naujausioje savo praktikoje </w:t>
      </w:r>
      <w:r w:rsidR="00D0400B" w:rsidRPr="00B57001">
        <w:rPr>
          <w:rFonts w:ascii="Times New Roman" w:hAnsi="Times New Roman" w:cs="Times New Roman"/>
          <w:sz w:val="24"/>
          <w:szCs w:val="24"/>
          <w:lang w:val="lt-LT"/>
        </w:rPr>
        <w:t>pateik</w:t>
      </w:r>
      <w:r w:rsidR="00686A9C" w:rsidRPr="00B57001">
        <w:rPr>
          <w:rFonts w:ascii="Times New Roman" w:hAnsi="Times New Roman" w:cs="Times New Roman"/>
          <w:sz w:val="24"/>
          <w:szCs w:val="24"/>
          <w:lang w:val="lt-LT"/>
        </w:rPr>
        <w:t>ė</w:t>
      </w:r>
      <w:r w:rsidR="00D0400B" w:rsidRPr="00B57001">
        <w:rPr>
          <w:rFonts w:ascii="Times New Roman" w:hAnsi="Times New Roman" w:cs="Times New Roman"/>
          <w:sz w:val="24"/>
          <w:szCs w:val="24"/>
          <w:lang w:val="lt-LT"/>
        </w:rPr>
        <w:t xml:space="preserve"> patikslinim</w:t>
      </w:r>
      <w:r w:rsidR="00686A9C" w:rsidRPr="00B57001">
        <w:rPr>
          <w:rFonts w:ascii="Times New Roman" w:hAnsi="Times New Roman" w:cs="Times New Roman"/>
          <w:sz w:val="24"/>
          <w:szCs w:val="24"/>
          <w:lang w:val="lt-LT"/>
        </w:rPr>
        <w:t>ą</w:t>
      </w:r>
      <w:r w:rsidR="00D0400B" w:rsidRPr="00B57001">
        <w:rPr>
          <w:rFonts w:ascii="Times New Roman" w:hAnsi="Times New Roman" w:cs="Times New Roman"/>
          <w:sz w:val="24"/>
          <w:szCs w:val="24"/>
          <w:lang w:val="lt-LT"/>
        </w:rPr>
        <w:t xml:space="preserve">. </w:t>
      </w:r>
    </w:p>
    <w:p w14:paraId="7DEFA736" w14:textId="4FAAD3AB" w:rsidR="00872EEC" w:rsidRPr="00B57001" w:rsidRDefault="0047549F" w:rsidP="0074641B">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Teisingumo </w:t>
      </w:r>
      <w:r w:rsidR="00C65BF9">
        <w:rPr>
          <w:rFonts w:ascii="Times New Roman" w:hAnsi="Times New Roman" w:cs="Times New Roman"/>
          <w:sz w:val="24"/>
          <w:szCs w:val="24"/>
          <w:lang w:val="lt-LT"/>
        </w:rPr>
        <w:t>Teism</w:t>
      </w:r>
      <w:r w:rsidR="004E3395">
        <w:rPr>
          <w:rFonts w:ascii="Times New Roman" w:hAnsi="Times New Roman" w:cs="Times New Roman"/>
          <w:sz w:val="24"/>
          <w:szCs w:val="24"/>
          <w:lang w:val="lt-LT"/>
        </w:rPr>
        <w:t>as išaiškino, kad</w:t>
      </w:r>
      <w:r w:rsidR="00C65BF9">
        <w:rPr>
          <w:rFonts w:ascii="Times New Roman" w:hAnsi="Times New Roman" w:cs="Times New Roman"/>
          <w:sz w:val="24"/>
          <w:szCs w:val="24"/>
          <w:lang w:val="lt-LT"/>
        </w:rPr>
        <w:t xml:space="preserve"> </w:t>
      </w:r>
      <w:r w:rsidR="007E4BFD" w:rsidRPr="00B57001">
        <w:rPr>
          <w:rFonts w:ascii="Times New Roman" w:hAnsi="Times New Roman" w:cs="Times New Roman"/>
          <w:sz w:val="24"/>
          <w:szCs w:val="24"/>
          <w:lang w:val="lt-LT"/>
        </w:rPr>
        <w:t>minėta jurisprudencija</w:t>
      </w:r>
      <w:r w:rsidR="00E64432">
        <w:rPr>
          <w:rFonts w:ascii="Times New Roman" w:hAnsi="Times New Roman" w:cs="Times New Roman"/>
          <w:sz w:val="24"/>
          <w:szCs w:val="24"/>
          <w:lang w:val="lt-LT"/>
        </w:rPr>
        <w:t xml:space="preserve"> (</w:t>
      </w:r>
      <w:r w:rsidR="00591D5C">
        <w:rPr>
          <w:rFonts w:ascii="Times New Roman" w:hAnsi="Times New Roman" w:cs="Times New Roman"/>
          <w:sz w:val="24"/>
          <w:szCs w:val="24"/>
          <w:lang w:val="lt-LT"/>
        </w:rPr>
        <w:t xml:space="preserve">iš esmės </w:t>
      </w:r>
      <w:r w:rsidR="00E64432">
        <w:rPr>
          <w:rFonts w:ascii="Times New Roman" w:hAnsi="Times New Roman" w:cs="Times New Roman"/>
          <w:sz w:val="24"/>
          <w:szCs w:val="24"/>
          <w:lang w:val="lt-LT"/>
        </w:rPr>
        <w:t>pagal kurią</w:t>
      </w:r>
      <w:r w:rsidR="000D715B">
        <w:rPr>
          <w:rFonts w:ascii="Times New Roman" w:hAnsi="Times New Roman" w:cs="Times New Roman"/>
          <w:sz w:val="24"/>
          <w:szCs w:val="24"/>
          <w:lang w:val="lt-LT"/>
        </w:rPr>
        <w:t xml:space="preserve"> </w:t>
      </w:r>
      <w:r w:rsidR="000415C3">
        <w:rPr>
          <w:rFonts w:ascii="Times New Roman" w:hAnsi="Times New Roman" w:cs="Times New Roman"/>
          <w:sz w:val="24"/>
          <w:szCs w:val="24"/>
          <w:lang w:val="lt-LT"/>
        </w:rPr>
        <w:t>konkurenciją ribojantys įmonės veiksmai gali būti pateisinti</w:t>
      </w:r>
      <w:r w:rsidR="000415C3" w:rsidRPr="00637C6E">
        <w:rPr>
          <w:rFonts w:ascii="Times New Roman" w:hAnsi="Times New Roman" w:cs="Times New Roman"/>
          <w:sz w:val="24"/>
          <w:szCs w:val="24"/>
          <w:lang w:val="lt-LT"/>
        </w:rPr>
        <w:t xml:space="preserve"> </w:t>
      </w:r>
      <w:r w:rsidR="000D715B" w:rsidRPr="00637C6E">
        <w:rPr>
          <w:rFonts w:ascii="Times New Roman" w:hAnsi="Times New Roman" w:cs="Times New Roman"/>
          <w:sz w:val="24"/>
          <w:szCs w:val="24"/>
          <w:lang w:val="lt-LT"/>
        </w:rPr>
        <w:t>teisėt</w:t>
      </w:r>
      <w:r w:rsidR="000415C3">
        <w:rPr>
          <w:rFonts w:ascii="Times New Roman" w:hAnsi="Times New Roman" w:cs="Times New Roman"/>
          <w:sz w:val="24"/>
          <w:szCs w:val="24"/>
          <w:lang w:val="lt-LT"/>
        </w:rPr>
        <w:t>ais</w:t>
      </w:r>
      <w:r w:rsidR="000D715B" w:rsidRPr="00637C6E">
        <w:rPr>
          <w:rFonts w:ascii="Times New Roman" w:hAnsi="Times New Roman" w:cs="Times New Roman"/>
          <w:sz w:val="24"/>
          <w:szCs w:val="24"/>
          <w:lang w:val="lt-LT"/>
        </w:rPr>
        <w:t xml:space="preserve"> bendrojo intereso tikslai</w:t>
      </w:r>
      <w:r w:rsidR="000415C3">
        <w:rPr>
          <w:rFonts w:ascii="Times New Roman" w:hAnsi="Times New Roman" w:cs="Times New Roman"/>
          <w:sz w:val="24"/>
          <w:szCs w:val="24"/>
          <w:lang w:val="lt-LT"/>
        </w:rPr>
        <w:t>s</w:t>
      </w:r>
      <w:r w:rsidR="008C14BC">
        <w:rPr>
          <w:rFonts w:ascii="Times New Roman" w:hAnsi="Times New Roman" w:cs="Times New Roman"/>
          <w:sz w:val="24"/>
          <w:szCs w:val="24"/>
          <w:lang w:val="lt-LT"/>
        </w:rPr>
        <w:t xml:space="preserve">, jei </w:t>
      </w:r>
      <w:r w:rsidR="00D364E5">
        <w:rPr>
          <w:rFonts w:ascii="Times New Roman" w:hAnsi="Times New Roman" w:cs="Times New Roman"/>
          <w:sz w:val="24"/>
          <w:szCs w:val="24"/>
          <w:lang w:val="lt-LT"/>
        </w:rPr>
        <w:t xml:space="preserve">atitinka proporcingumo principo </w:t>
      </w:r>
      <w:r w:rsidR="00D364E5" w:rsidRPr="00DF5596">
        <w:rPr>
          <w:rFonts w:ascii="Times New Roman" w:hAnsi="Times New Roman" w:cs="Times New Roman"/>
          <w:sz w:val="24"/>
          <w:szCs w:val="24"/>
          <w:lang w:val="lt-LT"/>
        </w:rPr>
        <w:t>reikalavimus</w:t>
      </w:r>
      <w:r w:rsidR="00E64432" w:rsidRPr="00DF5596">
        <w:rPr>
          <w:rFonts w:ascii="Times New Roman" w:hAnsi="Times New Roman" w:cs="Times New Roman"/>
          <w:sz w:val="24"/>
          <w:szCs w:val="24"/>
          <w:lang w:val="lt-LT"/>
        </w:rPr>
        <w:t>)</w:t>
      </w:r>
      <w:r w:rsidR="007E4BFD" w:rsidRPr="00DF5596">
        <w:rPr>
          <w:rFonts w:ascii="Times New Roman" w:hAnsi="Times New Roman" w:cs="Times New Roman"/>
          <w:sz w:val="24"/>
          <w:szCs w:val="24"/>
          <w:lang w:val="lt-LT"/>
        </w:rPr>
        <w:t xml:space="preserve"> negali būti taikoma veiksmams, kurie ne tik neapsiriboja neatsiejamu „poveikiu“ riboti arba iškraipyti konkurenciją (bent jau potencialiai), bet konkurencijai yra tokie žalingi, jog būtų galima daryti išvadą, kad jų „tikslas“ yra užkirsti kelią konkurencijai, ją riboti ar </w:t>
      </w:r>
      <w:r w:rsidR="007E4BFD" w:rsidRPr="00DF5596">
        <w:rPr>
          <w:rFonts w:ascii="Times New Roman" w:hAnsi="Times New Roman" w:cs="Times New Roman"/>
          <w:sz w:val="24"/>
          <w:szCs w:val="24"/>
          <w:lang w:val="lt-LT"/>
        </w:rPr>
        <w:lastRenderedPageBreak/>
        <w:t xml:space="preserve">iškraipyti. </w:t>
      </w:r>
      <w:r w:rsidR="00712365" w:rsidRPr="00DF5596">
        <w:rPr>
          <w:rFonts w:ascii="Times New Roman" w:hAnsi="Times New Roman" w:cs="Times New Roman"/>
          <w:sz w:val="24"/>
          <w:szCs w:val="24"/>
          <w:lang w:val="lt-LT"/>
        </w:rPr>
        <w:t>Taigi</w:t>
      </w:r>
      <w:r w:rsidR="00FF374C" w:rsidRPr="00DF5596">
        <w:rPr>
          <w:rFonts w:ascii="Times New Roman" w:hAnsi="Times New Roman" w:cs="Times New Roman"/>
          <w:sz w:val="24"/>
          <w:szCs w:val="24"/>
          <w:lang w:val="lt-LT"/>
        </w:rPr>
        <w:t xml:space="preserve">, </w:t>
      </w:r>
      <w:r w:rsidR="007E4BFD" w:rsidRPr="00DF5596">
        <w:rPr>
          <w:rFonts w:ascii="Times New Roman" w:hAnsi="Times New Roman" w:cs="Times New Roman"/>
          <w:sz w:val="24"/>
          <w:szCs w:val="24"/>
          <w:lang w:val="lt-LT"/>
        </w:rPr>
        <w:t>tik tuo atveju, jei išnagrinėjus elgesį, paaiškėja, kad šiuo elgesiu nesiekiama užkirsti kelio konkurencijai, jos riboti ar iškraipyti</w:t>
      </w:r>
      <w:r w:rsidR="006550AA" w:rsidRPr="00DF5596">
        <w:rPr>
          <w:rFonts w:ascii="Times New Roman" w:hAnsi="Times New Roman" w:cs="Times New Roman"/>
          <w:sz w:val="24"/>
          <w:szCs w:val="24"/>
          <w:lang w:val="lt-LT"/>
        </w:rPr>
        <w:t xml:space="preserve"> (kitaip tariant, kad tai nėra </w:t>
      </w:r>
      <w:r w:rsidR="00972AF9" w:rsidRPr="00DF5596">
        <w:rPr>
          <w:rFonts w:ascii="Times New Roman" w:hAnsi="Times New Roman" w:cs="Times New Roman"/>
          <w:sz w:val="24"/>
          <w:szCs w:val="24"/>
          <w:lang w:val="lt-LT"/>
        </w:rPr>
        <w:t>konkurencijos ribojimas „pagal tikslą“</w:t>
      </w:r>
      <w:r w:rsidR="006550AA" w:rsidRPr="00DF5596">
        <w:rPr>
          <w:rFonts w:ascii="Times New Roman" w:hAnsi="Times New Roman" w:cs="Times New Roman"/>
          <w:sz w:val="24"/>
          <w:szCs w:val="24"/>
          <w:lang w:val="lt-LT"/>
        </w:rPr>
        <w:t>)</w:t>
      </w:r>
      <w:r w:rsidR="007E4BFD" w:rsidRPr="00DF5596">
        <w:rPr>
          <w:rFonts w:ascii="Times New Roman" w:hAnsi="Times New Roman" w:cs="Times New Roman"/>
          <w:sz w:val="24"/>
          <w:szCs w:val="24"/>
          <w:lang w:val="lt-LT"/>
        </w:rPr>
        <w:t xml:space="preserve">, reikia nustatyti, ar jis gali patekti į </w:t>
      </w:r>
      <w:r w:rsidR="00EB7F3C" w:rsidRPr="00DF5596">
        <w:rPr>
          <w:rFonts w:ascii="Times New Roman" w:hAnsi="Times New Roman" w:cs="Times New Roman"/>
          <w:sz w:val="24"/>
          <w:szCs w:val="24"/>
          <w:lang w:val="lt-LT"/>
        </w:rPr>
        <w:t>minėtos</w:t>
      </w:r>
      <w:r w:rsidR="007E4BFD" w:rsidRPr="00DF5596">
        <w:rPr>
          <w:rFonts w:ascii="Times New Roman" w:hAnsi="Times New Roman" w:cs="Times New Roman"/>
          <w:sz w:val="24"/>
          <w:szCs w:val="24"/>
          <w:lang w:val="lt-LT"/>
        </w:rPr>
        <w:t xml:space="preserve"> jurisprudencijos taikymo sritį (</w:t>
      </w:r>
      <w:r w:rsidR="007665C8" w:rsidRPr="00B57001">
        <w:rPr>
          <w:rFonts w:ascii="Times New Roman" w:hAnsi="Times New Roman" w:cs="Times New Roman"/>
          <w:sz w:val="24"/>
          <w:szCs w:val="24"/>
          <w:lang w:val="lt-LT"/>
        </w:rPr>
        <w:t>2024 m. sausio 25 d.</w:t>
      </w:r>
      <w:r w:rsidR="00FB4248" w:rsidRPr="00B57001">
        <w:rPr>
          <w:rFonts w:ascii="Times New Roman" w:hAnsi="Times New Roman" w:cs="Times New Roman"/>
          <w:sz w:val="24"/>
          <w:szCs w:val="24"/>
          <w:lang w:val="lt-LT"/>
        </w:rPr>
        <w:t xml:space="preserve"> Teisingumo Teismo sprendimas</w:t>
      </w:r>
      <w:r w:rsidR="007665C8" w:rsidRPr="00B57001">
        <w:rPr>
          <w:rFonts w:ascii="Times New Roman" w:hAnsi="Times New Roman" w:cs="Times New Roman"/>
          <w:i/>
          <w:iCs/>
          <w:sz w:val="24"/>
          <w:szCs w:val="24"/>
          <w:lang w:val="lt-LT"/>
        </w:rPr>
        <w:t xml:space="preserve"> </w:t>
      </w:r>
      <w:proofErr w:type="spellStart"/>
      <w:r w:rsidR="007665C8" w:rsidRPr="00B57001">
        <w:rPr>
          <w:rFonts w:ascii="Times New Roman" w:hAnsi="Times New Roman" w:cs="Times New Roman"/>
          <w:i/>
          <w:iCs/>
          <w:sz w:val="24"/>
          <w:szCs w:val="24"/>
          <w:lang w:val="lt-LT"/>
        </w:rPr>
        <w:t>Em</w:t>
      </w:r>
      <w:proofErr w:type="spellEnd"/>
      <w:r w:rsidR="007665C8" w:rsidRPr="00B57001">
        <w:rPr>
          <w:rFonts w:ascii="Times New Roman" w:hAnsi="Times New Roman" w:cs="Times New Roman"/>
          <w:i/>
          <w:iCs/>
          <w:sz w:val="24"/>
          <w:szCs w:val="24"/>
          <w:lang w:val="lt-LT"/>
        </w:rPr>
        <w:t xml:space="preserve"> </w:t>
      </w:r>
      <w:proofErr w:type="spellStart"/>
      <w:r w:rsidR="007665C8" w:rsidRPr="00B57001">
        <w:rPr>
          <w:rFonts w:ascii="Times New Roman" w:hAnsi="Times New Roman" w:cs="Times New Roman"/>
          <w:i/>
          <w:iCs/>
          <w:sz w:val="24"/>
          <w:szCs w:val="24"/>
          <w:lang w:val="lt-LT"/>
        </w:rPr>
        <w:t>akaunt</w:t>
      </w:r>
      <w:proofErr w:type="spellEnd"/>
      <w:r w:rsidR="007665C8" w:rsidRPr="00B57001">
        <w:rPr>
          <w:rFonts w:ascii="Times New Roman" w:hAnsi="Times New Roman" w:cs="Times New Roman"/>
          <w:i/>
          <w:iCs/>
          <w:sz w:val="24"/>
          <w:szCs w:val="24"/>
          <w:lang w:val="lt-LT"/>
        </w:rPr>
        <w:t xml:space="preserve"> BG ЕООD</w:t>
      </w:r>
      <w:r w:rsidR="003302DC" w:rsidRPr="00B57001">
        <w:rPr>
          <w:rFonts w:ascii="Times New Roman" w:hAnsi="Times New Roman" w:cs="Times New Roman"/>
          <w:i/>
          <w:iCs/>
          <w:sz w:val="24"/>
          <w:szCs w:val="24"/>
          <w:lang w:val="lt-LT"/>
        </w:rPr>
        <w:t xml:space="preserve">, </w:t>
      </w:r>
      <w:r w:rsidR="007665C8" w:rsidRPr="00B57001">
        <w:rPr>
          <w:rFonts w:ascii="Times New Roman" w:hAnsi="Times New Roman" w:cs="Times New Roman"/>
          <w:sz w:val="24"/>
          <w:szCs w:val="24"/>
          <w:lang w:val="lt-LT"/>
        </w:rPr>
        <w:t>C</w:t>
      </w:r>
      <w:r w:rsidR="007665C8" w:rsidRPr="00B57001">
        <w:rPr>
          <w:rFonts w:ascii="Times New Roman" w:hAnsi="Times New Roman" w:cs="Times New Roman"/>
          <w:sz w:val="24"/>
          <w:szCs w:val="24"/>
          <w:lang w:val="lt-LT"/>
        </w:rPr>
        <w:noBreakHyphen/>
        <w:t>438/22, EU:C:2024:71 28-32 p.)</w:t>
      </w:r>
      <w:r w:rsidR="007E4BFD" w:rsidRPr="00B57001">
        <w:rPr>
          <w:rFonts w:ascii="Times New Roman" w:hAnsi="Times New Roman" w:cs="Times New Roman"/>
          <w:sz w:val="24"/>
          <w:szCs w:val="24"/>
          <w:lang w:val="lt-LT"/>
        </w:rPr>
        <w:t>.</w:t>
      </w:r>
      <w:r w:rsidR="00BA42C7" w:rsidRPr="00B57001">
        <w:rPr>
          <w:rFonts w:ascii="Times New Roman" w:hAnsi="Times New Roman" w:cs="Times New Roman"/>
          <w:sz w:val="24"/>
          <w:szCs w:val="24"/>
          <w:lang w:val="lt-LT"/>
        </w:rPr>
        <w:t xml:space="preserve"> </w:t>
      </w:r>
      <w:r w:rsidR="00397EA9">
        <w:rPr>
          <w:rFonts w:ascii="Times New Roman" w:hAnsi="Times New Roman" w:cs="Times New Roman"/>
          <w:sz w:val="24"/>
          <w:szCs w:val="24"/>
          <w:lang w:val="lt-LT"/>
        </w:rPr>
        <w:t xml:space="preserve"> </w:t>
      </w:r>
    </w:p>
    <w:p w14:paraId="2CB11BA5" w14:textId="794A541E" w:rsidR="00772C4C" w:rsidRPr="00D9677A" w:rsidRDefault="00872EEC" w:rsidP="008235C6">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A42C7">
        <w:rPr>
          <w:rFonts w:ascii="Times New Roman" w:hAnsi="Times New Roman" w:cs="Times New Roman"/>
          <w:sz w:val="24"/>
          <w:szCs w:val="24"/>
          <w:lang w:val="lt-LT"/>
        </w:rPr>
        <w:t xml:space="preserve">Analogiško požiūrio laikytasi ir Sprendime </w:t>
      </w:r>
      <w:r w:rsidR="00BA42C7" w:rsidRPr="006D4240">
        <w:rPr>
          <w:rFonts w:ascii="Times New Roman" w:hAnsi="Times New Roman" w:cs="Times New Roman"/>
          <w:i/>
          <w:iCs/>
          <w:sz w:val="24"/>
          <w:szCs w:val="24"/>
          <w:lang w:val="lt-LT"/>
        </w:rPr>
        <w:t>Notarų rūmai</w:t>
      </w:r>
      <w:r w:rsidR="00BA42C7">
        <w:rPr>
          <w:rFonts w:ascii="Times New Roman" w:hAnsi="Times New Roman" w:cs="Times New Roman"/>
          <w:sz w:val="24"/>
          <w:szCs w:val="24"/>
          <w:lang w:val="lt-LT"/>
        </w:rPr>
        <w:t xml:space="preserve"> (</w:t>
      </w:r>
      <w:r w:rsidR="00F048CE">
        <w:rPr>
          <w:rFonts w:ascii="Times New Roman" w:hAnsi="Times New Roman" w:cs="Times New Roman"/>
          <w:sz w:val="24"/>
          <w:szCs w:val="24"/>
          <w:lang w:val="lt-LT"/>
        </w:rPr>
        <w:t xml:space="preserve">žr. </w:t>
      </w:r>
      <w:r w:rsidR="00696C41">
        <w:rPr>
          <w:rFonts w:ascii="Times New Roman" w:hAnsi="Times New Roman" w:cs="Times New Roman"/>
          <w:sz w:val="24"/>
          <w:szCs w:val="24"/>
          <w:lang w:val="lt-LT"/>
        </w:rPr>
        <w:t>šio Teisingumo Teismo sprendimo 97–98 p.</w:t>
      </w:r>
      <w:r w:rsidR="00BA42C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712051">
        <w:rPr>
          <w:rFonts w:ascii="Times New Roman" w:hAnsi="Times New Roman" w:cs="Times New Roman"/>
          <w:sz w:val="24"/>
          <w:szCs w:val="24"/>
          <w:lang w:val="lt-LT"/>
        </w:rPr>
        <w:t>Be to, išplėstinė teisėjų kolegija pabrėžia, kad referavęs į pareiškėjų nurodytus Išaiškinimais siektus tikslus, Teisingumo Teismas konstatavo, kad bet kokiu atveju jie negali pateisinti t</w:t>
      </w:r>
      <w:r w:rsidR="00712051" w:rsidRPr="009A7C62">
        <w:rPr>
          <w:rFonts w:ascii="Times New Roman" w:hAnsi="Times New Roman" w:cs="Times New Roman"/>
          <w:sz w:val="24"/>
          <w:szCs w:val="24"/>
          <w:lang w:val="lt-LT"/>
        </w:rPr>
        <w:t>ok</w:t>
      </w:r>
      <w:r w:rsidR="00712051">
        <w:rPr>
          <w:rFonts w:ascii="Times New Roman" w:hAnsi="Times New Roman" w:cs="Times New Roman"/>
          <w:sz w:val="24"/>
          <w:szCs w:val="24"/>
          <w:lang w:val="lt-LT"/>
        </w:rPr>
        <w:t>ių</w:t>
      </w:r>
      <w:r w:rsidR="00712051" w:rsidRPr="009A7C62">
        <w:rPr>
          <w:rFonts w:ascii="Times New Roman" w:hAnsi="Times New Roman" w:cs="Times New Roman"/>
          <w:sz w:val="24"/>
          <w:szCs w:val="24"/>
          <w:lang w:val="lt-LT"/>
        </w:rPr>
        <w:t xml:space="preserve"> nutarim</w:t>
      </w:r>
      <w:r w:rsidR="00712051">
        <w:rPr>
          <w:rFonts w:ascii="Times New Roman" w:hAnsi="Times New Roman" w:cs="Times New Roman"/>
          <w:sz w:val="24"/>
          <w:szCs w:val="24"/>
          <w:lang w:val="lt-LT"/>
        </w:rPr>
        <w:t>ų</w:t>
      </w:r>
      <w:r w:rsidR="00712051" w:rsidRPr="009A7C62">
        <w:rPr>
          <w:rFonts w:ascii="Times New Roman" w:hAnsi="Times New Roman" w:cs="Times New Roman"/>
          <w:sz w:val="24"/>
          <w:szCs w:val="24"/>
          <w:lang w:val="lt-LT"/>
        </w:rPr>
        <w:t xml:space="preserve">, kaip Išaiškinimai, </w:t>
      </w:r>
      <w:r w:rsidR="00712051" w:rsidRPr="00D9677A">
        <w:rPr>
          <w:rFonts w:ascii="Times New Roman" w:hAnsi="Times New Roman" w:cs="Times New Roman"/>
          <w:sz w:val="24"/>
          <w:szCs w:val="24"/>
          <w:lang w:val="lt-LT"/>
        </w:rPr>
        <w:t xml:space="preserve">kurie turi būti laikomi konkurencijos ribojimu pagal tikslą, kaip tai suprantama pagal SESV 101 straipsnio 1 dalį (Sprendimo </w:t>
      </w:r>
      <w:r w:rsidR="00712051" w:rsidRPr="00D9677A">
        <w:rPr>
          <w:rFonts w:ascii="Times New Roman" w:hAnsi="Times New Roman" w:cs="Times New Roman"/>
          <w:i/>
          <w:iCs/>
          <w:sz w:val="24"/>
          <w:szCs w:val="24"/>
          <w:lang w:val="lt-LT"/>
        </w:rPr>
        <w:t>Notarų rūmai</w:t>
      </w:r>
      <w:r w:rsidR="00712051" w:rsidRPr="00D9677A">
        <w:rPr>
          <w:rFonts w:ascii="Times New Roman" w:hAnsi="Times New Roman" w:cs="Times New Roman"/>
          <w:sz w:val="24"/>
          <w:szCs w:val="24"/>
          <w:lang w:val="lt-LT"/>
        </w:rPr>
        <w:t xml:space="preserve"> 102 p.).</w:t>
      </w:r>
    </w:p>
    <w:p w14:paraId="20467E44" w14:textId="19D5AA11" w:rsidR="000C7F60" w:rsidRPr="000B5C7B" w:rsidRDefault="007E4BFD" w:rsidP="00E01CFB">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0B5C7B">
        <w:rPr>
          <w:rFonts w:ascii="Times New Roman" w:hAnsi="Times New Roman" w:cs="Times New Roman"/>
          <w:sz w:val="24"/>
          <w:szCs w:val="24"/>
          <w:lang w:val="lt-LT"/>
        </w:rPr>
        <w:t xml:space="preserve"> </w:t>
      </w:r>
      <w:r w:rsidR="00B960F8">
        <w:rPr>
          <w:rFonts w:ascii="Times New Roman" w:hAnsi="Times New Roman" w:cs="Times New Roman"/>
          <w:sz w:val="24"/>
          <w:szCs w:val="24"/>
          <w:lang w:val="lt-LT"/>
        </w:rPr>
        <w:t>V</w:t>
      </w:r>
      <w:r w:rsidR="00564815" w:rsidRPr="00564815">
        <w:rPr>
          <w:rFonts w:ascii="Times New Roman" w:hAnsi="Times New Roman" w:cs="Times New Roman"/>
          <w:sz w:val="24"/>
          <w:szCs w:val="24"/>
          <w:lang w:val="lt-LT"/>
        </w:rPr>
        <w:t xml:space="preserve">adovaujantis Teisingumo Teismo pateiktais išaiškinimais, darytina išvada, kad veiksmai, kuriais konkurencija ribojama „dėl tikslo“, kaip tai suprantama pagal SESV 101 straipsnio 1 dalį, dėl jų žalingumo konkurencijai </w:t>
      </w:r>
      <w:r w:rsidR="00564815" w:rsidRPr="00564815">
        <w:rPr>
          <w:rFonts w:ascii="Times New Roman" w:hAnsi="Times New Roman" w:cs="Times New Roman"/>
          <w:i/>
          <w:iCs/>
          <w:sz w:val="24"/>
          <w:szCs w:val="24"/>
          <w:lang w:val="lt-LT"/>
        </w:rPr>
        <w:t xml:space="preserve">per </w:t>
      </w:r>
      <w:proofErr w:type="spellStart"/>
      <w:r w:rsidR="00564815" w:rsidRPr="00564815">
        <w:rPr>
          <w:rFonts w:ascii="Times New Roman" w:hAnsi="Times New Roman" w:cs="Times New Roman"/>
          <w:i/>
          <w:iCs/>
          <w:sz w:val="24"/>
          <w:szCs w:val="24"/>
          <w:lang w:val="lt-LT"/>
        </w:rPr>
        <w:t>se</w:t>
      </w:r>
      <w:proofErr w:type="spellEnd"/>
      <w:r w:rsidR="00564815" w:rsidRPr="00564815">
        <w:rPr>
          <w:rFonts w:ascii="Times New Roman" w:hAnsi="Times New Roman" w:cs="Times New Roman"/>
          <w:sz w:val="24"/>
          <w:szCs w:val="24"/>
          <w:lang w:val="lt-LT"/>
        </w:rPr>
        <w:t xml:space="preserve"> patenka į šio</w:t>
      </w:r>
      <w:r w:rsidR="00BE6798">
        <w:rPr>
          <w:rFonts w:ascii="Times New Roman" w:hAnsi="Times New Roman" w:cs="Times New Roman"/>
          <w:sz w:val="24"/>
          <w:szCs w:val="24"/>
          <w:lang w:val="lt-LT"/>
        </w:rPr>
        <w:t>s</w:t>
      </w:r>
      <w:r w:rsidR="00564815" w:rsidRPr="00564815">
        <w:rPr>
          <w:rFonts w:ascii="Times New Roman" w:hAnsi="Times New Roman" w:cs="Times New Roman"/>
          <w:sz w:val="24"/>
          <w:szCs w:val="24"/>
          <w:lang w:val="lt-LT"/>
        </w:rPr>
        <w:t xml:space="preserve"> </w:t>
      </w:r>
      <w:r w:rsidR="00564815">
        <w:rPr>
          <w:rFonts w:ascii="Times New Roman" w:hAnsi="Times New Roman" w:cs="Times New Roman"/>
          <w:sz w:val="24"/>
          <w:szCs w:val="24"/>
          <w:lang w:val="lt-LT"/>
        </w:rPr>
        <w:t xml:space="preserve">nuostatos </w:t>
      </w:r>
      <w:r w:rsidR="00564815" w:rsidRPr="00564815">
        <w:rPr>
          <w:rFonts w:ascii="Times New Roman" w:hAnsi="Times New Roman" w:cs="Times New Roman"/>
          <w:sz w:val="24"/>
          <w:szCs w:val="24"/>
          <w:lang w:val="lt-LT"/>
        </w:rPr>
        <w:t xml:space="preserve">draudimo apimtį. Atitinkamai, tokiais atvejais nebeturi reikšmės, ar šie veiksmai galėtų būti pateisinami teisėtais bendrojo intereso tikslais, ar juos įgyvendinant taikomos priemonės yra būtinos minėtiems tikslams pasiekti ir </w:t>
      </w:r>
      <w:r w:rsidR="00896BA8">
        <w:rPr>
          <w:rFonts w:ascii="Times New Roman" w:hAnsi="Times New Roman" w:cs="Times New Roman"/>
          <w:sz w:val="24"/>
          <w:szCs w:val="24"/>
          <w:lang w:val="lt-LT"/>
        </w:rPr>
        <w:t xml:space="preserve">jų </w:t>
      </w:r>
      <w:r w:rsidR="00FA7B7A" w:rsidRPr="00FA7B7A">
        <w:rPr>
          <w:rFonts w:ascii="Times New Roman" w:hAnsi="Times New Roman" w:cs="Times New Roman"/>
          <w:sz w:val="24"/>
          <w:szCs w:val="24"/>
          <w:lang w:val="lt-LT"/>
        </w:rPr>
        <w:t xml:space="preserve">neatsiejamas poveikis </w:t>
      </w:r>
      <w:r w:rsidR="00896BA8" w:rsidRPr="00896BA8">
        <w:rPr>
          <w:rFonts w:ascii="Times New Roman" w:hAnsi="Times New Roman" w:cs="Times New Roman"/>
          <w:sz w:val="24"/>
          <w:szCs w:val="24"/>
          <w:lang w:val="lt-LT"/>
        </w:rPr>
        <w:t xml:space="preserve">riboti arba bent jau potencialiai iškraipyti konkurenciją </w:t>
      </w:r>
      <w:r w:rsidR="005D1AA8">
        <w:rPr>
          <w:rFonts w:ascii="Times New Roman" w:hAnsi="Times New Roman" w:cs="Times New Roman"/>
          <w:sz w:val="24"/>
          <w:szCs w:val="24"/>
          <w:lang w:val="lt-LT"/>
        </w:rPr>
        <w:t xml:space="preserve">(jei toks yra) </w:t>
      </w:r>
      <w:r w:rsidR="00FA7B7A" w:rsidRPr="00FA7B7A">
        <w:rPr>
          <w:rFonts w:ascii="Times New Roman" w:hAnsi="Times New Roman" w:cs="Times New Roman"/>
          <w:sz w:val="24"/>
          <w:szCs w:val="24"/>
          <w:lang w:val="lt-LT"/>
        </w:rPr>
        <w:t>neviršija to, kas būtina, visų pirma nepanaikina jokios konkurencijos.</w:t>
      </w:r>
    </w:p>
    <w:p w14:paraId="12C26D13" w14:textId="2302F9A5" w:rsidR="00FF5531" w:rsidRPr="00BB02D6" w:rsidRDefault="003E4387" w:rsidP="00BB02D6">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B821DC">
        <w:rPr>
          <w:rFonts w:ascii="Times New Roman" w:hAnsi="Times New Roman" w:cs="Times New Roman"/>
          <w:sz w:val="24"/>
          <w:szCs w:val="24"/>
          <w:lang w:val="lt-LT"/>
        </w:rPr>
        <w:t xml:space="preserve"> </w:t>
      </w:r>
      <w:r w:rsidR="00B67674">
        <w:rPr>
          <w:rFonts w:ascii="Times New Roman" w:hAnsi="Times New Roman" w:cs="Times New Roman"/>
          <w:sz w:val="24"/>
          <w:szCs w:val="24"/>
          <w:lang w:val="lt-LT"/>
        </w:rPr>
        <w:t>Tuo metu</w:t>
      </w:r>
      <w:r w:rsidR="005B1F3D" w:rsidRPr="00B821DC">
        <w:rPr>
          <w:rFonts w:ascii="Times New Roman" w:hAnsi="Times New Roman" w:cs="Times New Roman"/>
          <w:sz w:val="24"/>
          <w:szCs w:val="24"/>
          <w:lang w:val="lt-LT"/>
        </w:rPr>
        <w:t xml:space="preserve"> </w:t>
      </w:r>
      <w:r w:rsidR="006F49A9" w:rsidRPr="00DF5596">
        <w:rPr>
          <w:rFonts w:ascii="Times New Roman" w:hAnsi="Times New Roman" w:cs="Times New Roman"/>
          <w:sz w:val="24"/>
          <w:szCs w:val="24"/>
          <w:lang w:val="lt-LT"/>
        </w:rPr>
        <w:t>dėl veiksmų, kurių tikslas yra konkurencijos trukdymas, ribojimas arba iškraipymas,</w:t>
      </w:r>
      <w:r w:rsidR="00ED75BB" w:rsidRPr="00DF5596">
        <w:rPr>
          <w:rFonts w:ascii="Times New Roman" w:hAnsi="Times New Roman" w:cs="Times New Roman"/>
          <w:sz w:val="24"/>
          <w:szCs w:val="24"/>
          <w:lang w:val="lt-LT"/>
        </w:rPr>
        <w:t xml:space="preserve"> vadovaujantis Teisingumo Teismo jurisprudencija,</w:t>
      </w:r>
      <w:r w:rsidR="006F49A9" w:rsidRPr="00DF5596">
        <w:rPr>
          <w:rFonts w:ascii="Times New Roman" w:hAnsi="Times New Roman" w:cs="Times New Roman"/>
          <w:sz w:val="24"/>
          <w:szCs w:val="24"/>
          <w:lang w:val="lt-LT"/>
        </w:rPr>
        <w:t xml:space="preserve"> tik taikant SESV 101 straipsnio 3 dalį ir įvykdžius visas šioje nuostatoje numatytas sąlygas jiems gali būti taikoma SESV 101 straipsnio 1 dalyje numatyto draudimo išimtis. </w:t>
      </w:r>
      <w:r w:rsidR="006F49A9" w:rsidRPr="00236812">
        <w:rPr>
          <w:rFonts w:ascii="Times New Roman" w:hAnsi="Times New Roman" w:cs="Times New Roman"/>
          <w:sz w:val="24"/>
          <w:szCs w:val="24"/>
          <w:lang w:val="lt-LT"/>
        </w:rPr>
        <w:t>Šiuo klausimu Teisingumo Teismas jau nusprendė, kad SESV 101 straipsnio 3 dalyje numatytą išimtį galima taikyti tik tuomet, kai įvykdytos keturios šioje nuostatoje nurodytos kumuliacinės sąlygos. Šios sąlygos yra: pirma, atitinkamas kartelis turi padėti tobulinti atitinkamų prekių gamybą arba paskirstymą ar atitinkamų paslaugų teikimą arba paskirstymą ar skatinti technikos arba ekonomikos pažangą, antra, sudaryti sąlygas vartotojams sąžiningai dalytis gaunama nauda, trečia, nenustatyti jokių nebūtinų apribojimų įmonėms dalyvėms ir, ketvirta, nesuteikti joms galimybės panaikinti konkurenciją didelei atitinkamų produktų arba paslaugų daliai</w:t>
      </w:r>
      <w:r w:rsidR="006F49A9" w:rsidRPr="00B821DC">
        <w:rPr>
          <w:rFonts w:ascii="Times New Roman" w:hAnsi="Times New Roman" w:cs="Times New Roman"/>
          <w:sz w:val="24"/>
          <w:szCs w:val="24"/>
          <w:lang w:val="lt-LT"/>
        </w:rPr>
        <w:t xml:space="preserve"> (Sprendimo </w:t>
      </w:r>
      <w:r w:rsidR="006F49A9" w:rsidRPr="00B821DC">
        <w:rPr>
          <w:rFonts w:ascii="Times New Roman" w:hAnsi="Times New Roman" w:cs="Times New Roman"/>
          <w:i/>
          <w:iCs/>
          <w:sz w:val="24"/>
          <w:szCs w:val="24"/>
          <w:lang w:val="lt-LT"/>
        </w:rPr>
        <w:t>Notarų rūmai</w:t>
      </w:r>
      <w:r w:rsidR="006F49A9" w:rsidRPr="00B821DC">
        <w:rPr>
          <w:rFonts w:ascii="Times New Roman" w:hAnsi="Times New Roman" w:cs="Times New Roman"/>
          <w:sz w:val="24"/>
          <w:szCs w:val="24"/>
          <w:lang w:val="lt-LT"/>
        </w:rPr>
        <w:t xml:space="preserve"> 99–100 p.).</w:t>
      </w:r>
      <w:r w:rsidR="00EE55FF" w:rsidRPr="00B821DC">
        <w:rPr>
          <w:rFonts w:ascii="Times New Roman" w:hAnsi="Times New Roman" w:cs="Times New Roman"/>
          <w:sz w:val="24"/>
          <w:szCs w:val="24"/>
          <w:lang w:val="lt-LT"/>
        </w:rPr>
        <w:t xml:space="preserve"> </w:t>
      </w:r>
      <w:r w:rsidR="00CC4E72">
        <w:rPr>
          <w:rFonts w:ascii="Times New Roman" w:hAnsi="Times New Roman" w:cs="Times New Roman"/>
          <w:sz w:val="24"/>
          <w:szCs w:val="24"/>
          <w:lang w:val="lt-LT"/>
        </w:rPr>
        <w:t>Vis dėlto i</w:t>
      </w:r>
      <w:r w:rsidR="0042664A" w:rsidRPr="00B821DC">
        <w:rPr>
          <w:rFonts w:ascii="Times New Roman" w:hAnsi="Times New Roman" w:cs="Times New Roman"/>
          <w:sz w:val="24"/>
          <w:szCs w:val="24"/>
          <w:lang w:val="lt-LT"/>
        </w:rPr>
        <w:t>šplėstinė teisėjų kolegija nenustatė</w:t>
      </w:r>
      <w:r w:rsidR="003812D8">
        <w:rPr>
          <w:rFonts w:ascii="Times New Roman" w:hAnsi="Times New Roman" w:cs="Times New Roman"/>
          <w:sz w:val="24"/>
          <w:szCs w:val="24"/>
          <w:lang w:val="lt-LT"/>
        </w:rPr>
        <w:t xml:space="preserve"> jokių argumentų, kuriais </w:t>
      </w:r>
      <w:r w:rsidR="008D1D24" w:rsidRPr="00B821DC">
        <w:rPr>
          <w:rFonts w:ascii="Times New Roman" w:hAnsi="Times New Roman" w:cs="Times New Roman"/>
          <w:sz w:val="24"/>
          <w:szCs w:val="24"/>
          <w:lang w:val="lt-LT"/>
        </w:rPr>
        <w:t xml:space="preserve"> pareiškėjai nagrinėjamoje byloje </w:t>
      </w:r>
      <w:r w:rsidR="00604A7D">
        <w:rPr>
          <w:rFonts w:ascii="Times New Roman" w:hAnsi="Times New Roman" w:cs="Times New Roman"/>
          <w:sz w:val="24"/>
          <w:szCs w:val="24"/>
          <w:lang w:val="lt-LT"/>
        </w:rPr>
        <w:t xml:space="preserve">būtų siekę pagrįsti </w:t>
      </w:r>
      <w:r w:rsidR="00C3430C" w:rsidRPr="00B821DC">
        <w:rPr>
          <w:rFonts w:ascii="Times New Roman" w:hAnsi="Times New Roman" w:cs="Times New Roman"/>
          <w:sz w:val="24"/>
          <w:szCs w:val="24"/>
          <w:lang w:val="lt-LT"/>
        </w:rPr>
        <w:t>SESV 101 straipsnio 3 dali</w:t>
      </w:r>
      <w:r w:rsidR="00604A7D">
        <w:rPr>
          <w:rFonts w:ascii="Times New Roman" w:hAnsi="Times New Roman" w:cs="Times New Roman"/>
          <w:sz w:val="24"/>
          <w:szCs w:val="24"/>
          <w:lang w:val="lt-LT"/>
        </w:rPr>
        <w:t>es</w:t>
      </w:r>
      <w:r w:rsidR="00B16D92">
        <w:rPr>
          <w:rFonts w:ascii="Times New Roman" w:hAnsi="Times New Roman" w:cs="Times New Roman"/>
          <w:sz w:val="24"/>
          <w:szCs w:val="24"/>
          <w:lang w:val="lt-LT"/>
        </w:rPr>
        <w:t xml:space="preserve"> taikymą. </w:t>
      </w:r>
      <w:bookmarkEnd w:id="128"/>
    </w:p>
    <w:p w14:paraId="47DF242E" w14:textId="754B7799" w:rsidR="00FF5531" w:rsidRDefault="00FF5531" w:rsidP="00FF553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4114DD">
        <w:rPr>
          <w:rFonts w:ascii="Times New Roman" w:hAnsi="Times New Roman" w:cs="Times New Roman"/>
          <w:sz w:val="24"/>
          <w:szCs w:val="24"/>
          <w:lang w:val="lt-LT"/>
        </w:rPr>
        <w:t xml:space="preserve"> Atsižvelgiant į </w:t>
      </w:r>
      <w:r w:rsidR="00152E98">
        <w:rPr>
          <w:rFonts w:ascii="Times New Roman" w:hAnsi="Times New Roman" w:cs="Times New Roman"/>
          <w:sz w:val="24"/>
          <w:szCs w:val="24"/>
          <w:lang w:val="lt-LT"/>
        </w:rPr>
        <w:t>tai, kas išdėstyta</w:t>
      </w:r>
      <w:r w:rsidRPr="004114DD">
        <w:rPr>
          <w:rFonts w:ascii="Times New Roman" w:hAnsi="Times New Roman" w:cs="Times New Roman"/>
          <w:sz w:val="24"/>
          <w:szCs w:val="24"/>
          <w:lang w:val="lt-LT"/>
        </w:rPr>
        <w:t xml:space="preserve">, konstatuotina, kad ginčijamame Nutarime nurodyti Išaiškinimai turi būti laikomi konkurencijos ribojimu pagal tikslą, kaip tai suprantama pagal SESV 101 straipsnį ir pagal Konkurencijos įstatymo 5 straipsnį, </w:t>
      </w:r>
      <w:r w:rsidR="005A6FB2">
        <w:rPr>
          <w:rFonts w:ascii="Times New Roman" w:hAnsi="Times New Roman" w:cs="Times New Roman"/>
          <w:sz w:val="24"/>
          <w:szCs w:val="24"/>
          <w:lang w:val="lt-LT"/>
        </w:rPr>
        <w:t>o</w:t>
      </w:r>
      <w:r w:rsidRPr="004114DD">
        <w:rPr>
          <w:rFonts w:ascii="Times New Roman" w:hAnsi="Times New Roman" w:cs="Times New Roman"/>
          <w:sz w:val="24"/>
          <w:szCs w:val="24"/>
          <w:lang w:val="lt-LT"/>
        </w:rPr>
        <w:t xml:space="preserve"> pareiškėjų nurod</w:t>
      </w:r>
      <w:r w:rsidR="005A6FB2">
        <w:rPr>
          <w:rFonts w:ascii="Times New Roman" w:hAnsi="Times New Roman" w:cs="Times New Roman"/>
          <w:sz w:val="24"/>
          <w:szCs w:val="24"/>
          <w:lang w:val="lt-LT"/>
        </w:rPr>
        <w:t>yti</w:t>
      </w:r>
      <w:r w:rsidRPr="004114DD">
        <w:rPr>
          <w:rFonts w:ascii="Times New Roman" w:hAnsi="Times New Roman" w:cs="Times New Roman"/>
          <w:sz w:val="24"/>
          <w:szCs w:val="24"/>
          <w:lang w:val="lt-LT"/>
        </w:rPr>
        <w:t xml:space="preserve"> tikslai</w:t>
      </w:r>
      <w:r w:rsidR="005A6FB2">
        <w:rPr>
          <w:rFonts w:ascii="Times New Roman" w:hAnsi="Times New Roman" w:cs="Times New Roman"/>
          <w:sz w:val="24"/>
          <w:szCs w:val="24"/>
          <w:lang w:val="lt-LT"/>
        </w:rPr>
        <w:t xml:space="preserve"> šiame kontekste </w:t>
      </w:r>
      <w:r w:rsidR="00E00E4A">
        <w:rPr>
          <w:rFonts w:ascii="Times New Roman" w:hAnsi="Times New Roman" w:cs="Times New Roman"/>
          <w:sz w:val="24"/>
          <w:szCs w:val="24"/>
          <w:lang w:val="lt-LT"/>
        </w:rPr>
        <w:t>neturi reikšmės, todėl nevertintini</w:t>
      </w:r>
      <w:r w:rsidRPr="004114DD">
        <w:rPr>
          <w:rFonts w:ascii="Times New Roman" w:hAnsi="Times New Roman" w:cs="Times New Roman"/>
          <w:sz w:val="24"/>
          <w:szCs w:val="24"/>
          <w:lang w:val="lt-LT"/>
        </w:rPr>
        <w:t>.</w:t>
      </w:r>
      <w:r w:rsidR="00091EDB">
        <w:rPr>
          <w:rFonts w:ascii="Times New Roman" w:hAnsi="Times New Roman" w:cs="Times New Roman"/>
          <w:sz w:val="24"/>
          <w:szCs w:val="24"/>
          <w:lang w:val="lt-LT"/>
        </w:rPr>
        <w:t xml:space="preserve"> </w:t>
      </w:r>
    </w:p>
    <w:p w14:paraId="567BCDFA" w14:textId="5EBF7141" w:rsidR="00FF5531" w:rsidRDefault="002A3B66" w:rsidP="00E701E2">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061C76">
        <w:rPr>
          <w:rFonts w:ascii="Times New Roman" w:hAnsi="Times New Roman" w:cs="Times New Roman"/>
          <w:sz w:val="24"/>
          <w:szCs w:val="24"/>
          <w:lang w:val="lt-LT"/>
        </w:rPr>
        <w:t xml:space="preserve"> </w:t>
      </w:r>
      <w:r w:rsidR="003F2899" w:rsidRPr="00061C76">
        <w:rPr>
          <w:rFonts w:ascii="Times New Roman" w:hAnsi="Times New Roman" w:cs="Times New Roman"/>
          <w:sz w:val="24"/>
          <w:szCs w:val="24"/>
          <w:lang w:val="lt-LT"/>
        </w:rPr>
        <w:t>Apibendrindama, išplėstinė teisėjų kolegija sprendžia, kad</w:t>
      </w:r>
      <w:r w:rsidR="00376019" w:rsidRPr="00061C76">
        <w:rPr>
          <w:rFonts w:ascii="Times New Roman" w:eastAsia="Times New Roman" w:hAnsi="Times New Roman" w:cs="Times New Roman"/>
          <w:sz w:val="24"/>
          <w:szCs w:val="24"/>
          <w:lang w:val="lt-LT"/>
        </w:rPr>
        <w:t xml:space="preserve"> SESV 101 straipsnio 1 dalies </w:t>
      </w:r>
      <w:r w:rsidR="00D62E2A" w:rsidRPr="00061C76">
        <w:rPr>
          <w:rFonts w:ascii="Times New Roman" w:eastAsia="Times New Roman" w:hAnsi="Times New Roman" w:cs="Times New Roman"/>
          <w:sz w:val="24"/>
          <w:szCs w:val="24"/>
          <w:lang w:val="lt-LT"/>
        </w:rPr>
        <w:t xml:space="preserve">bei Konkurencijos įstatymo </w:t>
      </w:r>
      <w:r w:rsidR="00376019" w:rsidRPr="00061C76">
        <w:rPr>
          <w:rFonts w:ascii="Times New Roman" w:eastAsia="Times New Roman" w:hAnsi="Times New Roman" w:cs="Times New Roman"/>
          <w:sz w:val="24"/>
          <w:szCs w:val="24"/>
          <w:lang w:val="lt-LT"/>
        </w:rPr>
        <w:t>prasme</w:t>
      </w:r>
      <w:r w:rsidR="004623C5" w:rsidRPr="00061C76">
        <w:rPr>
          <w:rFonts w:ascii="Times New Roman" w:hAnsi="Times New Roman" w:cs="Times New Roman"/>
          <w:sz w:val="24"/>
          <w:szCs w:val="24"/>
          <w:lang w:val="lt-LT"/>
        </w:rPr>
        <w:t>:</w:t>
      </w:r>
      <w:r w:rsidR="00E01D32" w:rsidRPr="00061C76">
        <w:rPr>
          <w:rFonts w:ascii="Times New Roman" w:hAnsi="Times New Roman" w:cs="Times New Roman"/>
          <w:sz w:val="24"/>
          <w:szCs w:val="24"/>
          <w:lang w:val="lt-LT"/>
        </w:rPr>
        <w:t xml:space="preserve"> i)</w:t>
      </w:r>
      <w:r w:rsidR="003F2899" w:rsidRPr="00061C76">
        <w:rPr>
          <w:rFonts w:ascii="Times New Roman" w:hAnsi="Times New Roman" w:cs="Times New Roman"/>
          <w:sz w:val="24"/>
          <w:szCs w:val="24"/>
          <w:lang w:val="lt-LT"/>
        </w:rPr>
        <w:t xml:space="preserve"> </w:t>
      </w:r>
      <w:r w:rsidR="00167758" w:rsidRPr="00061C76">
        <w:rPr>
          <w:rFonts w:ascii="Times New Roman" w:eastAsia="Times New Roman" w:hAnsi="Times New Roman" w:cs="Times New Roman"/>
          <w:sz w:val="24"/>
          <w:szCs w:val="24"/>
          <w:lang w:val="lt-LT"/>
        </w:rPr>
        <w:t>notarų veikla, dėl kurios priimti Išaiškinimai, laikytina ekonomine veikla, o notarai, užsiimdami šia veikla, laikytini įmonėmis</w:t>
      </w:r>
      <w:r w:rsidR="00B25803" w:rsidRPr="00061C76">
        <w:rPr>
          <w:rFonts w:ascii="Times New Roman" w:eastAsia="Times New Roman" w:hAnsi="Times New Roman" w:cs="Times New Roman"/>
          <w:sz w:val="24"/>
          <w:szCs w:val="24"/>
          <w:lang w:val="lt-LT"/>
        </w:rPr>
        <w:t xml:space="preserve">; ii) </w:t>
      </w:r>
      <w:r w:rsidR="0070176D" w:rsidRPr="00061C76">
        <w:rPr>
          <w:rFonts w:ascii="Times New Roman" w:hAnsi="Times New Roman" w:cs="Times New Roman"/>
          <w:sz w:val="24"/>
          <w:szCs w:val="24"/>
          <w:lang w:val="lt-LT"/>
        </w:rPr>
        <w:t xml:space="preserve"> </w:t>
      </w:r>
      <w:r w:rsidR="00B15EAA" w:rsidRPr="00061C76">
        <w:rPr>
          <w:rFonts w:ascii="Times New Roman" w:eastAsia="Times New Roman" w:hAnsi="Times New Roman" w:cs="Times New Roman"/>
          <w:sz w:val="24"/>
          <w:szCs w:val="24"/>
          <w:lang w:val="lt-LT"/>
        </w:rPr>
        <w:t>Notarų rūmai, kiek tai susiję su Išaiškinim</w:t>
      </w:r>
      <w:r w:rsidR="00EA17C1">
        <w:rPr>
          <w:rFonts w:ascii="Times New Roman" w:eastAsia="Times New Roman" w:hAnsi="Times New Roman" w:cs="Times New Roman"/>
          <w:sz w:val="24"/>
          <w:szCs w:val="24"/>
          <w:lang w:val="lt-LT"/>
        </w:rPr>
        <w:t>ų priėmimu</w:t>
      </w:r>
      <w:r w:rsidR="00B15EAA" w:rsidRPr="00061C76">
        <w:rPr>
          <w:rFonts w:ascii="Times New Roman" w:eastAsia="Times New Roman" w:hAnsi="Times New Roman" w:cs="Times New Roman"/>
          <w:sz w:val="24"/>
          <w:szCs w:val="24"/>
          <w:lang w:val="lt-LT"/>
        </w:rPr>
        <w:t>, laikytini įmonių (ūkio subjektų) asociacija</w:t>
      </w:r>
      <w:r w:rsidR="00545398" w:rsidRPr="00061C76">
        <w:rPr>
          <w:rFonts w:ascii="Times New Roman" w:eastAsia="Times New Roman" w:hAnsi="Times New Roman" w:cs="Times New Roman"/>
          <w:sz w:val="24"/>
          <w:szCs w:val="24"/>
          <w:lang w:val="lt-LT"/>
        </w:rPr>
        <w:t xml:space="preserve">; iii) </w:t>
      </w:r>
      <w:r w:rsidR="008D5552" w:rsidRPr="00061C76">
        <w:rPr>
          <w:rFonts w:ascii="Times New Roman" w:eastAsia="Times New Roman" w:hAnsi="Times New Roman" w:cs="Times New Roman"/>
          <w:sz w:val="24"/>
          <w:szCs w:val="24"/>
          <w:lang w:val="lt-LT"/>
        </w:rPr>
        <w:t xml:space="preserve">Išaiškinimai laikytini </w:t>
      </w:r>
      <w:r w:rsidR="00545398" w:rsidRPr="00061C76">
        <w:rPr>
          <w:rFonts w:ascii="Times New Roman" w:eastAsia="Times New Roman" w:hAnsi="Times New Roman" w:cs="Times New Roman"/>
          <w:sz w:val="24"/>
          <w:szCs w:val="24"/>
          <w:lang w:val="lt-LT"/>
        </w:rPr>
        <w:t>įmonių asociacijos sprendimai</w:t>
      </w:r>
      <w:r w:rsidR="008D5552" w:rsidRPr="00061C76">
        <w:rPr>
          <w:rFonts w:ascii="Times New Roman" w:eastAsia="Times New Roman" w:hAnsi="Times New Roman" w:cs="Times New Roman"/>
          <w:sz w:val="24"/>
          <w:szCs w:val="24"/>
          <w:lang w:val="lt-LT"/>
        </w:rPr>
        <w:t>s</w:t>
      </w:r>
      <w:r w:rsidR="00545398" w:rsidRPr="00061C76">
        <w:rPr>
          <w:rFonts w:ascii="Times New Roman" w:eastAsia="Times New Roman" w:hAnsi="Times New Roman" w:cs="Times New Roman"/>
          <w:sz w:val="24"/>
          <w:szCs w:val="24"/>
          <w:lang w:val="lt-LT"/>
        </w:rPr>
        <w:t xml:space="preserve">, </w:t>
      </w:r>
      <w:r w:rsidR="00C17CE2" w:rsidRPr="00061C76">
        <w:rPr>
          <w:rFonts w:ascii="Times New Roman" w:eastAsia="Times New Roman" w:hAnsi="Times New Roman" w:cs="Times New Roman"/>
          <w:sz w:val="24"/>
          <w:szCs w:val="24"/>
          <w:lang w:val="lt-LT"/>
        </w:rPr>
        <w:t>kurie apribojo konkurenciją „pagal tikslą“</w:t>
      </w:r>
      <w:r w:rsidR="00CD174A" w:rsidRPr="00061C76">
        <w:rPr>
          <w:rFonts w:ascii="Times New Roman" w:eastAsia="Times New Roman" w:hAnsi="Times New Roman" w:cs="Times New Roman"/>
          <w:sz w:val="24"/>
          <w:szCs w:val="24"/>
          <w:lang w:val="lt-LT"/>
        </w:rPr>
        <w:t>, todėl</w:t>
      </w:r>
      <w:r w:rsidR="00E63B4F" w:rsidRPr="00061C76">
        <w:rPr>
          <w:rFonts w:ascii="Times New Roman" w:eastAsia="Times New Roman" w:hAnsi="Times New Roman" w:cs="Times New Roman"/>
          <w:sz w:val="24"/>
          <w:szCs w:val="24"/>
          <w:lang w:val="lt-LT"/>
        </w:rPr>
        <w:t xml:space="preserve"> patenka į</w:t>
      </w:r>
      <w:r w:rsidR="009C558B" w:rsidRPr="00061C76">
        <w:rPr>
          <w:rFonts w:ascii="Times New Roman" w:eastAsia="Times New Roman" w:hAnsi="Times New Roman" w:cs="Times New Roman"/>
          <w:sz w:val="24"/>
          <w:szCs w:val="24"/>
          <w:lang w:val="lt-LT"/>
        </w:rPr>
        <w:t xml:space="preserve"> </w:t>
      </w:r>
      <w:r w:rsidR="00C30E3F" w:rsidRPr="00061C76">
        <w:rPr>
          <w:rFonts w:ascii="Times New Roman" w:eastAsia="Times New Roman" w:hAnsi="Times New Roman" w:cs="Times New Roman"/>
          <w:sz w:val="24"/>
          <w:szCs w:val="24"/>
          <w:lang w:val="lt-LT"/>
        </w:rPr>
        <w:t>SESV 101 straipsnio 1 dali</w:t>
      </w:r>
      <w:r w:rsidR="00E63B4F" w:rsidRPr="00061C76">
        <w:rPr>
          <w:rFonts w:ascii="Times New Roman" w:eastAsia="Times New Roman" w:hAnsi="Times New Roman" w:cs="Times New Roman"/>
          <w:sz w:val="24"/>
          <w:szCs w:val="24"/>
          <w:lang w:val="lt-LT"/>
        </w:rPr>
        <w:t>es</w:t>
      </w:r>
      <w:r w:rsidR="00C17CE2" w:rsidRPr="00061C76">
        <w:rPr>
          <w:rFonts w:ascii="Times New Roman" w:eastAsia="Times New Roman" w:hAnsi="Times New Roman" w:cs="Times New Roman"/>
          <w:sz w:val="24"/>
          <w:szCs w:val="24"/>
          <w:lang w:val="lt-LT"/>
        </w:rPr>
        <w:t xml:space="preserve"> ir</w:t>
      </w:r>
      <w:r w:rsidR="00E63B4F" w:rsidRPr="00061C76">
        <w:rPr>
          <w:rFonts w:ascii="Times New Roman" w:eastAsia="Times New Roman" w:hAnsi="Times New Roman" w:cs="Times New Roman"/>
          <w:sz w:val="24"/>
          <w:szCs w:val="24"/>
          <w:lang w:val="lt-LT"/>
        </w:rPr>
        <w:t xml:space="preserve"> Konkurencijos įstatymo 5 straipsnio draudimo apimtį</w:t>
      </w:r>
      <w:r w:rsidR="00AF7D64" w:rsidRPr="00061C76">
        <w:rPr>
          <w:rFonts w:ascii="Times New Roman" w:hAnsi="Times New Roman" w:cs="Times New Roman"/>
          <w:sz w:val="24"/>
          <w:szCs w:val="24"/>
          <w:lang w:val="lt-LT"/>
        </w:rPr>
        <w:t xml:space="preserve">; iv) </w:t>
      </w:r>
      <w:r w:rsidR="008A59A0" w:rsidRPr="00061C76">
        <w:rPr>
          <w:rFonts w:ascii="Times New Roman" w:hAnsi="Times New Roman" w:cs="Times New Roman"/>
          <w:sz w:val="24"/>
          <w:szCs w:val="24"/>
          <w:lang w:val="lt-LT"/>
        </w:rPr>
        <w:t>tokiomis, kaip nagrinėjamos bylos aplinkybėmis teisėti tikslai, kuri</w:t>
      </w:r>
      <w:r w:rsidR="00A70548" w:rsidRPr="00061C76">
        <w:rPr>
          <w:rFonts w:ascii="Times New Roman" w:hAnsi="Times New Roman" w:cs="Times New Roman"/>
          <w:sz w:val="24"/>
          <w:szCs w:val="24"/>
          <w:lang w:val="lt-LT"/>
        </w:rPr>
        <w:t xml:space="preserve">ų siekta Notarų rūmų priimtais išaiškinimais </w:t>
      </w:r>
      <w:r w:rsidR="00202FE1" w:rsidRPr="00061C76">
        <w:rPr>
          <w:rFonts w:ascii="Times New Roman" w:hAnsi="Times New Roman" w:cs="Times New Roman"/>
          <w:sz w:val="24"/>
          <w:szCs w:val="24"/>
          <w:lang w:val="lt-LT"/>
        </w:rPr>
        <w:t xml:space="preserve">veiksmų kvalifikavimo prasme </w:t>
      </w:r>
      <w:r w:rsidR="00A70548" w:rsidRPr="00061C76">
        <w:rPr>
          <w:rFonts w:ascii="Times New Roman" w:hAnsi="Times New Roman" w:cs="Times New Roman"/>
          <w:sz w:val="24"/>
          <w:szCs w:val="24"/>
          <w:lang w:val="lt-LT"/>
        </w:rPr>
        <w:t>reikšmės neturi</w:t>
      </w:r>
      <w:r w:rsidR="00202FE1" w:rsidRPr="00061C76">
        <w:rPr>
          <w:rFonts w:ascii="Times New Roman" w:hAnsi="Times New Roman" w:cs="Times New Roman"/>
          <w:sz w:val="24"/>
          <w:szCs w:val="24"/>
          <w:lang w:val="lt-LT"/>
        </w:rPr>
        <w:t xml:space="preserve">, taip pat nėra poreikio nustatyti </w:t>
      </w:r>
      <w:r w:rsidR="00D37F59" w:rsidRPr="00061C76">
        <w:rPr>
          <w:rFonts w:ascii="Times New Roman" w:hAnsi="Times New Roman" w:cs="Times New Roman"/>
          <w:sz w:val="24"/>
          <w:szCs w:val="24"/>
          <w:lang w:val="lt-LT"/>
        </w:rPr>
        <w:t>jų poveikį konkurencijai; v)</w:t>
      </w:r>
      <w:r w:rsidR="00A70548" w:rsidRPr="00061C76">
        <w:rPr>
          <w:rFonts w:ascii="Times New Roman" w:hAnsi="Times New Roman" w:cs="Times New Roman"/>
          <w:sz w:val="24"/>
          <w:szCs w:val="24"/>
          <w:lang w:val="lt-LT"/>
        </w:rPr>
        <w:t xml:space="preserve"> </w:t>
      </w:r>
      <w:r w:rsidR="0019203E" w:rsidRPr="00061C76">
        <w:rPr>
          <w:rFonts w:ascii="Times New Roman" w:hAnsi="Times New Roman" w:cs="Times New Roman"/>
          <w:sz w:val="24"/>
          <w:szCs w:val="24"/>
          <w:lang w:val="lt-LT"/>
        </w:rPr>
        <w:t>pareiškėjai nesirėmė SESV 101 straipsnio 3 dali</w:t>
      </w:r>
      <w:r w:rsidR="00452E79" w:rsidRPr="00061C76">
        <w:rPr>
          <w:rFonts w:ascii="Times New Roman" w:hAnsi="Times New Roman" w:cs="Times New Roman"/>
          <w:sz w:val="24"/>
          <w:szCs w:val="24"/>
          <w:lang w:val="lt-LT"/>
        </w:rPr>
        <w:t>mi. Atitinkamai, išplėstinės teisėjų kolegijos vertinimu,</w:t>
      </w:r>
      <w:r w:rsidR="005C5CAB" w:rsidRPr="00061C76">
        <w:rPr>
          <w:rFonts w:ascii="Times New Roman" w:hAnsi="Times New Roman" w:cs="Times New Roman"/>
          <w:sz w:val="24"/>
          <w:szCs w:val="24"/>
          <w:lang w:val="lt-LT"/>
        </w:rPr>
        <w:t xml:space="preserve"> </w:t>
      </w:r>
      <w:r w:rsidR="00135E79" w:rsidRPr="00061C76">
        <w:rPr>
          <w:rFonts w:ascii="Times New Roman" w:hAnsi="Times New Roman" w:cs="Times New Roman"/>
          <w:sz w:val="24"/>
          <w:szCs w:val="24"/>
          <w:lang w:val="lt-LT"/>
        </w:rPr>
        <w:t>byloje identifikuota aspektų, būtinų SESV 101 straipsnio 1 dalies ir Konkurencijos įstatymo 5 straipsnio taikymui, visuma</w:t>
      </w:r>
      <w:r w:rsidR="00061C76" w:rsidRPr="00061C76">
        <w:rPr>
          <w:rFonts w:ascii="Times New Roman" w:hAnsi="Times New Roman" w:cs="Times New Roman"/>
          <w:sz w:val="24"/>
          <w:szCs w:val="24"/>
          <w:lang w:val="lt-LT"/>
        </w:rPr>
        <w:t xml:space="preserve">, todėl </w:t>
      </w:r>
      <w:r w:rsidR="00061C76">
        <w:rPr>
          <w:rFonts w:ascii="Times New Roman" w:hAnsi="Times New Roman" w:cs="Times New Roman"/>
          <w:sz w:val="24"/>
          <w:szCs w:val="24"/>
          <w:lang w:val="lt-LT"/>
        </w:rPr>
        <w:t>minėtos</w:t>
      </w:r>
      <w:r w:rsidR="003F2899" w:rsidRPr="00061C76">
        <w:rPr>
          <w:rFonts w:ascii="Times New Roman" w:hAnsi="Times New Roman" w:cs="Times New Roman"/>
          <w:sz w:val="24"/>
          <w:szCs w:val="24"/>
          <w:lang w:val="lt-LT"/>
        </w:rPr>
        <w:t xml:space="preserve"> teisiškai reikšmingos aplinkybės pagrindžia </w:t>
      </w:r>
      <w:r w:rsidR="00061C76" w:rsidRPr="00061C76">
        <w:rPr>
          <w:rFonts w:ascii="Times New Roman" w:hAnsi="Times New Roman" w:cs="Times New Roman"/>
          <w:sz w:val="24"/>
          <w:szCs w:val="24"/>
          <w:lang w:val="lt-LT"/>
        </w:rPr>
        <w:t>nagrinėjamoje byloje</w:t>
      </w:r>
      <w:r w:rsidR="00061C76">
        <w:rPr>
          <w:rFonts w:ascii="Times New Roman" w:hAnsi="Times New Roman" w:cs="Times New Roman"/>
          <w:sz w:val="24"/>
          <w:szCs w:val="24"/>
          <w:lang w:val="lt-LT"/>
        </w:rPr>
        <w:t xml:space="preserve"> šių normų</w:t>
      </w:r>
      <w:r w:rsidR="00061C76" w:rsidRPr="00061C76">
        <w:rPr>
          <w:rFonts w:ascii="Times New Roman" w:hAnsi="Times New Roman" w:cs="Times New Roman"/>
          <w:sz w:val="24"/>
          <w:szCs w:val="24"/>
          <w:lang w:val="lt-LT"/>
        </w:rPr>
        <w:t xml:space="preserve"> taikymą</w:t>
      </w:r>
      <w:r w:rsidR="007531A2" w:rsidRPr="00061C76">
        <w:rPr>
          <w:rFonts w:ascii="Times New Roman" w:hAnsi="Times New Roman" w:cs="Times New Roman"/>
          <w:sz w:val="24"/>
          <w:szCs w:val="24"/>
          <w:lang w:val="lt-LT"/>
        </w:rPr>
        <w:t xml:space="preserve">. </w:t>
      </w:r>
    </w:p>
    <w:p w14:paraId="524BC559" w14:textId="77777777" w:rsidR="00061C76" w:rsidRDefault="00061C76" w:rsidP="00061C76">
      <w:pPr>
        <w:tabs>
          <w:tab w:val="left" w:pos="567"/>
          <w:tab w:val="left" w:pos="1134"/>
        </w:tabs>
        <w:spacing w:after="0" w:line="240" w:lineRule="auto"/>
        <w:contextualSpacing/>
        <w:jc w:val="both"/>
        <w:rPr>
          <w:rFonts w:ascii="Times New Roman" w:hAnsi="Times New Roman" w:cs="Times New Roman"/>
          <w:sz w:val="24"/>
          <w:szCs w:val="24"/>
          <w:lang w:val="lt-LT"/>
        </w:rPr>
      </w:pPr>
    </w:p>
    <w:p w14:paraId="6699E4C8" w14:textId="6A94F85B" w:rsidR="00FF5531" w:rsidRDefault="00FF5531" w:rsidP="00FF5531">
      <w:pPr>
        <w:pStyle w:val="Sraopastraipa"/>
        <w:tabs>
          <w:tab w:val="left" w:pos="993"/>
          <w:tab w:val="left" w:pos="1040"/>
          <w:tab w:val="left" w:pos="1276"/>
        </w:tabs>
        <w:ind w:left="709"/>
        <w:jc w:val="both"/>
        <w:rPr>
          <w:i/>
          <w:iCs/>
          <w:sz w:val="24"/>
          <w:szCs w:val="24"/>
        </w:rPr>
      </w:pPr>
      <w:r w:rsidRPr="009C64EB">
        <w:rPr>
          <w:i/>
          <w:iCs/>
          <w:sz w:val="24"/>
          <w:szCs w:val="24"/>
        </w:rPr>
        <w:t xml:space="preserve">Dėl Notarų rūmų prezidiumo </w:t>
      </w:r>
      <w:r w:rsidRPr="00AB726D">
        <w:rPr>
          <w:i/>
          <w:iCs/>
          <w:sz w:val="24"/>
          <w:szCs w:val="24"/>
        </w:rPr>
        <w:t>nariams</w:t>
      </w:r>
      <w:r w:rsidR="00EA497E" w:rsidRPr="00AB726D">
        <w:rPr>
          <w:i/>
          <w:iCs/>
          <w:sz w:val="24"/>
          <w:szCs w:val="24"/>
        </w:rPr>
        <w:t xml:space="preserve"> ir Notarų rūmams</w:t>
      </w:r>
      <w:r w:rsidRPr="009C64EB">
        <w:rPr>
          <w:i/>
          <w:iCs/>
          <w:sz w:val="24"/>
          <w:szCs w:val="24"/>
        </w:rPr>
        <w:t xml:space="preserve"> taikytos atsakomybės</w:t>
      </w:r>
    </w:p>
    <w:p w14:paraId="7CD5CD63" w14:textId="77777777" w:rsidR="00B120D6" w:rsidRDefault="00B120D6" w:rsidP="00B120D6">
      <w:pPr>
        <w:tabs>
          <w:tab w:val="left" w:pos="567"/>
          <w:tab w:val="left" w:pos="1134"/>
        </w:tabs>
        <w:spacing w:after="0" w:line="240" w:lineRule="auto"/>
        <w:ind w:left="709"/>
        <w:contextualSpacing/>
        <w:jc w:val="both"/>
        <w:rPr>
          <w:rFonts w:ascii="Times New Roman" w:hAnsi="Times New Roman" w:cs="Times New Roman"/>
          <w:sz w:val="24"/>
          <w:szCs w:val="24"/>
          <w:lang w:val="lt-LT"/>
        </w:rPr>
      </w:pPr>
    </w:p>
    <w:p w14:paraId="0EA8E00A" w14:textId="712D8BF9" w:rsidR="00137BD1" w:rsidRPr="00DF5596" w:rsidRDefault="00AB726D" w:rsidP="00137BD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37BD1" w:rsidRPr="009C64EB">
        <w:rPr>
          <w:rFonts w:ascii="Times New Roman" w:hAnsi="Times New Roman" w:cs="Times New Roman"/>
          <w:sz w:val="24"/>
          <w:szCs w:val="24"/>
          <w:lang w:val="lt-LT"/>
        </w:rPr>
        <w:t xml:space="preserve">Ginčijamame Nutarime prieita prie išvados, kad Notarų rūmai, veikdami per savo valdymo organą – Prezidiumą, ir Notarai išreiškė bendrą valią ir vieningai dalyvavo sudarant susitarimą dėl tiesioginio ir netiesioginio notarų atlyginimo dydžių nustatymo ir tokie </w:t>
      </w:r>
      <w:r w:rsidR="00137BD1" w:rsidRPr="00DF5596">
        <w:rPr>
          <w:rFonts w:ascii="Times New Roman" w:hAnsi="Times New Roman" w:cs="Times New Roman"/>
          <w:sz w:val="24"/>
          <w:szCs w:val="24"/>
          <w:lang w:val="lt-LT"/>
        </w:rPr>
        <w:t>veiksmai laikytini susitarimu Konkurencijos įstatymo 3 straipsnio 19 dalies prasme (185 p.).</w:t>
      </w:r>
    </w:p>
    <w:p w14:paraId="7FA785C5" w14:textId="31CD999C" w:rsidR="00137BD1" w:rsidRDefault="00137BD1" w:rsidP="00137BD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9C64EB">
        <w:rPr>
          <w:rFonts w:ascii="Times New Roman" w:hAnsi="Times New Roman" w:cs="Times New Roman"/>
          <w:sz w:val="24"/>
          <w:szCs w:val="24"/>
          <w:lang w:val="lt-LT"/>
        </w:rPr>
        <w:t xml:space="preserve"> Pirmosios instancijos teismas ginčijamame sprendime pažymėjo, kad Prezidiumo narių – notarų </w:t>
      </w:r>
      <w:r w:rsidR="00D44D41">
        <w:rPr>
          <w:rFonts w:ascii="Times New Roman" w:hAnsi="Times New Roman" w:cs="Times New Roman"/>
          <w:sz w:val="24"/>
          <w:szCs w:val="24"/>
          <w:lang w:val="lt-LT"/>
        </w:rPr>
        <w:t xml:space="preserve">– </w:t>
      </w:r>
      <w:r w:rsidR="007F367D">
        <w:rPr>
          <w:rFonts w:ascii="Times New Roman" w:hAnsi="Times New Roman" w:cs="Times New Roman"/>
          <w:sz w:val="24"/>
          <w:szCs w:val="24"/>
          <w:lang w:val="lt-LT"/>
        </w:rPr>
        <w:t>laikymas</w:t>
      </w:r>
      <w:r w:rsidRPr="009C64EB">
        <w:rPr>
          <w:rFonts w:ascii="Times New Roman" w:hAnsi="Times New Roman" w:cs="Times New Roman"/>
          <w:sz w:val="24"/>
          <w:szCs w:val="24"/>
          <w:lang w:val="lt-LT"/>
        </w:rPr>
        <w:t xml:space="preserve"> ūkio subjekt</w:t>
      </w:r>
      <w:r w:rsidR="007F367D">
        <w:rPr>
          <w:rFonts w:ascii="Times New Roman" w:hAnsi="Times New Roman" w:cs="Times New Roman"/>
          <w:sz w:val="24"/>
          <w:szCs w:val="24"/>
          <w:lang w:val="lt-LT"/>
        </w:rPr>
        <w:t>ais</w:t>
      </w:r>
      <w:r w:rsidRPr="009C64EB">
        <w:rPr>
          <w:rFonts w:ascii="Times New Roman" w:hAnsi="Times New Roman" w:cs="Times New Roman"/>
          <w:sz w:val="24"/>
          <w:szCs w:val="24"/>
          <w:lang w:val="lt-LT"/>
        </w:rPr>
        <w:t xml:space="preserve"> Konkurencijos įstatymo taikymo prasme būtų teisiškai aktualus tuo atveju, jei </w:t>
      </w:r>
      <w:r w:rsidR="00CA464D" w:rsidRPr="009C64EB">
        <w:rPr>
          <w:rFonts w:ascii="Times New Roman" w:hAnsi="Times New Roman" w:cs="Times New Roman"/>
          <w:sz w:val="24"/>
          <w:szCs w:val="24"/>
          <w:lang w:val="lt-LT"/>
        </w:rPr>
        <w:t>notar</w:t>
      </w:r>
      <w:r w:rsidR="00CA464D">
        <w:rPr>
          <w:rFonts w:ascii="Times New Roman" w:hAnsi="Times New Roman" w:cs="Times New Roman"/>
          <w:sz w:val="24"/>
          <w:szCs w:val="24"/>
          <w:lang w:val="lt-LT"/>
        </w:rPr>
        <w:t xml:space="preserve">ai </w:t>
      </w:r>
      <w:r w:rsidR="00617951">
        <w:rPr>
          <w:rFonts w:ascii="Times New Roman" w:hAnsi="Times New Roman" w:cs="Times New Roman"/>
          <w:sz w:val="24"/>
          <w:szCs w:val="24"/>
          <w:lang w:val="lt-LT"/>
        </w:rPr>
        <w:t>kaip</w:t>
      </w:r>
      <w:r w:rsidR="00CA464D" w:rsidRPr="009C64EB">
        <w:rPr>
          <w:rFonts w:ascii="Times New Roman" w:hAnsi="Times New Roman" w:cs="Times New Roman"/>
          <w:sz w:val="24"/>
          <w:szCs w:val="24"/>
          <w:lang w:val="lt-LT"/>
        </w:rPr>
        <w:t xml:space="preserve"> savarankišk</w:t>
      </w:r>
      <w:r w:rsidR="00617951">
        <w:rPr>
          <w:rFonts w:ascii="Times New Roman" w:hAnsi="Times New Roman" w:cs="Times New Roman"/>
          <w:sz w:val="24"/>
          <w:szCs w:val="24"/>
          <w:lang w:val="lt-LT"/>
        </w:rPr>
        <w:t>i</w:t>
      </w:r>
      <w:r w:rsidR="00CA464D" w:rsidRPr="009C64EB">
        <w:rPr>
          <w:rFonts w:ascii="Times New Roman" w:hAnsi="Times New Roman" w:cs="Times New Roman"/>
          <w:sz w:val="24"/>
          <w:szCs w:val="24"/>
          <w:lang w:val="lt-LT"/>
        </w:rPr>
        <w:t xml:space="preserve"> </w:t>
      </w:r>
      <w:r w:rsidR="00CA464D" w:rsidRPr="00A24298">
        <w:rPr>
          <w:rFonts w:ascii="Times New Roman" w:hAnsi="Times New Roman" w:cs="Times New Roman"/>
          <w:sz w:val="24"/>
          <w:szCs w:val="24"/>
          <w:lang w:val="lt-LT"/>
        </w:rPr>
        <w:t>ūkio subjekt</w:t>
      </w:r>
      <w:r w:rsidR="00617951">
        <w:rPr>
          <w:rFonts w:ascii="Times New Roman" w:hAnsi="Times New Roman" w:cs="Times New Roman"/>
          <w:sz w:val="24"/>
          <w:szCs w:val="24"/>
          <w:lang w:val="lt-LT"/>
        </w:rPr>
        <w:t xml:space="preserve">ai būtų </w:t>
      </w:r>
      <w:r w:rsidR="0003164E">
        <w:rPr>
          <w:rFonts w:ascii="Times New Roman" w:hAnsi="Times New Roman" w:cs="Times New Roman"/>
          <w:sz w:val="24"/>
          <w:szCs w:val="24"/>
          <w:lang w:val="lt-LT"/>
        </w:rPr>
        <w:t>sudar</w:t>
      </w:r>
      <w:r w:rsidR="00617951">
        <w:rPr>
          <w:rFonts w:ascii="Times New Roman" w:hAnsi="Times New Roman" w:cs="Times New Roman"/>
          <w:sz w:val="24"/>
          <w:szCs w:val="24"/>
          <w:lang w:val="lt-LT"/>
        </w:rPr>
        <w:t>ę</w:t>
      </w:r>
      <w:r w:rsidR="0003164E">
        <w:rPr>
          <w:rFonts w:ascii="Times New Roman" w:hAnsi="Times New Roman" w:cs="Times New Roman"/>
          <w:sz w:val="24"/>
          <w:szCs w:val="24"/>
          <w:lang w:val="lt-LT"/>
        </w:rPr>
        <w:t xml:space="preserve"> </w:t>
      </w:r>
      <w:r w:rsidRPr="009C64EB">
        <w:rPr>
          <w:rFonts w:ascii="Times New Roman" w:hAnsi="Times New Roman" w:cs="Times New Roman"/>
          <w:sz w:val="24"/>
          <w:szCs w:val="24"/>
          <w:lang w:val="lt-LT"/>
        </w:rPr>
        <w:t>susitarim</w:t>
      </w:r>
      <w:r w:rsidR="00617951">
        <w:rPr>
          <w:rFonts w:ascii="Times New Roman" w:hAnsi="Times New Roman" w:cs="Times New Roman"/>
          <w:sz w:val="24"/>
          <w:szCs w:val="24"/>
          <w:lang w:val="lt-LT"/>
        </w:rPr>
        <w:t>ą</w:t>
      </w:r>
      <w:r w:rsidR="00CF3A2C">
        <w:rPr>
          <w:rFonts w:ascii="Times New Roman" w:hAnsi="Times New Roman" w:cs="Times New Roman"/>
          <w:sz w:val="24"/>
          <w:szCs w:val="24"/>
          <w:lang w:val="lt-LT"/>
        </w:rPr>
        <w:t xml:space="preserve"> </w:t>
      </w:r>
      <w:r w:rsidRPr="00A24298">
        <w:rPr>
          <w:rFonts w:ascii="Times New Roman" w:hAnsi="Times New Roman" w:cs="Times New Roman"/>
          <w:sz w:val="24"/>
          <w:szCs w:val="24"/>
          <w:lang w:val="lt-LT"/>
        </w:rPr>
        <w:t xml:space="preserve">dėl kainų nustatymo tam tikroje rinkoje/teritorijoje. Šiuo atveju, pareiškėjai (notarai), </w:t>
      </w:r>
      <w:r w:rsidR="00607DF0">
        <w:rPr>
          <w:rFonts w:ascii="Times New Roman" w:hAnsi="Times New Roman" w:cs="Times New Roman"/>
          <w:sz w:val="24"/>
          <w:szCs w:val="24"/>
          <w:lang w:val="lt-LT"/>
        </w:rPr>
        <w:t xml:space="preserve">dėl </w:t>
      </w:r>
      <w:r w:rsidRPr="00A24298">
        <w:rPr>
          <w:rFonts w:ascii="Times New Roman" w:hAnsi="Times New Roman" w:cs="Times New Roman"/>
          <w:sz w:val="24"/>
          <w:szCs w:val="24"/>
          <w:lang w:val="lt-LT"/>
        </w:rPr>
        <w:t xml:space="preserve">kurių </w:t>
      </w:r>
      <w:r w:rsidR="00607DF0">
        <w:rPr>
          <w:rFonts w:ascii="Times New Roman" w:hAnsi="Times New Roman" w:cs="Times New Roman"/>
          <w:sz w:val="24"/>
          <w:szCs w:val="24"/>
          <w:lang w:val="lt-LT"/>
        </w:rPr>
        <w:t>veiksmų</w:t>
      </w:r>
      <w:r w:rsidRPr="00A24298">
        <w:rPr>
          <w:rFonts w:ascii="Times New Roman" w:hAnsi="Times New Roman" w:cs="Times New Roman"/>
          <w:sz w:val="24"/>
          <w:szCs w:val="24"/>
          <w:lang w:val="lt-LT"/>
        </w:rPr>
        <w:t xml:space="preserve"> buvo priimtas Nutarimas, veikė ne kaip ūkio subjektai</w:t>
      </w:r>
      <w:r w:rsidR="00657367">
        <w:rPr>
          <w:rFonts w:ascii="Times New Roman" w:hAnsi="Times New Roman" w:cs="Times New Roman"/>
          <w:sz w:val="24"/>
          <w:szCs w:val="24"/>
          <w:lang w:val="lt-LT"/>
        </w:rPr>
        <w:t xml:space="preserve"> (</w:t>
      </w:r>
      <w:r w:rsidRPr="00A24298">
        <w:rPr>
          <w:rFonts w:ascii="Times New Roman" w:hAnsi="Times New Roman" w:cs="Times New Roman"/>
          <w:sz w:val="24"/>
          <w:szCs w:val="24"/>
          <w:lang w:val="lt-LT"/>
        </w:rPr>
        <w:t>savarankiškai rinkoje veikiantys notarai</w:t>
      </w:r>
      <w:r w:rsidR="00657367">
        <w:rPr>
          <w:rFonts w:ascii="Times New Roman" w:hAnsi="Times New Roman" w:cs="Times New Roman"/>
          <w:sz w:val="24"/>
          <w:szCs w:val="24"/>
          <w:lang w:val="lt-LT"/>
        </w:rPr>
        <w:t>)</w:t>
      </w:r>
      <w:r w:rsidRPr="00A24298">
        <w:rPr>
          <w:rFonts w:ascii="Times New Roman" w:hAnsi="Times New Roman" w:cs="Times New Roman"/>
          <w:sz w:val="24"/>
          <w:szCs w:val="24"/>
          <w:lang w:val="lt-LT"/>
        </w:rPr>
        <w:t>, o kaip Notarų rūmų valdymo organo Prezidiumo nariai, kurie iš esmės tik vykdė įstatymo priskirtas funkcijas.</w:t>
      </w:r>
    </w:p>
    <w:p w14:paraId="342A9CC3" w14:textId="582346BE" w:rsidR="00437D27" w:rsidRPr="00A24298" w:rsidRDefault="00437D27" w:rsidP="00137BD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Apeliaciniame skunde </w:t>
      </w:r>
      <w:r w:rsidR="00B16D29">
        <w:rPr>
          <w:rFonts w:ascii="Times New Roman" w:hAnsi="Times New Roman" w:cs="Times New Roman"/>
          <w:sz w:val="24"/>
          <w:szCs w:val="24"/>
          <w:lang w:val="lt-LT"/>
        </w:rPr>
        <w:t>Taryba laik</w:t>
      </w:r>
      <w:r w:rsidR="00172138">
        <w:rPr>
          <w:rFonts w:ascii="Times New Roman" w:hAnsi="Times New Roman" w:cs="Times New Roman"/>
          <w:sz w:val="24"/>
          <w:szCs w:val="24"/>
          <w:lang w:val="lt-LT"/>
        </w:rPr>
        <w:t>ėsi</w:t>
      </w:r>
      <w:r w:rsidR="00B16D29">
        <w:rPr>
          <w:rFonts w:ascii="Times New Roman" w:hAnsi="Times New Roman" w:cs="Times New Roman"/>
          <w:sz w:val="24"/>
          <w:szCs w:val="24"/>
          <w:lang w:val="lt-LT"/>
        </w:rPr>
        <w:t xml:space="preserve"> po</w:t>
      </w:r>
      <w:r w:rsidR="00172138">
        <w:rPr>
          <w:rFonts w:ascii="Times New Roman" w:hAnsi="Times New Roman" w:cs="Times New Roman"/>
          <w:sz w:val="24"/>
          <w:szCs w:val="24"/>
          <w:lang w:val="lt-LT"/>
        </w:rPr>
        <w:t xml:space="preserve">zicijos, kad </w:t>
      </w:r>
      <w:r w:rsidR="004601BD">
        <w:rPr>
          <w:rFonts w:ascii="Times New Roman" w:hAnsi="Times New Roman" w:cs="Times New Roman"/>
          <w:sz w:val="24"/>
          <w:szCs w:val="24"/>
          <w:lang w:val="lt-LT"/>
        </w:rPr>
        <w:t xml:space="preserve">Nutarimu </w:t>
      </w:r>
      <w:r w:rsidR="00172138" w:rsidRPr="00172138">
        <w:rPr>
          <w:rFonts w:ascii="Times New Roman" w:hAnsi="Times New Roman" w:cs="Times New Roman"/>
          <w:sz w:val="24"/>
          <w:szCs w:val="24"/>
          <w:lang w:val="lt-LT"/>
        </w:rPr>
        <w:t>pagrįstai pritaik</w:t>
      </w:r>
      <w:r w:rsidR="004601BD">
        <w:rPr>
          <w:rFonts w:ascii="Times New Roman" w:hAnsi="Times New Roman" w:cs="Times New Roman"/>
          <w:sz w:val="24"/>
          <w:szCs w:val="24"/>
          <w:lang w:val="lt-LT"/>
        </w:rPr>
        <w:t>yta</w:t>
      </w:r>
      <w:r w:rsidR="00172138" w:rsidRPr="00172138">
        <w:rPr>
          <w:rFonts w:ascii="Times New Roman" w:hAnsi="Times New Roman" w:cs="Times New Roman"/>
          <w:sz w:val="24"/>
          <w:szCs w:val="24"/>
          <w:lang w:val="lt-LT"/>
        </w:rPr>
        <w:t xml:space="preserve"> atsakomy</w:t>
      </w:r>
      <w:r w:rsidR="004601BD">
        <w:rPr>
          <w:rFonts w:ascii="Times New Roman" w:hAnsi="Times New Roman" w:cs="Times New Roman"/>
          <w:sz w:val="24"/>
          <w:szCs w:val="24"/>
          <w:lang w:val="lt-LT"/>
        </w:rPr>
        <w:t>bė</w:t>
      </w:r>
      <w:r w:rsidR="00172138" w:rsidRPr="00172138">
        <w:rPr>
          <w:rFonts w:ascii="Times New Roman" w:hAnsi="Times New Roman" w:cs="Times New Roman"/>
          <w:sz w:val="24"/>
          <w:szCs w:val="24"/>
          <w:lang w:val="lt-LT"/>
        </w:rPr>
        <w:t xml:space="preserve"> Prezidiumo nariams ir Notarų rūmams</w:t>
      </w:r>
      <w:r w:rsidR="004601BD">
        <w:rPr>
          <w:rFonts w:ascii="Times New Roman" w:hAnsi="Times New Roman" w:cs="Times New Roman"/>
          <w:sz w:val="24"/>
          <w:szCs w:val="24"/>
          <w:lang w:val="lt-LT"/>
        </w:rPr>
        <w:t xml:space="preserve">. </w:t>
      </w:r>
      <w:r w:rsidR="000B065C">
        <w:rPr>
          <w:rFonts w:ascii="Times New Roman" w:hAnsi="Times New Roman" w:cs="Times New Roman"/>
          <w:sz w:val="24"/>
          <w:szCs w:val="24"/>
          <w:lang w:val="lt-LT"/>
        </w:rPr>
        <w:t>Šiuo aspektu akcentuota, kad nė</w:t>
      </w:r>
      <w:r w:rsidR="000B065C" w:rsidRPr="000B065C">
        <w:rPr>
          <w:rFonts w:ascii="Times New Roman" w:hAnsi="Times New Roman" w:cs="Times New Roman"/>
          <w:sz w:val="24"/>
          <w:szCs w:val="24"/>
          <w:lang w:val="lt-LT"/>
        </w:rPr>
        <w:t>ra pagrindo spręsti, jog Notarų rūmai ar Notarai buvo persekioti du kartus už tų pačių veiksmų atlikimą.</w:t>
      </w:r>
      <w:r w:rsidR="000B065C">
        <w:rPr>
          <w:rFonts w:ascii="Times New Roman" w:hAnsi="Times New Roman" w:cs="Times New Roman"/>
          <w:sz w:val="24"/>
          <w:szCs w:val="24"/>
          <w:lang w:val="lt-LT"/>
        </w:rPr>
        <w:t xml:space="preserve"> Be to, referuota į Lietuvos vyriausiojo administracinio teismo praktiką</w:t>
      </w:r>
      <w:r w:rsidR="00C35E17">
        <w:rPr>
          <w:rFonts w:ascii="Times New Roman" w:hAnsi="Times New Roman" w:cs="Times New Roman"/>
          <w:sz w:val="24"/>
          <w:szCs w:val="24"/>
          <w:lang w:val="lt-LT"/>
        </w:rPr>
        <w:t>, pagal kurią</w:t>
      </w:r>
      <w:r w:rsidR="00C35E17" w:rsidRPr="00C35E17">
        <w:rPr>
          <w:rFonts w:ascii="Times New Roman" w:hAnsi="Times New Roman" w:cs="Times New Roman"/>
          <w:sz w:val="24"/>
          <w:szCs w:val="24"/>
          <w:lang w:val="lt-LT"/>
        </w:rPr>
        <w:t xml:space="preserve"> už konkurencijos teisės pažeidimą yra atsakinga tiek asociacija, tiek jos nariai</w:t>
      </w:r>
      <w:r w:rsidR="00C32EDC">
        <w:rPr>
          <w:rFonts w:ascii="Times New Roman" w:hAnsi="Times New Roman" w:cs="Times New Roman"/>
          <w:sz w:val="24"/>
          <w:szCs w:val="24"/>
          <w:lang w:val="lt-LT"/>
        </w:rPr>
        <w:t>.</w:t>
      </w:r>
    </w:p>
    <w:p w14:paraId="45B6D3B6" w14:textId="7E7A1827" w:rsidR="005A49EE" w:rsidRDefault="008762D9" w:rsidP="00137BD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05964">
        <w:rPr>
          <w:rFonts w:ascii="Times New Roman" w:hAnsi="Times New Roman" w:cs="Times New Roman"/>
          <w:sz w:val="24"/>
          <w:szCs w:val="24"/>
          <w:lang w:val="lt-LT"/>
        </w:rPr>
        <w:t xml:space="preserve">Teisingumo teismas </w:t>
      </w:r>
      <w:r w:rsidR="007E0F20">
        <w:rPr>
          <w:rFonts w:ascii="Times New Roman" w:hAnsi="Times New Roman" w:cs="Times New Roman"/>
          <w:sz w:val="24"/>
          <w:szCs w:val="24"/>
          <w:lang w:val="lt-LT"/>
        </w:rPr>
        <w:t xml:space="preserve">Sprendime </w:t>
      </w:r>
      <w:r w:rsidR="007E0F20" w:rsidRPr="00CF489B">
        <w:rPr>
          <w:rFonts w:ascii="Times New Roman" w:hAnsi="Times New Roman" w:cs="Times New Roman"/>
          <w:i/>
          <w:iCs/>
          <w:sz w:val="24"/>
          <w:szCs w:val="24"/>
          <w:lang w:val="lt-LT"/>
        </w:rPr>
        <w:t>Notarų rūmai</w:t>
      </w:r>
      <w:r w:rsidR="007E0F20">
        <w:rPr>
          <w:rFonts w:ascii="Times New Roman" w:hAnsi="Times New Roman" w:cs="Times New Roman"/>
          <w:sz w:val="24"/>
          <w:szCs w:val="24"/>
          <w:lang w:val="lt-LT"/>
        </w:rPr>
        <w:t xml:space="preserve"> </w:t>
      </w:r>
      <w:r w:rsidR="00705964">
        <w:rPr>
          <w:rFonts w:ascii="Times New Roman" w:hAnsi="Times New Roman" w:cs="Times New Roman"/>
          <w:sz w:val="24"/>
          <w:szCs w:val="24"/>
          <w:lang w:val="lt-LT"/>
        </w:rPr>
        <w:t>priminė, kad k</w:t>
      </w:r>
      <w:r w:rsidR="005B6371" w:rsidRPr="005B6371">
        <w:rPr>
          <w:rFonts w:ascii="Times New Roman" w:hAnsi="Times New Roman" w:cs="Times New Roman"/>
          <w:sz w:val="24"/>
          <w:szCs w:val="24"/>
          <w:lang w:val="lt-LT"/>
        </w:rPr>
        <w:t>ai subjektas pažeidžia konkurencijos taisykles, jis, remiantis asmeninės atsakomybės principu, turi atsakyti už šį pažeidimą</w:t>
      </w:r>
      <w:r w:rsidR="005B6371">
        <w:rPr>
          <w:rFonts w:ascii="Times New Roman" w:hAnsi="Times New Roman" w:cs="Times New Roman"/>
          <w:sz w:val="24"/>
          <w:szCs w:val="24"/>
          <w:lang w:val="lt-LT"/>
        </w:rPr>
        <w:t xml:space="preserve">. </w:t>
      </w:r>
      <w:r w:rsidR="00E52346" w:rsidRPr="00E52346">
        <w:rPr>
          <w:rFonts w:ascii="Times New Roman" w:hAnsi="Times New Roman" w:cs="Times New Roman"/>
          <w:sz w:val="24"/>
          <w:szCs w:val="24"/>
          <w:lang w:val="lt-LT"/>
        </w:rPr>
        <w:t>Kadangi SESV 101 straipsnio 1 dalimi, be kita ko, draudžiami „įmonių asociacijų sprendimai“, kurie gali paveikti valstybių narių tarpusavio prekybą ir kurių tikslas ar poveikis yra konkurencijos trukdymas, ribojimas arba iškraipymas vidaus rinkoje,</w:t>
      </w:r>
      <w:r w:rsidR="00B612EE">
        <w:rPr>
          <w:rFonts w:ascii="Times New Roman" w:hAnsi="Times New Roman" w:cs="Times New Roman"/>
          <w:sz w:val="24"/>
          <w:szCs w:val="24"/>
          <w:lang w:val="lt-LT"/>
        </w:rPr>
        <w:t xml:space="preserve"> Teisingumo Teismas</w:t>
      </w:r>
      <w:r w:rsidR="00A7162E">
        <w:rPr>
          <w:rFonts w:ascii="Times New Roman" w:hAnsi="Times New Roman" w:cs="Times New Roman"/>
          <w:sz w:val="24"/>
          <w:szCs w:val="24"/>
          <w:lang w:val="lt-LT"/>
        </w:rPr>
        <w:t xml:space="preserve"> laikėsi pozicijos, kad</w:t>
      </w:r>
      <w:r w:rsidR="00E52346" w:rsidRPr="00E52346">
        <w:rPr>
          <w:rFonts w:ascii="Times New Roman" w:hAnsi="Times New Roman" w:cs="Times New Roman"/>
          <w:sz w:val="24"/>
          <w:szCs w:val="24"/>
          <w:lang w:val="lt-LT"/>
        </w:rPr>
        <w:t xml:space="preserve"> tokia įmonių asociacija, kaip Notarų rūmai, </w:t>
      </w:r>
      <w:r w:rsidR="00E52346" w:rsidRPr="00E52346">
        <w:rPr>
          <w:rFonts w:ascii="Times New Roman" w:hAnsi="Times New Roman" w:cs="Times New Roman"/>
          <w:i/>
          <w:iCs/>
          <w:sz w:val="24"/>
          <w:szCs w:val="24"/>
          <w:lang w:val="lt-LT"/>
        </w:rPr>
        <w:t xml:space="preserve">per </w:t>
      </w:r>
      <w:proofErr w:type="spellStart"/>
      <w:r w:rsidR="00E52346" w:rsidRPr="00E52346">
        <w:rPr>
          <w:rFonts w:ascii="Times New Roman" w:hAnsi="Times New Roman" w:cs="Times New Roman"/>
          <w:i/>
          <w:iCs/>
          <w:sz w:val="24"/>
          <w:szCs w:val="24"/>
          <w:lang w:val="lt-LT"/>
        </w:rPr>
        <w:t>se</w:t>
      </w:r>
      <w:proofErr w:type="spellEnd"/>
      <w:r w:rsidR="00E52346" w:rsidRPr="00E52346">
        <w:rPr>
          <w:rFonts w:ascii="Times New Roman" w:hAnsi="Times New Roman" w:cs="Times New Roman"/>
          <w:sz w:val="24"/>
          <w:szCs w:val="24"/>
          <w:lang w:val="lt-LT"/>
        </w:rPr>
        <w:t> gali būti pripažinta šios nuostatos pažeidėja</w:t>
      </w:r>
      <w:r w:rsidR="00A7162E">
        <w:rPr>
          <w:rFonts w:ascii="Times New Roman" w:hAnsi="Times New Roman" w:cs="Times New Roman"/>
          <w:sz w:val="24"/>
          <w:szCs w:val="24"/>
          <w:lang w:val="lt-LT"/>
        </w:rPr>
        <w:t xml:space="preserve"> (Sprendimo </w:t>
      </w:r>
      <w:r w:rsidR="00A7162E" w:rsidRPr="00CF489B">
        <w:rPr>
          <w:rFonts w:ascii="Times New Roman" w:hAnsi="Times New Roman" w:cs="Times New Roman"/>
          <w:i/>
          <w:iCs/>
          <w:sz w:val="24"/>
          <w:szCs w:val="24"/>
          <w:lang w:val="lt-LT"/>
        </w:rPr>
        <w:t>Notarų rūmai</w:t>
      </w:r>
      <w:r w:rsidR="00A7162E">
        <w:rPr>
          <w:rFonts w:ascii="Times New Roman" w:hAnsi="Times New Roman" w:cs="Times New Roman"/>
          <w:sz w:val="24"/>
          <w:szCs w:val="24"/>
          <w:lang w:val="lt-LT"/>
        </w:rPr>
        <w:t xml:space="preserve"> 114–115 p)</w:t>
      </w:r>
      <w:r w:rsidR="00E52346" w:rsidRPr="00E52346">
        <w:rPr>
          <w:rFonts w:ascii="Times New Roman" w:hAnsi="Times New Roman" w:cs="Times New Roman"/>
          <w:sz w:val="24"/>
          <w:szCs w:val="24"/>
          <w:lang w:val="lt-LT"/>
        </w:rPr>
        <w:t>.</w:t>
      </w:r>
      <w:r w:rsidR="006567A2">
        <w:rPr>
          <w:rFonts w:ascii="Times New Roman" w:hAnsi="Times New Roman" w:cs="Times New Roman"/>
          <w:sz w:val="24"/>
          <w:szCs w:val="24"/>
          <w:lang w:val="lt-LT"/>
        </w:rPr>
        <w:t xml:space="preserve"> </w:t>
      </w:r>
    </w:p>
    <w:p w14:paraId="3C42A783" w14:textId="77777777" w:rsidR="006F591D" w:rsidRPr="00DF5596" w:rsidRDefault="005A49EE" w:rsidP="006F591D">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Teisingumo Teismas darė prielaidą, kad </w:t>
      </w:r>
      <w:r w:rsidR="00CF489B">
        <w:rPr>
          <w:rFonts w:ascii="Times New Roman" w:hAnsi="Times New Roman" w:cs="Times New Roman"/>
          <w:sz w:val="24"/>
          <w:szCs w:val="24"/>
          <w:lang w:val="lt-LT"/>
        </w:rPr>
        <w:t>N</w:t>
      </w:r>
      <w:r w:rsidR="00CF655B" w:rsidRPr="001C4AE0">
        <w:rPr>
          <w:rFonts w:ascii="Times New Roman" w:hAnsi="Times New Roman" w:cs="Times New Roman"/>
          <w:sz w:val="24"/>
          <w:szCs w:val="24"/>
          <w:lang w:val="lt-LT"/>
        </w:rPr>
        <w:t xml:space="preserve">otarų </w:t>
      </w:r>
      <w:r w:rsidR="00CF489B">
        <w:rPr>
          <w:rFonts w:ascii="Times New Roman" w:hAnsi="Times New Roman" w:cs="Times New Roman"/>
          <w:sz w:val="24"/>
          <w:szCs w:val="24"/>
          <w:lang w:val="lt-LT"/>
        </w:rPr>
        <w:t xml:space="preserve">rūmai </w:t>
      </w:r>
      <w:r w:rsidR="007A560A" w:rsidRPr="007A560A">
        <w:rPr>
          <w:rFonts w:ascii="Times New Roman" w:hAnsi="Times New Roman" w:cs="Times New Roman"/>
          <w:sz w:val="24"/>
          <w:szCs w:val="24"/>
          <w:lang w:val="lt-LT"/>
        </w:rPr>
        <w:t>turi būti laikom</w:t>
      </w:r>
      <w:r w:rsidR="00CF489B">
        <w:rPr>
          <w:rFonts w:ascii="Times New Roman" w:hAnsi="Times New Roman" w:cs="Times New Roman"/>
          <w:sz w:val="24"/>
          <w:szCs w:val="24"/>
          <w:lang w:val="lt-LT"/>
        </w:rPr>
        <w:t>i</w:t>
      </w:r>
      <w:r w:rsidR="007A560A" w:rsidRPr="007A560A">
        <w:rPr>
          <w:rFonts w:ascii="Times New Roman" w:hAnsi="Times New Roman" w:cs="Times New Roman"/>
          <w:sz w:val="24"/>
          <w:szCs w:val="24"/>
          <w:lang w:val="lt-LT"/>
        </w:rPr>
        <w:t xml:space="preserve"> padariusiai</w:t>
      </w:r>
      <w:r w:rsidR="00CF489B">
        <w:rPr>
          <w:rFonts w:ascii="Times New Roman" w:hAnsi="Times New Roman" w:cs="Times New Roman"/>
          <w:sz w:val="24"/>
          <w:szCs w:val="24"/>
          <w:lang w:val="lt-LT"/>
        </w:rPr>
        <w:t>s</w:t>
      </w:r>
      <w:r w:rsidR="007A560A" w:rsidRPr="007A560A">
        <w:rPr>
          <w:rFonts w:ascii="Times New Roman" w:hAnsi="Times New Roman" w:cs="Times New Roman"/>
          <w:sz w:val="24"/>
          <w:szCs w:val="24"/>
          <w:lang w:val="lt-LT"/>
        </w:rPr>
        <w:t xml:space="preserve"> Konkurencijos tarybos pagrindinėje byloje konstatuotą </w:t>
      </w:r>
      <w:r w:rsidR="004D00C7" w:rsidRPr="006567A2">
        <w:rPr>
          <w:rFonts w:ascii="Times New Roman" w:hAnsi="Times New Roman" w:cs="Times New Roman"/>
          <w:sz w:val="24"/>
          <w:szCs w:val="24"/>
          <w:lang w:val="lt-LT"/>
        </w:rPr>
        <w:t>SESV 101 straipsnio 1 dalies</w:t>
      </w:r>
      <w:r w:rsidR="004D00C7" w:rsidRPr="007A560A">
        <w:rPr>
          <w:rFonts w:ascii="Times New Roman" w:hAnsi="Times New Roman" w:cs="Times New Roman"/>
          <w:sz w:val="24"/>
          <w:szCs w:val="24"/>
          <w:lang w:val="lt-LT"/>
        </w:rPr>
        <w:t xml:space="preserve"> </w:t>
      </w:r>
      <w:r w:rsidR="007A560A" w:rsidRPr="007A560A">
        <w:rPr>
          <w:rFonts w:ascii="Times New Roman" w:hAnsi="Times New Roman" w:cs="Times New Roman"/>
          <w:sz w:val="24"/>
          <w:szCs w:val="24"/>
          <w:lang w:val="lt-LT"/>
        </w:rPr>
        <w:t>pažeidimą</w:t>
      </w:r>
      <w:r>
        <w:rPr>
          <w:rFonts w:ascii="Times New Roman" w:hAnsi="Times New Roman" w:cs="Times New Roman"/>
          <w:sz w:val="24"/>
          <w:szCs w:val="24"/>
          <w:lang w:val="lt-LT"/>
        </w:rPr>
        <w:t>.</w:t>
      </w:r>
      <w:r w:rsidR="007A560A" w:rsidRPr="007A560A">
        <w:rPr>
          <w:rFonts w:ascii="Times New Roman" w:hAnsi="Times New Roman" w:cs="Times New Roman"/>
          <w:sz w:val="24"/>
          <w:szCs w:val="24"/>
          <w:lang w:val="lt-LT"/>
        </w:rPr>
        <w:t xml:space="preserve"> </w:t>
      </w:r>
      <w:r w:rsidR="001C4AE0">
        <w:rPr>
          <w:rFonts w:ascii="Times New Roman" w:hAnsi="Times New Roman" w:cs="Times New Roman"/>
          <w:sz w:val="24"/>
          <w:szCs w:val="24"/>
          <w:lang w:val="lt-LT"/>
        </w:rPr>
        <w:t xml:space="preserve">Šiuo aspektu atsižvelgta į tai, kad </w:t>
      </w:r>
      <w:r w:rsidR="00392FA7">
        <w:rPr>
          <w:rFonts w:ascii="Times New Roman" w:hAnsi="Times New Roman" w:cs="Times New Roman"/>
          <w:sz w:val="24"/>
          <w:szCs w:val="24"/>
          <w:lang w:val="lt-LT"/>
        </w:rPr>
        <w:t>minėtą</w:t>
      </w:r>
      <w:r w:rsidR="006567A2" w:rsidRPr="006567A2">
        <w:rPr>
          <w:rFonts w:ascii="Times New Roman" w:hAnsi="Times New Roman" w:cs="Times New Roman"/>
          <w:sz w:val="24"/>
          <w:szCs w:val="24"/>
          <w:lang w:val="lt-LT"/>
        </w:rPr>
        <w:t xml:space="preserve"> pažeidimą </w:t>
      </w:r>
      <w:r w:rsidR="006567A2" w:rsidRPr="00DF5596">
        <w:rPr>
          <w:rFonts w:ascii="Times New Roman" w:hAnsi="Times New Roman" w:cs="Times New Roman"/>
          <w:sz w:val="24"/>
          <w:szCs w:val="24"/>
          <w:lang w:val="lt-LT"/>
        </w:rPr>
        <w:t>sudaro Išaiškinimų, kurie yra Notarų rūmų prezidiumo</w:t>
      </w:r>
      <w:r w:rsidR="006567A2" w:rsidRPr="00E2193D">
        <w:rPr>
          <w:rFonts w:ascii="Times New Roman" w:hAnsi="Times New Roman" w:cs="Times New Roman"/>
          <w:sz w:val="24"/>
          <w:szCs w:val="24"/>
          <w:u w:val="single"/>
          <w:lang w:val="lt-LT"/>
        </w:rPr>
        <w:t xml:space="preserve"> </w:t>
      </w:r>
      <w:r w:rsidR="006567A2" w:rsidRPr="00DF5596">
        <w:rPr>
          <w:rFonts w:ascii="Times New Roman" w:hAnsi="Times New Roman" w:cs="Times New Roman"/>
          <w:sz w:val="24"/>
          <w:szCs w:val="24"/>
          <w:lang w:val="lt-LT"/>
        </w:rPr>
        <w:t>nutarimai, priėmimas</w:t>
      </w:r>
      <w:r w:rsidR="00DC4492" w:rsidRPr="00DF5596">
        <w:rPr>
          <w:rFonts w:ascii="Times New Roman" w:hAnsi="Times New Roman" w:cs="Times New Roman"/>
          <w:sz w:val="24"/>
          <w:szCs w:val="24"/>
          <w:lang w:val="lt-LT"/>
        </w:rPr>
        <w:t xml:space="preserve">, o </w:t>
      </w:r>
      <w:r w:rsidR="006567A2" w:rsidRPr="00DF5596">
        <w:rPr>
          <w:rFonts w:ascii="Times New Roman" w:hAnsi="Times New Roman" w:cs="Times New Roman"/>
          <w:sz w:val="24"/>
          <w:szCs w:val="24"/>
          <w:lang w:val="lt-LT"/>
        </w:rPr>
        <w:t xml:space="preserve">Prezidiumo, kuris yra </w:t>
      </w:r>
      <w:r w:rsidR="003906E4" w:rsidRPr="00DF5596">
        <w:rPr>
          <w:rFonts w:ascii="Times New Roman" w:hAnsi="Times New Roman" w:cs="Times New Roman"/>
          <w:sz w:val="24"/>
          <w:szCs w:val="24"/>
          <w:lang w:val="lt-LT"/>
        </w:rPr>
        <w:t>Notarų</w:t>
      </w:r>
      <w:r w:rsidR="006567A2" w:rsidRPr="00DF5596">
        <w:rPr>
          <w:rFonts w:ascii="Times New Roman" w:hAnsi="Times New Roman" w:cs="Times New Roman"/>
          <w:sz w:val="24"/>
          <w:szCs w:val="24"/>
          <w:lang w:val="lt-LT"/>
        </w:rPr>
        <w:t xml:space="preserve"> rūmų valdymo organas, nutarimai yra privalomi tiems rūmams, todėl jie laikytini pačių Notarų rūmų nutarimais</w:t>
      </w:r>
      <w:r w:rsidR="00B063DA" w:rsidRPr="00DF5596">
        <w:rPr>
          <w:rFonts w:ascii="Times New Roman" w:hAnsi="Times New Roman" w:cs="Times New Roman"/>
          <w:sz w:val="24"/>
          <w:szCs w:val="24"/>
          <w:lang w:val="lt-LT"/>
        </w:rPr>
        <w:t xml:space="preserve"> (</w:t>
      </w:r>
      <w:r w:rsidR="00392FA7" w:rsidRPr="00DF5596">
        <w:rPr>
          <w:rFonts w:ascii="Times New Roman" w:hAnsi="Times New Roman" w:cs="Times New Roman"/>
          <w:sz w:val="24"/>
          <w:szCs w:val="24"/>
          <w:lang w:val="lt-LT"/>
        </w:rPr>
        <w:t xml:space="preserve">Sprendimo Notarų rūmai </w:t>
      </w:r>
      <w:r w:rsidR="002E0526" w:rsidRPr="00DF5596">
        <w:rPr>
          <w:rFonts w:ascii="Times New Roman" w:hAnsi="Times New Roman" w:cs="Times New Roman"/>
          <w:sz w:val="24"/>
          <w:szCs w:val="24"/>
          <w:lang w:val="lt-LT"/>
        </w:rPr>
        <w:t>116–118 p.</w:t>
      </w:r>
      <w:r w:rsidR="00B063DA" w:rsidRPr="00DF5596">
        <w:rPr>
          <w:rFonts w:ascii="Times New Roman" w:hAnsi="Times New Roman" w:cs="Times New Roman"/>
          <w:sz w:val="24"/>
          <w:szCs w:val="24"/>
          <w:lang w:val="lt-LT"/>
        </w:rPr>
        <w:t>)</w:t>
      </w:r>
      <w:r w:rsidR="006567A2" w:rsidRPr="00DF5596">
        <w:rPr>
          <w:rFonts w:ascii="Times New Roman" w:hAnsi="Times New Roman" w:cs="Times New Roman"/>
          <w:sz w:val="24"/>
          <w:szCs w:val="24"/>
          <w:lang w:val="lt-LT"/>
        </w:rPr>
        <w:t>.</w:t>
      </w:r>
      <w:r w:rsidR="003906E4" w:rsidRPr="00DF5596">
        <w:rPr>
          <w:rFonts w:ascii="Times New Roman" w:hAnsi="Times New Roman" w:cs="Times New Roman"/>
          <w:sz w:val="24"/>
          <w:szCs w:val="24"/>
          <w:lang w:val="lt-LT"/>
        </w:rPr>
        <w:t xml:space="preserve"> </w:t>
      </w:r>
    </w:p>
    <w:p w14:paraId="22A2F659" w14:textId="09CB03C8" w:rsidR="00121AC3" w:rsidRDefault="006F591D" w:rsidP="00121AC3">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DF5596">
        <w:rPr>
          <w:rFonts w:ascii="Times New Roman" w:hAnsi="Times New Roman" w:cs="Times New Roman"/>
          <w:sz w:val="24"/>
          <w:szCs w:val="24"/>
          <w:lang w:val="lt-LT"/>
        </w:rPr>
        <w:t xml:space="preserve"> </w:t>
      </w:r>
      <w:r w:rsidR="003A3E7A" w:rsidRPr="00DF5596">
        <w:rPr>
          <w:rFonts w:ascii="Times New Roman" w:hAnsi="Times New Roman" w:cs="Times New Roman"/>
          <w:sz w:val="24"/>
          <w:szCs w:val="24"/>
          <w:lang w:val="lt-LT"/>
        </w:rPr>
        <w:t>Išplėstinė teisėjų kolegija ne</w:t>
      </w:r>
      <w:r w:rsidR="009C00F9" w:rsidRPr="00DF5596">
        <w:rPr>
          <w:rFonts w:ascii="Times New Roman" w:hAnsi="Times New Roman" w:cs="Times New Roman"/>
          <w:sz w:val="24"/>
          <w:szCs w:val="24"/>
          <w:lang w:val="lt-LT"/>
        </w:rPr>
        <w:t>nustatė</w:t>
      </w:r>
      <w:r w:rsidR="001122C8" w:rsidRPr="00DF5596">
        <w:rPr>
          <w:rFonts w:ascii="Times New Roman" w:hAnsi="Times New Roman" w:cs="Times New Roman"/>
          <w:sz w:val="24"/>
          <w:szCs w:val="24"/>
          <w:lang w:val="lt-LT"/>
        </w:rPr>
        <w:t xml:space="preserve"> jokių teisiškai reikšmingų aplinkybių, kurios </w:t>
      </w:r>
      <w:r w:rsidR="00DA0AE1" w:rsidRPr="00DF5596">
        <w:rPr>
          <w:rFonts w:ascii="Times New Roman" w:hAnsi="Times New Roman" w:cs="Times New Roman"/>
          <w:sz w:val="24"/>
          <w:szCs w:val="24"/>
          <w:lang w:val="lt-LT"/>
        </w:rPr>
        <w:t>pagrįst</w:t>
      </w:r>
      <w:r w:rsidR="007C7B72" w:rsidRPr="00DF5596">
        <w:rPr>
          <w:rFonts w:ascii="Times New Roman" w:hAnsi="Times New Roman" w:cs="Times New Roman"/>
          <w:sz w:val="24"/>
          <w:szCs w:val="24"/>
          <w:lang w:val="lt-LT"/>
        </w:rPr>
        <w:t>ų</w:t>
      </w:r>
      <w:r w:rsidR="00DA0AE1" w:rsidRPr="00DF5596">
        <w:rPr>
          <w:rFonts w:ascii="Times New Roman" w:hAnsi="Times New Roman" w:cs="Times New Roman"/>
          <w:sz w:val="24"/>
          <w:szCs w:val="24"/>
          <w:lang w:val="lt-LT"/>
        </w:rPr>
        <w:t xml:space="preserve"> </w:t>
      </w:r>
      <w:r w:rsidR="007C7B72" w:rsidRPr="00DF5596">
        <w:rPr>
          <w:rFonts w:ascii="Times New Roman" w:hAnsi="Times New Roman" w:cs="Times New Roman"/>
          <w:sz w:val="24"/>
          <w:szCs w:val="24"/>
          <w:lang w:val="lt-LT"/>
        </w:rPr>
        <w:t xml:space="preserve">kitokį </w:t>
      </w:r>
      <w:r w:rsidR="00322E8B" w:rsidRPr="00DF5596">
        <w:rPr>
          <w:rFonts w:ascii="Times New Roman" w:hAnsi="Times New Roman" w:cs="Times New Roman"/>
          <w:sz w:val="24"/>
          <w:szCs w:val="24"/>
          <w:lang w:val="lt-LT"/>
        </w:rPr>
        <w:t>už</w:t>
      </w:r>
      <w:r w:rsidR="00322E8B">
        <w:rPr>
          <w:rFonts w:ascii="Times New Roman" w:hAnsi="Times New Roman" w:cs="Times New Roman"/>
          <w:sz w:val="24"/>
          <w:szCs w:val="24"/>
          <w:lang w:val="lt-LT"/>
        </w:rPr>
        <w:t xml:space="preserve"> Išaiškinimų priėmimą</w:t>
      </w:r>
      <w:r w:rsidR="00DA0AE1">
        <w:rPr>
          <w:rFonts w:ascii="Times New Roman" w:hAnsi="Times New Roman" w:cs="Times New Roman"/>
          <w:sz w:val="24"/>
          <w:szCs w:val="24"/>
          <w:lang w:val="lt-LT"/>
        </w:rPr>
        <w:t xml:space="preserve"> tenkančios</w:t>
      </w:r>
      <w:r w:rsidR="003F3364">
        <w:rPr>
          <w:rFonts w:ascii="Times New Roman" w:hAnsi="Times New Roman" w:cs="Times New Roman"/>
          <w:sz w:val="24"/>
          <w:szCs w:val="24"/>
          <w:lang w:val="lt-LT"/>
        </w:rPr>
        <w:t xml:space="preserve"> atsakomybės</w:t>
      </w:r>
      <w:r w:rsidR="00240EFD">
        <w:rPr>
          <w:rFonts w:ascii="Times New Roman" w:hAnsi="Times New Roman" w:cs="Times New Roman"/>
          <w:sz w:val="24"/>
          <w:szCs w:val="24"/>
          <w:lang w:val="lt-LT"/>
        </w:rPr>
        <w:t xml:space="preserve"> </w:t>
      </w:r>
      <w:r w:rsidR="00CB3FEF">
        <w:rPr>
          <w:rFonts w:ascii="Times New Roman" w:hAnsi="Times New Roman" w:cs="Times New Roman"/>
          <w:sz w:val="24"/>
          <w:szCs w:val="24"/>
          <w:lang w:val="lt-LT"/>
        </w:rPr>
        <w:t>vertinimą</w:t>
      </w:r>
      <w:r w:rsidR="00240EFD">
        <w:rPr>
          <w:rFonts w:ascii="Times New Roman" w:hAnsi="Times New Roman" w:cs="Times New Roman"/>
          <w:sz w:val="24"/>
          <w:szCs w:val="24"/>
          <w:lang w:val="lt-LT"/>
        </w:rPr>
        <w:t xml:space="preserve">. </w:t>
      </w:r>
      <w:r w:rsidR="001547F7">
        <w:rPr>
          <w:rFonts w:ascii="Times New Roman" w:hAnsi="Times New Roman" w:cs="Times New Roman"/>
          <w:sz w:val="24"/>
          <w:szCs w:val="24"/>
          <w:lang w:val="lt-LT"/>
        </w:rPr>
        <w:t xml:space="preserve">Šiame kontekste </w:t>
      </w:r>
      <w:r w:rsidR="00B2237D">
        <w:rPr>
          <w:rFonts w:ascii="Times New Roman" w:hAnsi="Times New Roman" w:cs="Times New Roman"/>
          <w:sz w:val="24"/>
          <w:szCs w:val="24"/>
          <w:lang w:val="lt-LT"/>
        </w:rPr>
        <w:t xml:space="preserve">pirmiausia </w:t>
      </w:r>
      <w:r w:rsidR="001547F7">
        <w:rPr>
          <w:rFonts w:ascii="Times New Roman" w:hAnsi="Times New Roman" w:cs="Times New Roman"/>
          <w:sz w:val="24"/>
          <w:szCs w:val="24"/>
          <w:lang w:val="lt-LT"/>
        </w:rPr>
        <w:t xml:space="preserve">primintina, kad išplėstinė teisėjų kolegija </w:t>
      </w:r>
      <w:r w:rsidR="00177BEF">
        <w:rPr>
          <w:rFonts w:ascii="Times New Roman" w:hAnsi="Times New Roman" w:cs="Times New Roman"/>
          <w:sz w:val="24"/>
          <w:szCs w:val="24"/>
          <w:lang w:val="lt-LT"/>
        </w:rPr>
        <w:t>jau konstat</w:t>
      </w:r>
      <w:r w:rsidR="001547F7">
        <w:rPr>
          <w:rFonts w:ascii="Times New Roman" w:hAnsi="Times New Roman" w:cs="Times New Roman"/>
          <w:sz w:val="24"/>
          <w:szCs w:val="24"/>
          <w:lang w:val="lt-LT"/>
        </w:rPr>
        <w:t>avo</w:t>
      </w:r>
      <w:r w:rsidR="00177BEF">
        <w:rPr>
          <w:rFonts w:ascii="Times New Roman" w:hAnsi="Times New Roman" w:cs="Times New Roman"/>
          <w:sz w:val="24"/>
          <w:szCs w:val="24"/>
          <w:lang w:val="lt-LT"/>
        </w:rPr>
        <w:t>, kad</w:t>
      </w:r>
      <w:r w:rsidR="00A8411B">
        <w:rPr>
          <w:rFonts w:ascii="Times New Roman" w:hAnsi="Times New Roman" w:cs="Times New Roman"/>
          <w:sz w:val="24"/>
          <w:szCs w:val="24"/>
          <w:lang w:val="lt-LT"/>
        </w:rPr>
        <w:t>,</w:t>
      </w:r>
      <w:r w:rsidR="00177BEF">
        <w:rPr>
          <w:rFonts w:ascii="Times New Roman" w:hAnsi="Times New Roman" w:cs="Times New Roman"/>
          <w:sz w:val="24"/>
          <w:szCs w:val="24"/>
          <w:lang w:val="lt-LT"/>
        </w:rPr>
        <w:t xml:space="preserve"> </w:t>
      </w:r>
      <w:r w:rsidR="00A8411B" w:rsidRPr="00061C76">
        <w:rPr>
          <w:rFonts w:ascii="Times New Roman" w:eastAsia="Times New Roman" w:hAnsi="Times New Roman" w:cs="Times New Roman"/>
          <w:sz w:val="24"/>
          <w:szCs w:val="24"/>
          <w:lang w:val="lt-LT"/>
        </w:rPr>
        <w:t>kiek tai susiję su Išaiškinimais</w:t>
      </w:r>
      <w:r w:rsidR="00A8411B">
        <w:rPr>
          <w:rFonts w:ascii="Times New Roman" w:eastAsia="Times New Roman" w:hAnsi="Times New Roman" w:cs="Times New Roman"/>
          <w:sz w:val="24"/>
          <w:szCs w:val="24"/>
          <w:lang w:val="lt-LT"/>
        </w:rPr>
        <w:t>,</w:t>
      </w:r>
      <w:r w:rsidR="00A8411B" w:rsidRPr="00061C76">
        <w:rPr>
          <w:rFonts w:ascii="Times New Roman" w:eastAsia="Times New Roman" w:hAnsi="Times New Roman" w:cs="Times New Roman"/>
          <w:sz w:val="24"/>
          <w:szCs w:val="24"/>
          <w:lang w:val="lt-LT"/>
        </w:rPr>
        <w:t xml:space="preserve"> Notarų rūmai</w:t>
      </w:r>
      <w:r w:rsidR="00CB3FEF">
        <w:rPr>
          <w:rFonts w:ascii="Times New Roman" w:eastAsia="Times New Roman" w:hAnsi="Times New Roman" w:cs="Times New Roman"/>
          <w:sz w:val="24"/>
          <w:szCs w:val="24"/>
          <w:lang w:val="lt-LT"/>
        </w:rPr>
        <w:t>,</w:t>
      </w:r>
      <w:r w:rsidR="00072D77">
        <w:rPr>
          <w:rFonts w:ascii="Times New Roman" w:eastAsia="Times New Roman" w:hAnsi="Times New Roman" w:cs="Times New Roman"/>
          <w:sz w:val="24"/>
          <w:szCs w:val="24"/>
          <w:lang w:val="lt-LT"/>
        </w:rPr>
        <w:t xml:space="preserve"> būdami</w:t>
      </w:r>
      <w:r w:rsidR="00A8411B" w:rsidRPr="00061C76">
        <w:rPr>
          <w:rFonts w:ascii="Times New Roman" w:eastAsia="Times New Roman" w:hAnsi="Times New Roman" w:cs="Times New Roman"/>
          <w:sz w:val="24"/>
          <w:szCs w:val="24"/>
          <w:lang w:val="lt-LT"/>
        </w:rPr>
        <w:t xml:space="preserve"> įmonių (ūkio subjektų) asociacija</w:t>
      </w:r>
      <w:r w:rsidR="00072D77">
        <w:rPr>
          <w:rFonts w:ascii="Times New Roman" w:eastAsia="Times New Roman" w:hAnsi="Times New Roman" w:cs="Times New Roman"/>
          <w:sz w:val="24"/>
          <w:szCs w:val="24"/>
          <w:lang w:val="lt-LT"/>
        </w:rPr>
        <w:t xml:space="preserve">, priėmė </w:t>
      </w:r>
      <w:r w:rsidR="006152A2">
        <w:rPr>
          <w:rFonts w:ascii="Times New Roman" w:hAnsi="Times New Roman" w:cs="Times New Roman"/>
          <w:sz w:val="24"/>
          <w:szCs w:val="24"/>
          <w:lang w:val="lt-LT"/>
        </w:rPr>
        <w:t>SESV 101 straipsnio 1 dalyje</w:t>
      </w:r>
      <w:r w:rsidR="00CB3FEF">
        <w:rPr>
          <w:rFonts w:ascii="Times New Roman" w:hAnsi="Times New Roman" w:cs="Times New Roman"/>
          <w:sz w:val="24"/>
          <w:szCs w:val="24"/>
          <w:lang w:val="lt-LT"/>
        </w:rPr>
        <w:t xml:space="preserve"> ir </w:t>
      </w:r>
      <w:r w:rsidR="00CB3FEF" w:rsidRPr="00061C76">
        <w:rPr>
          <w:rFonts w:ascii="Times New Roman" w:eastAsia="Times New Roman" w:hAnsi="Times New Roman" w:cs="Times New Roman"/>
          <w:sz w:val="24"/>
          <w:szCs w:val="24"/>
          <w:lang w:val="lt-LT"/>
        </w:rPr>
        <w:t>Konkurencijos įstatymo 5 straipsn</w:t>
      </w:r>
      <w:r w:rsidR="002A22F5">
        <w:rPr>
          <w:rFonts w:ascii="Times New Roman" w:eastAsia="Times New Roman" w:hAnsi="Times New Roman" w:cs="Times New Roman"/>
          <w:sz w:val="24"/>
          <w:szCs w:val="24"/>
          <w:lang w:val="lt-LT"/>
        </w:rPr>
        <w:t>yje</w:t>
      </w:r>
      <w:r w:rsidR="006152A2">
        <w:rPr>
          <w:rFonts w:ascii="Times New Roman" w:hAnsi="Times New Roman" w:cs="Times New Roman"/>
          <w:sz w:val="24"/>
          <w:szCs w:val="24"/>
          <w:lang w:val="lt-LT"/>
        </w:rPr>
        <w:t xml:space="preserve"> draudžiam</w:t>
      </w:r>
      <w:r w:rsidR="00072D77">
        <w:rPr>
          <w:rFonts w:ascii="Times New Roman" w:hAnsi="Times New Roman" w:cs="Times New Roman"/>
          <w:sz w:val="24"/>
          <w:szCs w:val="24"/>
          <w:lang w:val="lt-LT"/>
        </w:rPr>
        <w:t>ą</w:t>
      </w:r>
      <w:r w:rsidR="001F11B3" w:rsidRPr="001F11B3">
        <w:rPr>
          <w:rFonts w:ascii="Times New Roman" w:eastAsia="Times New Roman" w:hAnsi="Times New Roman" w:cs="Times New Roman"/>
          <w:sz w:val="24"/>
          <w:szCs w:val="24"/>
          <w:lang w:val="lt-LT"/>
        </w:rPr>
        <w:t xml:space="preserve"> </w:t>
      </w:r>
      <w:r w:rsidR="001F11B3" w:rsidRPr="00061C76">
        <w:rPr>
          <w:rFonts w:ascii="Times New Roman" w:eastAsia="Times New Roman" w:hAnsi="Times New Roman" w:cs="Times New Roman"/>
          <w:sz w:val="24"/>
          <w:szCs w:val="24"/>
          <w:lang w:val="lt-LT"/>
        </w:rPr>
        <w:t>įmonių asociacijos sprendim</w:t>
      </w:r>
      <w:r w:rsidR="00072D77">
        <w:rPr>
          <w:rFonts w:ascii="Times New Roman" w:eastAsia="Times New Roman" w:hAnsi="Times New Roman" w:cs="Times New Roman"/>
          <w:sz w:val="24"/>
          <w:szCs w:val="24"/>
          <w:lang w:val="lt-LT"/>
        </w:rPr>
        <w:t>ą</w:t>
      </w:r>
      <w:r w:rsidR="002A22F5">
        <w:rPr>
          <w:rFonts w:ascii="Times New Roman" w:eastAsia="Times New Roman" w:hAnsi="Times New Roman" w:cs="Times New Roman"/>
          <w:sz w:val="24"/>
          <w:szCs w:val="24"/>
          <w:lang w:val="lt-LT"/>
        </w:rPr>
        <w:t xml:space="preserve">. </w:t>
      </w:r>
      <w:r w:rsidR="00BD6FA7">
        <w:rPr>
          <w:rFonts w:ascii="Times New Roman" w:eastAsia="Times New Roman" w:hAnsi="Times New Roman" w:cs="Times New Roman"/>
          <w:sz w:val="24"/>
          <w:szCs w:val="24"/>
          <w:lang w:val="lt-LT"/>
        </w:rPr>
        <w:t>Kadangi Išaiškinim</w:t>
      </w:r>
      <w:r w:rsidR="002A3CE6">
        <w:rPr>
          <w:rFonts w:ascii="Times New Roman" w:eastAsia="Times New Roman" w:hAnsi="Times New Roman" w:cs="Times New Roman"/>
          <w:sz w:val="24"/>
          <w:szCs w:val="24"/>
          <w:lang w:val="lt-LT"/>
        </w:rPr>
        <w:t xml:space="preserve">us savo nutarimais priėmė konkrečiai Notarų rūmų prezidiumas, atsižvelgtina į </w:t>
      </w:r>
      <w:r w:rsidR="00DA5468">
        <w:rPr>
          <w:rFonts w:ascii="Times New Roman" w:eastAsia="Times New Roman" w:hAnsi="Times New Roman" w:cs="Times New Roman"/>
          <w:sz w:val="24"/>
          <w:szCs w:val="24"/>
          <w:lang w:val="lt-LT"/>
        </w:rPr>
        <w:t>šio organo</w:t>
      </w:r>
      <w:r w:rsidR="00A32CDE">
        <w:rPr>
          <w:rFonts w:ascii="Times New Roman" w:eastAsia="Times New Roman" w:hAnsi="Times New Roman" w:cs="Times New Roman"/>
          <w:sz w:val="24"/>
          <w:szCs w:val="24"/>
          <w:lang w:val="lt-LT"/>
        </w:rPr>
        <w:t xml:space="preserve"> vaidmenį </w:t>
      </w:r>
      <w:r w:rsidR="00DA5468" w:rsidRPr="00DA5468">
        <w:rPr>
          <w:rFonts w:ascii="Times New Roman" w:eastAsia="Times New Roman" w:hAnsi="Times New Roman" w:cs="Times New Roman"/>
          <w:sz w:val="24"/>
          <w:szCs w:val="24"/>
          <w:lang w:val="lt-LT"/>
        </w:rPr>
        <w:t>Notarų rūmų struktūroje</w:t>
      </w:r>
      <w:r w:rsidR="00A32CDE">
        <w:rPr>
          <w:rFonts w:ascii="Times New Roman" w:eastAsia="Times New Roman" w:hAnsi="Times New Roman" w:cs="Times New Roman"/>
          <w:sz w:val="24"/>
          <w:szCs w:val="24"/>
          <w:lang w:val="lt-LT"/>
        </w:rPr>
        <w:t xml:space="preserve">, </w:t>
      </w:r>
      <w:r w:rsidR="00AC1834">
        <w:rPr>
          <w:rFonts w:ascii="Times New Roman" w:eastAsia="Times New Roman" w:hAnsi="Times New Roman" w:cs="Times New Roman"/>
          <w:sz w:val="24"/>
          <w:szCs w:val="24"/>
          <w:lang w:val="lt-LT"/>
        </w:rPr>
        <w:t xml:space="preserve">kurį suponuoja </w:t>
      </w:r>
      <w:r w:rsidR="00234067">
        <w:rPr>
          <w:rFonts w:ascii="Times New Roman" w:eastAsia="Times New Roman" w:hAnsi="Times New Roman" w:cs="Times New Roman"/>
          <w:sz w:val="24"/>
          <w:szCs w:val="24"/>
          <w:lang w:val="lt-LT"/>
        </w:rPr>
        <w:t>šiam klausimui reikšming</w:t>
      </w:r>
      <w:r w:rsidR="00AC1834">
        <w:rPr>
          <w:rFonts w:ascii="Times New Roman" w:eastAsia="Times New Roman" w:hAnsi="Times New Roman" w:cs="Times New Roman"/>
          <w:sz w:val="24"/>
          <w:szCs w:val="24"/>
          <w:lang w:val="lt-LT"/>
        </w:rPr>
        <w:t>as</w:t>
      </w:r>
      <w:r w:rsidR="00234067">
        <w:rPr>
          <w:rFonts w:ascii="Times New Roman" w:eastAsia="Times New Roman" w:hAnsi="Times New Roman" w:cs="Times New Roman"/>
          <w:sz w:val="24"/>
          <w:szCs w:val="24"/>
          <w:lang w:val="lt-LT"/>
        </w:rPr>
        <w:t xml:space="preserve"> Notariato įstatym</w:t>
      </w:r>
      <w:r w:rsidR="006D739F">
        <w:rPr>
          <w:rFonts w:ascii="Times New Roman" w:eastAsia="Times New Roman" w:hAnsi="Times New Roman" w:cs="Times New Roman"/>
          <w:sz w:val="24"/>
          <w:szCs w:val="24"/>
          <w:lang w:val="lt-LT"/>
        </w:rPr>
        <w:t>e</w:t>
      </w:r>
      <w:r w:rsidR="00234067">
        <w:rPr>
          <w:rFonts w:ascii="Times New Roman" w:eastAsia="Times New Roman" w:hAnsi="Times New Roman" w:cs="Times New Roman"/>
          <w:sz w:val="24"/>
          <w:szCs w:val="24"/>
          <w:lang w:val="lt-LT"/>
        </w:rPr>
        <w:t xml:space="preserve"> ir Statut</w:t>
      </w:r>
      <w:r w:rsidR="006D739F">
        <w:rPr>
          <w:rFonts w:ascii="Times New Roman" w:eastAsia="Times New Roman" w:hAnsi="Times New Roman" w:cs="Times New Roman"/>
          <w:sz w:val="24"/>
          <w:szCs w:val="24"/>
          <w:lang w:val="lt-LT"/>
        </w:rPr>
        <w:t>e nustatyt</w:t>
      </w:r>
      <w:r w:rsidR="00AC1834">
        <w:rPr>
          <w:rFonts w:ascii="Times New Roman" w:eastAsia="Times New Roman" w:hAnsi="Times New Roman" w:cs="Times New Roman"/>
          <w:sz w:val="24"/>
          <w:szCs w:val="24"/>
          <w:lang w:val="lt-LT"/>
        </w:rPr>
        <w:t>as</w:t>
      </w:r>
      <w:r w:rsidR="006D739F">
        <w:rPr>
          <w:rFonts w:ascii="Times New Roman" w:eastAsia="Times New Roman" w:hAnsi="Times New Roman" w:cs="Times New Roman"/>
          <w:sz w:val="24"/>
          <w:szCs w:val="24"/>
          <w:lang w:val="lt-LT"/>
        </w:rPr>
        <w:t xml:space="preserve"> teisin</w:t>
      </w:r>
      <w:r w:rsidR="00AC1834">
        <w:rPr>
          <w:rFonts w:ascii="Times New Roman" w:eastAsia="Times New Roman" w:hAnsi="Times New Roman" w:cs="Times New Roman"/>
          <w:sz w:val="24"/>
          <w:szCs w:val="24"/>
          <w:lang w:val="lt-LT"/>
        </w:rPr>
        <w:t>is</w:t>
      </w:r>
      <w:r w:rsidR="006D739F">
        <w:rPr>
          <w:rFonts w:ascii="Times New Roman" w:eastAsia="Times New Roman" w:hAnsi="Times New Roman" w:cs="Times New Roman"/>
          <w:sz w:val="24"/>
          <w:szCs w:val="24"/>
          <w:lang w:val="lt-LT"/>
        </w:rPr>
        <w:t xml:space="preserve"> reguliavim</w:t>
      </w:r>
      <w:r w:rsidR="00AC1834">
        <w:rPr>
          <w:rFonts w:ascii="Times New Roman" w:eastAsia="Times New Roman" w:hAnsi="Times New Roman" w:cs="Times New Roman"/>
          <w:sz w:val="24"/>
          <w:szCs w:val="24"/>
          <w:lang w:val="lt-LT"/>
        </w:rPr>
        <w:t>as</w:t>
      </w:r>
      <w:r w:rsidR="00A32CDE">
        <w:rPr>
          <w:rFonts w:ascii="Times New Roman" w:eastAsia="Times New Roman" w:hAnsi="Times New Roman" w:cs="Times New Roman"/>
          <w:sz w:val="24"/>
          <w:szCs w:val="24"/>
          <w:lang w:val="lt-LT"/>
        </w:rPr>
        <w:t xml:space="preserve">. </w:t>
      </w:r>
    </w:p>
    <w:p w14:paraId="58FF3AC8" w14:textId="61EB944C" w:rsidR="00121AC3" w:rsidRDefault="00E13F94" w:rsidP="00121AC3">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121AC3">
        <w:rPr>
          <w:rFonts w:ascii="Times New Roman" w:hAnsi="Times New Roman" w:cs="Times New Roman"/>
          <w:sz w:val="24"/>
          <w:szCs w:val="24"/>
          <w:lang w:val="lt-LT"/>
        </w:rPr>
        <w:t xml:space="preserve"> </w:t>
      </w:r>
      <w:r w:rsidR="00D207C0" w:rsidRPr="00D207C0">
        <w:rPr>
          <w:rFonts w:ascii="Times New Roman" w:hAnsi="Times New Roman" w:cs="Times New Roman"/>
          <w:sz w:val="24"/>
          <w:szCs w:val="24"/>
          <w:lang w:val="lt-LT"/>
        </w:rPr>
        <w:t xml:space="preserve">Iš Statuto 12 straipsnio 2 dalies matyti, kad </w:t>
      </w:r>
      <w:r w:rsidR="00D207C0" w:rsidRPr="00926ECF">
        <w:rPr>
          <w:rFonts w:ascii="Times New Roman" w:hAnsi="Times New Roman" w:cs="Times New Roman"/>
          <w:sz w:val="24"/>
          <w:szCs w:val="24"/>
          <w:lang w:val="lt-LT"/>
        </w:rPr>
        <w:t>Prezidiumas yra vienas iš Notarų rūmų valdymo organų. Statuto 18 straipsnio 1 dalis aiškiai nurodo, kad „Prezidiumas yra kolegialus Notarų rūmų valdymo organas“. Ši formuluotė tiesiogiai įvardija kolegialumą kaip Prezidiumo veikimo principą, reiškiantį, kad sprendimai yra priimami ne individualiai, o visų</w:t>
      </w:r>
      <w:r w:rsidR="00D207C0" w:rsidRPr="00D207C0">
        <w:rPr>
          <w:rFonts w:ascii="Times New Roman" w:hAnsi="Times New Roman" w:cs="Times New Roman"/>
          <w:sz w:val="24"/>
          <w:szCs w:val="24"/>
          <w:lang w:val="lt-LT"/>
        </w:rPr>
        <w:t xml:space="preserve"> Prezidiumo narių kolektyviniu dalyvavimu. Tai patvirtina ir Statuto 23 straipsnio 1 dalis, pagal kurią Prezidiumo nutarimai priimami tik tada, kai posėdyje dalyvauja daugiau nei pusė narių, užtikrinant kolektyvinį sprendimų priėmimą</w:t>
      </w:r>
      <w:r w:rsidR="00D01316" w:rsidRPr="00121AC3">
        <w:rPr>
          <w:rFonts w:ascii="Times New Roman" w:hAnsi="Times New Roman" w:cs="Times New Roman"/>
          <w:sz w:val="24"/>
          <w:szCs w:val="24"/>
          <w:lang w:val="lt-LT"/>
        </w:rPr>
        <w:t xml:space="preserve">. </w:t>
      </w:r>
      <w:r w:rsidR="004065EB" w:rsidRPr="004065EB">
        <w:rPr>
          <w:rFonts w:ascii="Times New Roman" w:hAnsi="Times New Roman" w:cs="Times New Roman"/>
          <w:sz w:val="24"/>
          <w:szCs w:val="24"/>
          <w:lang w:val="lt-LT"/>
        </w:rPr>
        <w:t xml:space="preserve">Prezidiumo narių skyrimo tvarka, nustatyta Statuto 19 straipsnyje, taip pat </w:t>
      </w:r>
      <w:r w:rsidR="00531B1E">
        <w:rPr>
          <w:rFonts w:ascii="Times New Roman" w:hAnsi="Times New Roman" w:cs="Times New Roman"/>
          <w:sz w:val="24"/>
          <w:szCs w:val="24"/>
          <w:lang w:val="lt-LT"/>
        </w:rPr>
        <w:t>suponuoja</w:t>
      </w:r>
      <w:r w:rsidR="00A56A06">
        <w:rPr>
          <w:rFonts w:ascii="Times New Roman" w:hAnsi="Times New Roman" w:cs="Times New Roman"/>
          <w:sz w:val="24"/>
          <w:szCs w:val="24"/>
          <w:lang w:val="lt-LT"/>
        </w:rPr>
        <w:t xml:space="preserve"> vertinimą</w:t>
      </w:r>
      <w:r w:rsidR="004065EB" w:rsidRPr="004065EB">
        <w:rPr>
          <w:rFonts w:ascii="Times New Roman" w:hAnsi="Times New Roman" w:cs="Times New Roman"/>
          <w:sz w:val="24"/>
          <w:szCs w:val="24"/>
          <w:lang w:val="lt-LT"/>
        </w:rPr>
        <w:t xml:space="preserve">, kad Prezidiumas veikia </w:t>
      </w:r>
      <w:r w:rsidR="00A56A06">
        <w:rPr>
          <w:rFonts w:ascii="Times New Roman" w:hAnsi="Times New Roman" w:cs="Times New Roman"/>
          <w:sz w:val="24"/>
          <w:szCs w:val="24"/>
          <w:lang w:val="lt-LT"/>
        </w:rPr>
        <w:t xml:space="preserve">visų </w:t>
      </w:r>
      <w:r w:rsidR="004065EB" w:rsidRPr="004065EB">
        <w:rPr>
          <w:rFonts w:ascii="Times New Roman" w:hAnsi="Times New Roman" w:cs="Times New Roman"/>
          <w:sz w:val="24"/>
          <w:szCs w:val="24"/>
          <w:lang w:val="lt-LT"/>
        </w:rPr>
        <w:t>Notarų rūmų</w:t>
      </w:r>
      <w:r w:rsidR="004B07B8">
        <w:rPr>
          <w:rFonts w:ascii="Times New Roman" w:hAnsi="Times New Roman" w:cs="Times New Roman"/>
          <w:sz w:val="24"/>
          <w:szCs w:val="24"/>
          <w:lang w:val="lt-LT"/>
        </w:rPr>
        <w:t xml:space="preserve"> kaip</w:t>
      </w:r>
      <w:r w:rsidR="00C94D41">
        <w:rPr>
          <w:rFonts w:ascii="Times New Roman" w:hAnsi="Times New Roman" w:cs="Times New Roman"/>
          <w:sz w:val="24"/>
          <w:szCs w:val="24"/>
          <w:lang w:val="lt-LT"/>
        </w:rPr>
        <w:t xml:space="preserve"> institucijos</w:t>
      </w:r>
      <w:r w:rsidR="004065EB" w:rsidRPr="004065EB">
        <w:rPr>
          <w:rFonts w:ascii="Times New Roman" w:hAnsi="Times New Roman" w:cs="Times New Roman"/>
          <w:sz w:val="24"/>
          <w:szCs w:val="24"/>
          <w:lang w:val="lt-LT"/>
        </w:rPr>
        <w:t xml:space="preserve"> vardu. </w:t>
      </w:r>
      <w:r w:rsidR="00EE7901">
        <w:rPr>
          <w:rFonts w:ascii="Times New Roman" w:hAnsi="Times New Roman" w:cs="Times New Roman"/>
          <w:sz w:val="24"/>
          <w:szCs w:val="24"/>
          <w:lang w:val="lt-LT"/>
        </w:rPr>
        <w:t xml:space="preserve">Svarbu pabrėžti ir tai, kad </w:t>
      </w:r>
      <w:r w:rsidR="004065EB" w:rsidRPr="004065EB">
        <w:rPr>
          <w:rFonts w:ascii="Times New Roman" w:hAnsi="Times New Roman" w:cs="Times New Roman"/>
          <w:sz w:val="24"/>
          <w:szCs w:val="24"/>
          <w:lang w:val="lt-LT"/>
        </w:rPr>
        <w:t>Statuto 23 straipsnio 2 dal</w:t>
      </w:r>
      <w:r w:rsidR="009B10C2">
        <w:rPr>
          <w:rFonts w:ascii="Times New Roman" w:hAnsi="Times New Roman" w:cs="Times New Roman"/>
          <w:sz w:val="24"/>
          <w:szCs w:val="24"/>
          <w:lang w:val="lt-LT"/>
        </w:rPr>
        <w:t>is, pagal kurią</w:t>
      </w:r>
      <w:r w:rsidR="004065EB" w:rsidRPr="004065EB">
        <w:rPr>
          <w:rFonts w:ascii="Times New Roman" w:hAnsi="Times New Roman" w:cs="Times New Roman"/>
          <w:sz w:val="24"/>
          <w:szCs w:val="24"/>
          <w:lang w:val="lt-LT"/>
        </w:rPr>
        <w:t xml:space="preserve"> Prezidiumo nutarimus</w:t>
      </w:r>
      <w:r w:rsidR="002531E6">
        <w:rPr>
          <w:rFonts w:ascii="Times New Roman" w:hAnsi="Times New Roman" w:cs="Times New Roman"/>
          <w:sz w:val="24"/>
          <w:szCs w:val="24"/>
          <w:lang w:val="lt-LT"/>
        </w:rPr>
        <w:t>, esant tam tikroms sąlygoms,</w:t>
      </w:r>
      <w:r w:rsidR="004065EB" w:rsidRPr="004065EB">
        <w:rPr>
          <w:rFonts w:ascii="Times New Roman" w:hAnsi="Times New Roman" w:cs="Times New Roman"/>
          <w:sz w:val="24"/>
          <w:szCs w:val="24"/>
          <w:lang w:val="lt-LT"/>
        </w:rPr>
        <w:t xml:space="preserve"> gali panaikinti tiek Notarų rūmų susirinkimas, tiek pats Prezidiumas</w:t>
      </w:r>
      <w:r w:rsidR="009B10C2">
        <w:rPr>
          <w:rFonts w:ascii="Times New Roman" w:hAnsi="Times New Roman" w:cs="Times New Roman"/>
          <w:sz w:val="24"/>
          <w:szCs w:val="24"/>
          <w:lang w:val="lt-LT"/>
        </w:rPr>
        <w:t xml:space="preserve">, </w:t>
      </w:r>
      <w:r w:rsidR="000E6B11">
        <w:rPr>
          <w:rFonts w:ascii="Times New Roman" w:hAnsi="Times New Roman" w:cs="Times New Roman"/>
          <w:sz w:val="24"/>
          <w:szCs w:val="24"/>
          <w:lang w:val="lt-LT"/>
        </w:rPr>
        <w:t>įtvirtina</w:t>
      </w:r>
      <w:r w:rsidR="004065EB" w:rsidRPr="004065EB">
        <w:rPr>
          <w:rFonts w:ascii="Times New Roman" w:hAnsi="Times New Roman" w:cs="Times New Roman"/>
          <w:sz w:val="24"/>
          <w:szCs w:val="24"/>
          <w:lang w:val="lt-LT"/>
        </w:rPr>
        <w:t xml:space="preserve"> </w:t>
      </w:r>
      <w:r w:rsidR="00401CC0">
        <w:rPr>
          <w:rFonts w:ascii="Times New Roman" w:hAnsi="Times New Roman" w:cs="Times New Roman"/>
          <w:sz w:val="24"/>
          <w:szCs w:val="24"/>
          <w:lang w:val="lt-LT"/>
        </w:rPr>
        <w:t xml:space="preserve">atitinkamą Prezidiumo veiklos </w:t>
      </w:r>
      <w:r w:rsidR="004065EB" w:rsidRPr="004065EB">
        <w:rPr>
          <w:rFonts w:ascii="Times New Roman" w:hAnsi="Times New Roman" w:cs="Times New Roman"/>
          <w:sz w:val="24"/>
          <w:szCs w:val="24"/>
          <w:lang w:val="lt-LT"/>
        </w:rPr>
        <w:t>kontrolės mechanizmą</w:t>
      </w:r>
      <w:r w:rsidR="00FE016B">
        <w:rPr>
          <w:rFonts w:ascii="Times New Roman" w:hAnsi="Times New Roman" w:cs="Times New Roman"/>
          <w:sz w:val="24"/>
          <w:szCs w:val="24"/>
          <w:lang w:val="lt-LT"/>
        </w:rPr>
        <w:t>, kuris</w:t>
      </w:r>
      <w:r w:rsidR="003D7A51">
        <w:rPr>
          <w:rFonts w:ascii="Times New Roman" w:hAnsi="Times New Roman" w:cs="Times New Roman"/>
          <w:sz w:val="24"/>
          <w:szCs w:val="24"/>
          <w:lang w:val="lt-LT"/>
        </w:rPr>
        <w:t xml:space="preserve"> </w:t>
      </w:r>
      <w:r w:rsidR="00E17BC8">
        <w:rPr>
          <w:rFonts w:ascii="Times New Roman" w:hAnsi="Times New Roman" w:cs="Times New Roman"/>
          <w:sz w:val="24"/>
          <w:szCs w:val="24"/>
          <w:lang w:val="lt-LT"/>
        </w:rPr>
        <w:t xml:space="preserve">leidžia daryti išvadą, jog </w:t>
      </w:r>
      <w:r w:rsidR="007B2734">
        <w:rPr>
          <w:rFonts w:ascii="Times New Roman" w:hAnsi="Times New Roman" w:cs="Times New Roman"/>
          <w:sz w:val="24"/>
          <w:szCs w:val="24"/>
          <w:lang w:val="lt-LT"/>
        </w:rPr>
        <w:t>Prezidium</w:t>
      </w:r>
      <w:r w:rsidR="00A96ACF">
        <w:rPr>
          <w:rFonts w:ascii="Times New Roman" w:hAnsi="Times New Roman" w:cs="Times New Roman"/>
          <w:sz w:val="24"/>
          <w:szCs w:val="24"/>
          <w:lang w:val="lt-LT"/>
        </w:rPr>
        <w:t>o</w:t>
      </w:r>
      <w:r w:rsidR="007B2734">
        <w:rPr>
          <w:rFonts w:ascii="Times New Roman" w:hAnsi="Times New Roman" w:cs="Times New Roman"/>
          <w:sz w:val="24"/>
          <w:szCs w:val="24"/>
          <w:lang w:val="lt-LT"/>
        </w:rPr>
        <w:t xml:space="preserve"> </w:t>
      </w:r>
      <w:r w:rsidR="00282B04">
        <w:rPr>
          <w:rFonts w:ascii="Times New Roman" w:hAnsi="Times New Roman" w:cs="Times New Roman"/>
          <w:sz w:val="24"/>
          <w:szCs w:val="24"/>
          <w:lang w:val="lt-LT"/>
        </w:rPr>
        <w:t>veik</w:t>
      </w:r>
      <w:r w:rsidR="0063474C">
        <w:rPr>
          <w:rFonts w:ascii="Times New Roman" w:hAnsi="Times New Roman" w:cs="Times New Roman"/>
          <w:sz w:val="24"/>
          <w:szCs w:val="24"/>
          <w:lang w:val="lt-LT"/>
        </w:rPr>
        <w:t>los tikslas orientuotas į visus</w:t>
      </w:r>
      <w:r w:rsidR="007A09C0">
        <w:rPr>
          <w:rFonts w:ascii="Times New Roman" w:hAnsi="Times New Roman" w:cs="Times New Roman"/>
          <w:sz w:val="24"/>
          <w:szCs w:val="24"/>
          <w:lang w:val="lt-LT"/>
        </w:rPr>
        <w:t xml:space="preserve"> Lietuvos</w:t>
      </w:r>
      <w:r w:rsidR="0063474C">
        <w:rPr>
          <w:rFonts w:ascii="Times New Roman" w:hAnsi="Times New Roman" w:cs="Times New Roman"/>
          <w:sz w:val="24"/>
          <w:szCs w:val="24"/>
          <w:lang w:val="lt-LT"/>
        </w:rPr>
        <w:t xml:space="preserve"> notarus </w:t>
      </w:r>
      <w:r w:rsidR="00A96ACF">
        <w:rPr>
          <w:rFonts w:ascii="Times New Roman" w:hAnsi="Times New Roman" w:cs="Times New Roman"/>
          <w:sz w:val="24"/>
          <w:szCs w:val="24"/>
          <w:lang w:val="lt-LT"/>
        </w:rPr>
        <w:t>vienijančios savivaldos institucijos</w:t>
      </w:r>
      <w:r w:rsidR="00161AE6">
        <w:rPr>
          <w:rFonts w:ascii="Times New Roman" w:hAnsi="Times New Roman" w:cs="Times New Roman"/>
          <w:sz w:val="24"/>
          <w:szCs w:val="24"/>
          <w:lang w:val="lt-LT"/>
        </w:rPr>
        <w:t xml:space="preserve"> bendrąjį interes</w:t>
      </w:r>
      <w:r w:rsidR="00582DFF">
        <w:rPr>
          <w:rFonts w:ascii="Times New Roman" w:hAnsi="Times New Roman" w:cs="Times New Roman"/>
          <w:sz w:val="24"/>
          <w:szCs w:val="24"/>
          <w:lang w:val="lt-LT"/>
        </w:rPr>
        <w:t>o užtikrinimą</w:t>
      </w:r>
      <w:r w:rsidR="004065EB" w:rsidRPr="004065EB">
        <w:rPr>
          <w:rFonts w:ascii="Times New Roman" w:hAnsi="Times New Roman" w:cs="Times New Roman"/>
          <w:sz w:val="24"/>
          <w:szCs w:val="24"/>
          <w:lang w:val="lt-LT"/>
        </w:rPr>
        <w:t>.</w:t>
      </w:r>
      <w:r w:rsidR="00D3141C" w:rsidRPr="00D3141C">
        <w:rPr>
          <w:rFonts w:ascii="Times New Roman" w:hAnsi="Times New Roman" w:cs="Times New Roman"/>
          <w:sz w:val="24"/>
          <w:szCs w:val="24"/>
          <w:lang w:val="lt-LT"/>
        </w:rPr>
        <w:t xml:space="preserve"> </w:t>
      </w:r>
      <w:r w:rsidR="00D3141C" w:rsidRPr="004065EB">
        <w:rPr>
          <w:rFonts w:ascii="Times New Roman" w:hAnsi="Times New Roman" w:cs="Times New Roman"/>
          <w:sz w:val="24"/>
          <w:szCs w:val="24"/>
          <w:lang w:val="lt-LT"/>
        </w:rPr>
        <w:t>Tai reiškia, kad Prezidiumo</w:t>
      </w:r>
      <w:r w:rsidR="00D3141C">
        <w:rPr>
          <w:rFonts w:ascii="Times New Roman" w:hAnsi="Times New Roman" w:cs="Times New Roman"/>
          <w:sz w:val="24"/>
          <w:szCs w:val="24"/>
          <w:lang w:val="lt-LT"/>
        </w:rPr>
        <w:t xml:space="preserve"> </w:t>
      </w:r>
      <w:r w:rsidR="00D3141C">
        <w:rPr>
          <w:rFonts w:ascii="Times New Roman" w:hAnsi="Times New Roman" w:cs="Times New Roman"/>
          <w:sz w:val="24"/>
          <w:szCs w:val="24"/>
          <w:lang w:val="lt-LT"/>
        </w:rPr>
        <w:lastRenderedPageBreak/>
        <w:t>priimami nutarimai</w:t>
      </w:r>
      <w:r w:rsidR="00D3141C" w:rsidRPr="004065EB">
        <w:rPr>
          <w:rFonts w:ascii="Times New Roman" w:hAnsi="Times New Roman" w:cs="Times New Roman"/>
          <w:sz w:val="24"/>
          <w:szCs w:val="24"/>
          <w:lang w:val="lt-LT"/>
        </w:rPr>
        <w:t xml:space="preserve"> yra tiesiogiai priskiriami Notarų rūmams kaip institucijai, o ne individualiems Prezidiumo nariams.</w:t>
      </w:r>
    </w:p>
    <w:p w14:paraId="2ECC056F" w14:textId="07DDCD76" w:rsidR="0090405A" w:rsidRDefault="00121AC3" w:rsidP="003C3F7D">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4A767D">
        <w:rPr>
          <w:rFonts w:ascii="Times New Roman" w:hAnsi="Times New Roman" w:cs="Times New Roman"/>
          <w:sz w:val="24"/>
          <w:szCs w:val="24"/>
          <w:lang w:val="lt-LT"/>
        </w:rPr>
        <w:t xml:space="preserve"> Ši</w:t>
      </w:r>
      <w:r w:rsidR="00504D5E" w:rsidRPr="004A767D">
        <w:rPr>
          <w:rFonts w:ascii="Times New Roman" w:hAnsi="Times New Roman" w:cs="Times New Roman"/>
          <w:sz w:val="24"/>
          <w:szCs w:val="24"/>
          <w:lang w:val="lt-LT"/>
        </w:rPr>
        <w:t>omis nuostatomis įtvirtintas teisinis reguliavimas, išplėstinės teisėjų kolegijos</w:t>
      </w:r>
      <w:r w:rsidR="00E0673B" w:rsidRPr="004A767D">
        <w:rPr>
          <w:rFonts w:ascii="Times New Roman" w:hAnsi="Times New Roman" w:cs="Times New Roman"/>
          <w:sz w:val="24"/>
          <w:szCs w:val="24"/>
          <w:lang w:val="lt-LT"/>
        </w:rPr>
        <w:t xml:space="preserve"> nuomone, leidžia pagrįstai vertinti, kad </w:t>
      </w:r>
      <w:r w:rsidRPr="004A767D">
        <w:rPr>
          <w:rFonts w:ascii="Times New Roman" w:hAnsi="Times New Roman" w:cs="Times New Roman"/>
          <w:sz w:val="24"/>
          <w:szCs w:val="24"/>
          <w:lang w:val="lt-LT"/>
        </w:rPr>
        <w:t xml:space="preserve">Prezidiumas, kaip Notarų rūmų valdymo organas, veikia ne atskirų narių, bet visų </w:t>
      </w:r>
      <w:r w:rsidR="00A214BD">
        <w:rPr>
          <w:rFonts w:ascii="Times New Roman" w:hAnsi="Times New Roman" w:cs="Times New Roman"/>
          <w:sz w:val="24"/>
          <w:szCs w:val="24"/>
          <w:lang w:val="lt-LT"/>
        </w:rPr>
        <w:t>Notarų r</w:t>
      </w:r>
      <w:r w:rsidRPr="004A767D">
        <w:rPr>
          <w:rFonts w:ascii="Times New Roman" w:hAnsi="Times New Roman" w:cs="Times New Roman"/>
          <w:sz w:val="24"/>
          <w:szCs w:val="24"/>
          <w:lang w:val="lt-LT"/>
        </w:rPr>
        <w:t xml:space="preserve">ūmų vardu. </w:t>
      </w:r>
      <w:r w:rsidR="00D715EC" w:rsidRPr="004A767D">
        <w:rPr>
          <w:rFonts w:ascii="Times New Roman" w:hAnsi="Times New Roman" w:cs="Times New Roman"/>
          <w:sz w:val="24"/>
          <w:szCs w:val="24"/>
          <w:lang w:val="lt-LT"/>
        </w:rPr>
        <w:t xml:space="preserve">Taigi, </w:t>
      </w:r>
      <w:r w:rsidRPr="004A767D">
        <w:rPr>
          <w:rFonts w:ascii="Times New Roman" w:hAnsi="Times New Roman" w:cs="Times New Roman"/>
          <w:sz w:val="24"/>
          <w:szCs w:val="24"/>
          <w:lang w:val="lt-LT"/>
        </w:rPr>
        <w:t xml:space="preserve">Prezidiumo </w:t>
      </w:r>
      <w:r w:rsidR="00D715EC" w:rsidRPr="004A767D">
        <w:rPr>
          <w:rFonts w:ascii="Times New Roman" w:hAnsi="Times New Roman" w:cs="Times New Roman"/>
          <w:sz w:val="24"/>
          <w:szCs w:val="24"/>
          <w:lang w:val="lt-LT"/>
        </w:rPr>
        <w:t>nutarimai</w:t>
      </w:r>
      <w:r w:rsidR="00C61683" w:rsidRPr="004A767D">
        <w:rPr>
          <w:rFonts w:ascii="Times New Roman" w:hAnsi="Times New Roman" w:cs="Times New Roman"/>
          <w:sz w:val="24"/>
          <w:szCs w:val="24"/>
          <w:lang w:val="lt-LT"/>
        </w:rPr>
        <w:t>, priimami vadovaujantis kolegialumo principu</w:t>
      </w:r>
      <w:r w:rsidRPr="004A767D">
        <w:rPr>
          <w:rFonts w:ascii="Times New Roman" w:hAnsi="Times New Roman" w:cs="Times New Roman"/>
          <w:sz w:val="24"/>
          <w:szCs w:val="24"/>
          <w:lang w:val="lt-LT"/>
        </w:rPr>
        <w:t xml:space="preserve">, ir </w:t>
      </w:r>
      <w:r w:rsidR="0011512E" w:rsidRPr="004A767D">
        <w:rPr>
          <w:rFonts w:ascii="Times New Roman" w:hAnsi="Times New Roman" w:cs="Times New Roman"/>
          <w:sz w:val="24"/>
          <w:szCs w:val="24"/>
          <w:lang w:val="lt-LT"/>
        </w:rPr>
        <w:t xml:space="preserve">kontroliuojami </w:t>
      </w:r>
      <w:r w:rsidR="00612867" w:rsidRPr="004A767D">
        <w:rPr>
          <w:rFonts w:ascii="Times New Roman" w:hAnsi="Times New Roman" w:cs="Times New Roman"/>
          <w:sz w:val="24"/>
          <w:szCs w:val="24"/>
          <w:lang w:val="lt-LT"/>
        </w:rPr>
        <w:t>Notarų rūmų</w:t>
      </w:r>
      <w:r w:rsidRPr="004A767D">
        <w:rPr>
          <w:rFonts w:ascii="Times New Roman" w:hAnsi="Times New Roman" w:cs="Times New Roman"/>
          <w:sz w:val="24"/>
          <w:szCs w:val="24"/>
          <w:lang w:val="lt-LT"/>
        </w:rPr>
        <w:t xml:space="preserve">, laikytini </w:t>
      </w:r>
      <w:r w:rsidR="00612867" w:rsidRPr="004A767D">
        <w:rPr>
          <w:rFonts w:ascii="Times New Roman" w:hAnsi="Times New Roman" w:cs="Times New Roman"/>
          <w:sz w:val="24"/>
          <w:szCs w:val="24"/>
          <w:lang w:val="lt-LT"/>
        </w:rPr>
        <w:t xml:space="preserve">pačių </w:t>
      </w:r>
      <w:r w:rsidRPr="004A767D">
        <w:rPr>
          <w:rFonts w:ascii="Times New Roman" w:hAnsi="Times New Roman" w:cs="Times New Roman"/>
          <w:sz w:val="24"/>
          <w:szCs w:val="24"/>
          <w:lang w:val="lt-LT"/>
        </w:rPr>
        <w:t xml:space="preserve">Notarų rūmų </w:t>
      </w:r>
      <w:r w:rsidR="004430DE" w:rsidRPr="004A767D">
        <w:rPr>
          <w:rFonts w:ascii="Times New Roman" w:hAnsi="Times New Roman" w:cs="Times New Roman"/>
          <w:sz w:val="24"/>
          <w:szCs w:val="24"/>
          <w:lang w:val="lt-LT"/>
        </w:rPr>
        <w:t>nutarimais</w:t>
      </w:r>
      <w:r w:rsidRPr="004A767D">
        <w:rPr>
          <w:rFonts w:ascii="Times New Roman" w:hAnsi="Times New Roman" w:cs="Times New Roman"/>
          <w:sz w:val="24"/>
          <w:szCs w:val="24"/>
          <w:lang w:val="lt-LT"/>
        </w:rPr>
        <w:t>, o ne individualių Prezidiumo narių pozicijomis.</w:t>
      </w:r>
      <w:r w:rsidR="00D507C2" w:rsidRPr="004A767D">
        <w:rPr>
          <w:rFonts w:ascii="Times New Roman" w:hAnsi="Times New Roman" w:cs="Times New Roman"/>
          <w:sz w:val="24"/>
          <w:szCs w:val="24"/>
          <w:lang w:val="lt-LT"/>
        </w:rPr>
        <w:t xml:space="preserve"> </w:t>
      </w:r>
      <w:r w:rsidR="00A93120" w:rsidRPr="004A767D">
        <w:rPr>
          <w:rFonts w:ascii="Times New Roman" w:hAnsi="Times New Roman" w:cs="Times New Roman"/>
          <w:sz w:val="24"/>
          <w:szCs w:val="24"/>
          <w:lang w:val="lt-LT"/>
        </w:rPr>
        <w:t xml:space="preserve">Kitaip tariant, </w:t>
      </w:r>
      <w:r w:rsidR="007249F9" w:rsidRPr="004A767D">
        <w:rPr>
          <w:rFonts w:ascii="Times New Roman" w:hAnsi="Times New Roman" w:cs="Times New Roman"/>
          <w:sz w:val="24"/>
          <w:szCs w:val="24"/>
          <w:lang w:val="lt-LT"/>
        </w:rPr>
        <w:t xml:space="preserve">išdėstytos aplinkybės leidžia pagrįstai </w:t>
      </w:r>
      <w:r w:rsidR="009E055D">
        <w:rPr>
          <w:rFonts w:ascii="Times New Roman" w:hAnsi="Times New Roman" w:cs="Times New Roman"/>
          <w:sz w:val="24"/>
          <w:szCs w:val="24"/>
          <w:lang w:val="lt-LT"/>
        </w:rPr>
        <w:t>spręsti,</w:t>
      </w:r>
      <w:r w:rsidR="005278BF" w:rsidRPr="004A767D">
        <w:rPr>
          <w:rFonts w:ascii="Times New Roman" w:hAnsi="Times New Roman" w:cs="Times New Roman"/>
          <w:sz w:val="24"/>
          <w:szCs w:val="24"/>
          <w:lang w:val="lt-LT"/>
        </w:rPr>
        <w:t xml:space="preserve"> kad Prezidiumo nutarimai</w:t>
      </w:r>
      <w:r w:rsidR="007249F9" w:rsidRPr="004A767D">
        <w:rPr>
          <w:rFonts w:ascii="Times New Roman" w:hAnsi="Times New Roman" w:cs="Times New Roman"/>
          <w:sz w:val="24"/>
          <w:szCs w:val="24"/>
          <w:lang w:val="lt-LT"/>
        </w:rPr>
        <w:t>s priimti</w:t>
      </w:r>
      <w:r w:rsidR="005278BF" w:rsidRPr="004A767D">
        <w:rPr>
          <w:rFonts w:ascii="Times New Roman" w:hAnsi="Times New Roman" w:cs="Times New Roman"/>
          <w:sz w:val="24"/>
          <w:szCs w:val="24"/>
          <w:lang w:val="lt-LT"/>
        </w:rPr>
        <w:t xml:space="preserve"> Išaiškinim</w:t>
      </w:r>
      <w:r w:rsidR="007249F9" w:rsidRPr="004A767D">
        <w:rPr>
          <w:rFonts w:ascii="Times New Roman" w:hAnsi="Times New Roman" w:cs="Times New Roman"/>
          <w:sz w:val="24"/>
          <w:szCs w:val="24"/>
          <w:lang w:val="lt-LT"/>
        </w:rPr>
        <w:t>ai</w:t>
      </w:r>
      <w:r w:rsidR="005278BF" w:rsidRPr="004A767D">
        <w:rPr>
          <w:rFonts w:ascii="Times New Roman" w:hAnsi="Times New Roman" w:cs="Times New Roman"/>
          <w:sz w:val="24"/>
          <w:szCs w:val="24"/>
          <w:lang w:val="lt-LT"/>
        </w:rPr>
        <w:t xml:space="preserve"> yra laikytini pačių Notarų rūmų </w:t>
      </w:r>
      <w:r w:rsidR="005010BF" w:rsidRPr="004A767D">
        <w:rPr>
          <w:rFonts w:ascii="Times New Roman" w:hAnsi="Times New Roman" w:cs="Times New Roman"/>
          <w:sz w:val="24"/>
          <w:szCs w:val="24"/>
          <w:lang w:val="lt-LT"/>
        </w:rPr>
        <w:t>nutarimais</w:t>
      </w:r>
      <w:r w:rsidR="000837E7">
        <w:rPr>
          <w:rFonts w:ascii="Times New Roman" w:hAnsi="Times New Roman" w:cs="Times New Roman"/>
          <w:sz w:val="24"/>
          <w:szCs w:val="24"/>
          <w:lang w:val="lt-LT"/>
        </w:rPr>
        <w:t xml:space="preserve">, už kuriuos atsakomybė SESV 101 straipsnio 1 dalies ir Konkurencijos įstatymo 5 straipsnio </w:t>
      </w:r>
      <w:r w:rsidR="00C45173">
        <w:rPr>
          <w:rFonts w:ascii="Times New Roman" w:hAnsi="Times New Roman" w:cs="Times New Roman"/>
          <w:sz w:val="24"/>
          <w:szCs w:val="24"/>
          <w:lang w:val="lt-LT"/>
        </w:rPr>
        <w:t>prasme tenka būtent šiai notarų savivaldos institucijai</w:t>
      </w:r>
      <w:r w:rsidR="003C3F7D">
        <w:rPr>
          <w:rFonts w:ascii="Times New Roman" w:hAnsi="Times New Roman" w:cs="Times New Roman"/>
          <w:sz w:val="24"/>
          <w:szCs w:val="24"/>
          <w:lang w:val="lt-LT"/>
        </w:rPr>
        <w:t>.</w:t>
      </w:r>
      <w:r w:rsidR="005010BF" w:rsidRPr="004A767D">
        <w:rPr>
          <w:rFonts w:ascii="Times New Roman" w:hAnsi="Times New Roman" w:cs="Times New Roman"/>
          <w:sz w:val="24"/>
          <w:szCs w:val="24"/>
          <w:lang w:val="lt-LT"/>
        </w:rPr>
        <w:t xml:space="preserve"> </w:t>
      </w:r>
      <w:r w:rsidR="0011512E">
        <w:rPr>
          <w:rFonts w:ascii="Times New Roman" w:hAnsi="Times New Roman" w:cs="Times New Roman"/>
          <w:sz w:val="24"/>
          <w:szCs w:val="24"/>
          <w:lang w:val="lt-LT"/>
        </w:rPr>
        <w:t xml:space="preserve"> </w:t>
      </w:r>
    </w:p>
    <w:p w14:paraId="58C3D8DE" w14:textId="40B433A5" w:rsidR="00137BD1" w:rsidRPr="009C64EB" w:rsidRDefault="00335B98" w:rsidP="00137BD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06CB">
        <w:rPr>
          <w:rFonts w:ascii="Times New Roman" w:hAnsi="Times New Roman" w:cs="Times New Roman"/>
          <w:sz w:val="24"/>
          <w:szCs w:val="24"/>
          <w:lang w:val="lt-LT"/>
        </w:rPr>
        <w:t xml:space="preserve">Dėl </w:t>
      </w:r>
      <w:r w:rsidR="0031337C" w:rsidRPr="0031337C">
        <w:rPr>
          <w:rFonts w:ascii="Times New Roman" w:hAnsi="Times New Roman" w:cs="Times New Roman"/>
          <w:sz w:val="24"/>
          <w:szCs w:val="24"/>
          <w:lang w:val="lt-LT"/>
        </w:rPr>
        <w:t>Notarų rūmų prezidiumą sudaran</w:t>
      </w:r>
      <w:r w:rsidR="00C5703C">
        <w:rPr>
          <w:rFonts w:ascii="Times New Roman" w:hAnsi="Times New Roman" w:cs="Times New Roman"/>
          <w:sz w:val="24"/>
          <w:szCs w:val="24"/>
          <w:lang w:val="lt-LT"/>
        </w:rPr>
        <w:t xml:space="preserve">tiems </w:t>
      </w:r>
      <w:r w:rsidR="0031337C" w:rsidRPr="0031337C">
        <w:rPr>
          <w:rFonts w:ascii="Times New Roman" w:hAnsi="Times New Roman" w:cs="Times New Roman"/>
          <w:sz w:val="24"/>
          <w:szCs w:val="24"/>
          <w:lang w:val="lt-LT"/>
        </w:rPr>
        <w:t>notar</w:t>
      </w:r>
      <w:r w:rsidR="00C5703C">
        <w:rPr>
          <w:rFonts w:ascii="Times New Roman" w:hAnsi="Times New Roman" w:cs="Times New Roman"/>
          <w:sz w:val="24"/>
          <w:szCs w:val="24"/>
          <w:lang w:val="lt-LT"/>
        </w:rPr>
        <w:t>ams</w:t>
      </w:r>
      <w:r w:rsidR="00856A5C">
        <w:rPr>
          <w:rFonts w:ascii="Times New Roman" w:hAnsi="Times New Roman" w:cs="Times New Roman"/>
          <w:sz w:val="24"/>
          <w:szCs w:val="24"/>
          <w:lang w:val="lt-LT"/>
        </w:rPr>
        <w:t xml:space="preserve"> Nutarimu skirtų baudų teisėtumo ir pagrįstumo išplėstinė teisėjų kolegija </w:t>
      </w:r>
      <w:r w:rsidR="00C5703C">
        <w:rPr>
          <w:rFonts w:ascii="Times New Roman" w:hAnsi="Times New Roman" w:cs="Times New Roman"/>
          <w:sz w:val="24"/>
          <w:szCs w:val="24"/>
          <w:lang w:val="lt-LT"/>
        </w:rPr>
        <w:t xml:space="preserve">atkreipia dėmesį, kad </w:t>
      </w:r>
      <w:r w:rsidR="00137BD1" w:rsidRPr="00A24298">
        <w:rPr>
          <w:rFonts w:ascii="Times New Roman" w:hAnsi="Times New Roman" w:cs="Times New Roman"/>
          <w:sz w:val="24"/>
          <w:szCs w:val="24"/>
          <w:lang w:val="lt-LT"/>
        </w:rPr>
        <w:t xml:space="preserve">Teisingumo Teismas </w:t>
      </w:r>
      <w:r w:rsidR="008308DE">
        <w:rPr>
          <w:rFonts w:ascii="Times New Roman" w:hAnsi="Times New Roman" w:cs="Times New Roman"/>
          <w:sz w:val="24"/>
          <w:szCs w:val="24"/>
          <w:lang w:val="lt-LT"/>
        </w:rPr>
        <w:t xml:space="preserve">atsižvelgė į aplinkybę, jog </w:t>
      </w:r>
      <w:r w:rsidR="00137BD1" w:rsidRPr="00A24298">
        <w:rPr>
          <w:rFonts w:ascii="Times New Roman" w:hAnsi="Times New Roman" w:cs="Times New Roman"/>
          <w:sz w:val="24"/>
          <w:szCs w:val="24"/>
          <w:lang w:val="lt-LT"/>
        </w:rPr>
        <w:t xml:space="preserve">per teismo posėdį Teisingumo Teisme </w:t>
      </w:r>
      <w:r w:rsidR="008308DE">
        <w:rPr>
          <w:rFonts w:ascii="Times New Roman" w:hAnsi="Times New Roman" w:cs="Times New Roman"/>
          <w:sz w:val="24"/>
          <w:szCs w:val="24"/>
          <w:lang w:val="lt-LT"/>
        </w:rPr>
        <w:t>T</w:t>
      </w:r>
      <w:r w:rsidR="00137BD1" w:rsidRPr="00A24298">
        <w:rPr>
          <w:rFonts w:ascii="Times New Roman" w:hAnsi="Times New Roman" w:cs="Times New Roman"/>
          <w:sz w:val="24"/>
          <w:szCs w:val="24"/>
          <w:lang w:val="lt-LT"/>
        </w:rPr>
        <w:t xml:space="preserve">aryba iš esmės paaiškino, kad </w:t>
      </w:r>
      <w:bookmarkStart w:id="129" w:name="_Hlk170812507"/>
      <w:r w:rsidR="00137BD1" w:rsidRPr="00A24298">
        <w:rPr>
          <w:rFonts w:ascii="Times New Roman" w:hAnsi="Times New Roman" w:cs="Times New Roman"/>
          <w:sz w:val="24"/>
          <w:szCs w:val="24"/>
          <w:lang w:val="lt-LT"/>
        </w:rPr>
        <w:t>individualias baudas notarams</w:t>
      </w:r>
      <w:r w:rsidR="00137BD1" w:rsidRPr="009C64EB">
        <w:rPr>
          <w:rFonts w:ascii="Times New Roman" w:hAnsi="Times New Roman" w:cs="Times New Roman"/>
          <w:sz w:val="24"/>
          <w:szCs w:val="24"/>
          <w:lang w:val="lt-LT"/>
        </w:rPr>
        <w:t xml:space="preserve">, Notarų rūmų prezidiumo nariams, skyrė ne </w:t>
      </w:r>
      <w:r w:rsidR="008C456E">
        <w:rPr>
          <w:rFonts w:ascii="Times New Roman" w:hAnsi="Times New Roman" w:cs="Times New Roman"/>
          <w:sz w:val="24"/>
          <w:szCs w:val="24"/>
          <w:lang w:val="lt-LT"/>
        </w:rPr>
        <w:t>todėl</w:t>
      </w:r>
      <w:r w:rsidR="00137BD1" w:rsidRPr="009C64EB">
        <w:rPr>
          <w:rFonts w:ascii="Times New Roman" w:hAnsi="Times New Roman" w:cs="Times New Roman"/>
          <w:sz w:val="24"/>
          <w:szCs w:val="24"/>
          <w:lang w:val="lt-LT"/>
        </w:rPr>
        <w:t xml:space="preserve">, kad jie buvo įmonės, pažeidimo </w:t>
      </w:r>
      <w:proofErr w:type="spellStart"/>
      <w:r w:rsidR="00137BD1" w:rsidRPr="009C64EB">
        <w:rPr>
          <w:rFonts w:ascii="Times New Roman" w:hAnsi="Times New Roman" w:cs="Times New Roman"/>
          <w:sz w:val="24"/>
          <w:szCs w:val="24"/>
          <w:lang w:val="lt-LT"/>
        </w:rPr>
        <w:t>bendravykdės</w:t>
      </w:r>
      <w:bookmarkEnd w:id="129"/>
      <w:proofErr w:type="spellEnd"/>
      <w:r w:rsidR="00137BD1" w:rsidRPr="009C64EB">
        <w:rPr>
          <w:rFonts w:ascii="Times New Roman" w:hAnsi="Times New Roman" w:cs="Times New Roman"/>
          <w:sz w:val="24"/>
          <w:szCs w:val="24"/>
          <w:lang w:val="lt-LT"/>
        </w:rPr>
        <w:t xml:space="preserve">, bet būtent </w:t>
      </w:r>
      <w:r w:rsidR="000015E1">
        <w:rPr>
          <w:rFonts w:ascii="Times New Roman" w:hAnsi="Times New Roman" w:cs="Times New Roman"/>
          <w:sz w:val="24"/>
          <w:szCs w:val="24"/>
          <w:lang w:val="lt-LT"/>
        </w:rPr>
        <w:t>todėl</w:t>
      </w:r>
      <w:r w:rsidR="00137BD1" w:rsidRPr="009C64EB">
        <w:rPr>
          <w:rFonts w:ascii="Times New Roman" w:hAnsi="Times New Roman" w:cs="Times New Roman"/>
          <w:sz w:val="24"/>
          <w:szCs w:val="24"/>
          <w:lang w:val="lt-LT"/>
        </w:rPr>
        <w:t xml:space="preserve">, kad Išaiškinimų priėmimo dieną jie buvo </w:t>
      </w:r>
      <w:r w:rsidR="005E37EC">
        <w:rPr>
          <w:rFonts w:ascii="Times New Roman" w:hAnsi="Times New Roman" w:cs="Times New Roman"/>
          <w:sz w:val="24"/>
          <w:szCs w:val="24"/>
          <w:lang w:val="lt-LT"/>
        </w:rPr>
        <w:t xml:space="preserve">tuos Išaiškinimus priėmusio </w:t>
      </w:r>
      <w:r w:rsidR="00137BD1" w:rsidRPr="009C64EB">
        <w:rPr>
          <w:rFonts w:ascii="Times New Roman" w:hAnsi="Times New Roman" w:cs="Times New Roman"/>
          <w:sz w:val="24"/>
          <w:szCs w:val="24"/>
          <w:lang w:val="lt-LT"/>
        </w:rPr>
        <w:t>Prezidiumo nariai. Konkurencijos taryba šiuo klausimu nurodė, kad šios baudos buvo skirtos siekiant užtikrinti už šį pažeidimą skirtų sankcijų atgrasomąjį poveikį, nes pagal klostantis faktinėms aplinkybėms galiojusią Lietuvos teisę tam, kad tas poveikis būtų užtikrintas, nebuvo galima tik Notarų rūmams skirti pakankamai didelės baudos, nes joje nebuvo numatyta galimybė apskaičiuojant baudą atsižvelgti į šių rūmų narių apyvartą</w:t>
      </w:r>
      <w:r w:rsidR="008308DE">
        <w:rPr>
          <w:rFonts w:ascii="Times New Roman" w:hAnsi="Times New Roman" w:cs="Times New Roman"/>
          <w:sz w:val="24"/>
          <w:szCs w:val="24"/>
          <w:lang w:val="lt-LT"/>
        </w:rPr>
        <w:t xml:space="preserve"> (</w:t>
      </w:r>
      <w:r w:rsidR="008308DE" w:rsidRPr="00A24298">
        <w:rPr>
          <w:rFonts w:ascii="Times New Roman" w:hAnsi="Times New Roman" w:cs="Times New Roman"/>
          <w:sz w:val="24"/>
          <w:szCs w:val="24"/>
          <w:lang w:val="lt-LT"/>
        </w:rPr>
        <w:t>Sprendim</w:t>
      </w:r>
      <w:r w:rsidR="008308DE">
        <w:rPr>
          <w:rFonts w:ascii="Times New Roman" w:hAnsi="Times New Roman" w:cs="Times New Roman"/>
          <w:sz w:val="24"/>
          <w:szCs w:val="24"/>
          <w:lang w:val="lt-LT"/>
        </w:rPr>
        <w:t>o</w:t>
      </w:r>
      <w:r w:rsidR="008308DE" w:rsidRPr="00A24298">
        <w:rPr>
          <w:rFonts w:ascii="Times New Roman" w:hAnsi="Times New Roman" w:cs="Times New Roman"/>
          <w:sz w:val="24"/>
          <w:szCs w:val="24"/>
          <w:lang w:val="lt-LT"/>
        </w:rPr>
        <w:t xml:space="preserve"> </w:t>
      </w:r>
      <w:r w:rsidR="008308DE" w:rsidRPr="00A24298">
        <w:rPr>
          <w:rFonts w:ascii="Times New Roman" w:hAnsi="Times New Roman" w:cs="Times New Roman"/>
          <w:i/>
          <w:iCs/>
          <w:sz w:val="24"/>
          <w:szCs w:val="24"/>
          <w:lang w:val="lt-LT"/>
        </w:rPr>
        <w:t xml:space="preserve">Notarų rūmai </w:t>
      </w:r>
      <w:r w:rsidR="008308DE" w:rsidRPr="00A24298">
        <w:rPr>
          <w:rFonts w:ascii="Times New Roman" w:hAnsi="Times New Roman" w:cs="Times New Roman"/>
          <w:sz w:val="24"/>
          <w:szCs w:val="24"/>
          <w:lang w:val="lt-LT"/>
        </w:rPr>
        <w:t>120 p</w:t>
      </w:r>
      <w:r w:rsidR="008308DE">
        <w:rPr>
          <w:rFonts w:ascii="Times New Roman" w:hAnsi="Times New Roman" w:cs="Times New Roman"/>
          <w:sz w:val="24"/>
          <w:szCs w:val="24"/>
          <w:lang w:val="lt-LT"/>
        </w:rPr>
        <w:t>.).</w:t>
      </w:r>
    </w:p>
    <w:p w14:paraId="42D9135C" w14:textId="63FB79D8" w:rsidR="00137BD1" w:rsidRPr="00AE467F" w:rsidRDefault="00137BD1" w:rsidP="00AE467F">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9C64EB">
        <w:rPr>
          <w:rFonts w:ascii="Times New Roman" w:hAnsi="Times New Roman" w:cs="Times New Roman"/>
          <w:sz w:val="24"/>
          <w:szCs w:val="24"/>
          <w:lang w:val="lt-LT"/>
        </w:rPr>
        <w:t xml:space="preserve"> Vis dėlto Teisingumo Teismas nurodė, kad asmeninės atsakomybės principas, pagal kurį reikalaujama, kad </w:t>
      </w:r>
      <w:bookmarkStart w:id="130" w:name="_Hlk170825351"/>
      <w:r w:rsidRPr="009C64EB">
        <w:rPr>
          <w:rFonts w:ascii="Times New Roman" w:hAnsi="Times New Roman" w:cs="Times New Roman"/>
          <w:sz w:val="24"/>
          <w:szCs w:val="24"/>
          <w:lang w:val="lt-LT"/>
        </w:rPr>
        <w:t xml:space="preserve">už konkurencijos taisyklių pažeidimą būtų baudžiamas tik jį padaręs subjektas, </w:t>
      </w:r>
      <w:bookmarkEnd w:id="130"/>
      <w:r w:rsidRPr="009C64EB">
        <w:rPr>
          <w:rFonts w:ascii="Times New Roman" w:hAnsi="Times New Roman" w:cs="Times New Roman"/>
          <w:sz w:val="24"/>
          <w:szCs w:val="24"/>
          <w:lang w:val="lt-LT"/>
        </w:rPr>
        <w:t xml:space="preserve">prieštarauja tokiam požiūriui, nes notarai, kurie priimant Išaiškinimus buvo </w:t>
      </w:r>
      <w:r>
        <w:rPr>
          <w:rFonts w:ascii="Times New Roman" w:hAnsi="Times New Roman" w:cs="Times New Roman"/>
          <w:sz w:val="24"/>
          <w:szCs w:val="24"/>
          <w:lang w:val="lt-LT"/>
        </w:rPr>
        <w:t>P</w:t>
      </w:r>
      <w:r w:rsidRPr="009C64EB">
        <w:rPr>
          <w:rFonts w:ascii="Times New Roman" w:hAnsi="Times New Roman" w:cs="Times New Roman"/>
          <w:sz w:val="24"/>
          <w:szCs w:val="24"/>
          <w:lang w:val="lt-LT"/>
        </w:rPr>
        <w:t xml:space="preserve">rezidiumo nariai, negali būti laikomi Konkurencijos tarybos pagrindinėje byloje konstatuoto pažeidimo </w:t>
      </w:r>
      <w:proofErr w:type="spellStart"/>
      <w:r w:rsidRPr="009C64EB">
        <w:rPr>
          <w:rFonts w:ascii="Times New Roman" w:hAnsi="Times New Roman" w:cs="Times New Roman"/>
          <w:sz w:val="24"/>
          <w:szCs w:val="24"/>
          <w:lang w:val="lt-LT"/>
        </w:rPr>
        <w:t>bendravykdžiais</w:t>
      </w:r>
      <w:proofErr w:type="spellEnd"/>
      <w:r w:rsidRPr="009C64EB">
        <w:rPr>
          <w:rFonts w:ascii="Times New Roman" w:hAnsi="Times New Roman" w:cs="Times New Roman"/>
          <w:sz w:val="24"/>
          <w:szCs w:val="24"/>
          <w:lang w:val="lt-LT"/>
        </w:rPr>
        <w:t xml:space="preserve"> (</w:t>
      </w:r>
      <w:bookmarkStart w:id="131" w:name="_Hlk170812348"/>
      <w:r w:rsidRPr="009C64EB">
        <w:rPr>
          <w:rFonts w:ascii="Times New Roman" w:hAnsi="Times New Roman" w:cs="Times New Roman"/>
          <w:sz w:val="24"/>
          <w:szCs w:val="24"/>
          <w:lang w:val="lt-LT"/>
        </w:rPr>
        <w:t xml:space="preserve">Sprendimo </w:t>
      </w:r>
      <w:r w:rsidRPr="009C64EB">
        <w:rPr>
          <w:rFonts w:ascii="Times New Roman" w:hAnsi="Times New Roman" w:cs="Times New Roman"/>
          <w:i/>
          <w:iCs/>
          <w:sz w:val="24"/>
          <w:szCs w:val="24"/>
          <w:lang w:val="lt-LT"/>
        </w:rPr>
        <w:t>Notarų rūmai</w:t>
      </w:r>
      <w:r w:rsidRPr="009C64EB">
        <w:rPr>
          <w:rFonts w:ascii="Times New Roman" w:hAnsi="Times New Roman" w:cs="Times New Roman"/>
          <w:sz w:val="24"/>
          <w:szCs w:val="24"/>
          <w:lang w:val="lt-LT"/>
        </w:rPr>
        <w:t xml:space="preserve"> </w:t>
      </w:r>
      <w:bookmarkEnd w:id="131"/>
      <w:r w:rsidRPr="009C64EB">
        <w:rPr>
          <w:rFonts w:ascii="Times New Roman" w:hAnsi="Times New Roman" w:cs="Times New Roman"/>
          <w:sz w:val="24"/>
          <w:szCs w:val="24"/>
          <w:lang w:val="lt-LT"/>
        </w:rPr>
        <w:t>121 p.).</w:t>
      </w:r>
      <w:r w:rsidR="008308DE" w:rsidRPr="008308DE">
        <w:rPr>
          <w:rFonts w:ascii="Times New Roman" w:hAnsi="Times New Roman" w:cs="Times New Roman"/>
          <w:sz w:val="24"/>
          <w:szCs w:val="24"/>
          <w:lang w:val="lt-LT"/>
        </w:rPr>
        <w:t xml:space="preserve"> </w:t>
      </w:r>
      <w:r w:rsidR="00AE467F">
        <w:rPr>
          <w:rFonts w:ascii="Times New Roman" w:hAnsi="Times New Roman" w:cs="Times New Roman"/>
          <w:sz w:val="24"/>
          <w:szCs w:val="24"/>
          <w:lang w:val="lt-LT"/>
        </w:rPr>
        <w:t xml:space="preserve">Atitinkamai, </w:t>
      </w:r>
      <w:r w:rsidRPr="00AE467F">
        <w:rPr>
          <w:rFonts w:ascii="Times New Roman" w:hAnsi="Times New Roman" w:cs="Times New Roman"/>
          <w:sz w:val="24"/>
          <w:szCs w:val="24"/>
          <w:lang w:val="lt-LT"/>
        </w:rPr>
        <w:t xml:space="preserve">Teisingumo Teismas darė išvadą, jog SESV 101 straipsnis turi būti aiškinamas taip, kad pagal jį draudžiama, kad nacionalinė konkurencijos institucija už įmonių asociacijos padarytą šios nuostatos pažeidimą skirtų individualias baudas įmonėms, šios asociacijos valdymo organo narėms, jeigu šios įmonės nėra šio pažeidimo </w:t>
      </w:r>
      <w:proofErr w:type="spellStart"/>
      <w:r w:rsidRPr="00AE467F">
        <w:rPr>
          <w:rFonts w:ascii="Times New Roman" w:hAnsi="Times New Roman" w:cs="Times New Roman"/>
          <w:sz w:val="24"/>
          <w:szCs w:val="24"/>
          <w:lang w:val="lt-LT"/>
        </w:rPr>
        <w:t>bendravykdės</w:t>
      </w:r>
      <w:proofErr w:type="spellEnd"/>
      <w:r w:rsidRPr="00AE467F">
        <w:rPr>
          <w:rFonts w:ascii="Times New Roman" w:hAnsi="Times New Roman" w:cs="Times New Roman"/>
          <w:sz w:val="24"/>
          <w:szCs w:val="24"/>
          <w:lang w:val="lt-LT"/>
        </w:rPr>
        <w:t xml:space="preserve"> (Sprendimo </w:t>
      </w:r>
      <w:r w:rsidRPr="00AE467F">
        <w:rPr>
          <w:rFonts w:ascii="Times New Roman" w:hAnsi="Times New Roman" w:cs="Times New Roman"/>
          <w:i/>
          <w:iCs/>
          <w:sz w:val="24"/>
          <w:szCs w:val="24"/>
          <w:lang w:val="lt-LT"/>
        </w:rPr>
        <w:t>Notarų rūmai</w:t>
      </w:r>
      <w:r w:rsidRPr="00AE467F">
        <w:rPr>
          <w:rFonts w:ascii="Times New Roman" w:hAnsi="Times New Roman" w:cs="Times New Roman"/>
          <w:sz w:val="24"/>
          <w:szCs w:val="24"/>
          <w:lang w:val="lt-LT"/>
        </w:rPr>
        <w:t xml:space="preserve"> 129 p.).</w:t>
      </w:r>
    </w:p>
    <w:p w14:paraId="1CC8852B" w14:textId="57710B96" w:rsidR="00137BD1" w:rsidRPr="009C64EB" w:rsidRDefault="00137BD1" w:rsidP="00137BD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9C64EB">
        <w:rPr>
          <w:rFonts w:ascii="Times New Roman" w:hAnsi="Times New Roman" w:cs="Times New Roman"/>
          <w:sz w:val="24"/>
          <w:szCs w:val="24"/>
          <w:lang w:val="lt-LT"/>
        </w:rPr>
        <w:t xml:space="preserve"> </w:t>
      </w:r>
      <w:r w:rsidR="0085579A">
        <w:rPr>
          <w:rFonts w:ascii="Times New Roman" w:hAnsi="Times New Roman" w:cs="Times New Roman"/>
          <w:sz w:val="24"/>
          <w:szCs w:val="24"/>
          <w:lang w:val="lt-LT"/>
        </w:rPr>
        <w:t xml:space="preserve">Šiame kontekste išplėstinė teisėjų kolegija pabrėžia, kad </w:t>
      </w:r>
      <w:r w:rsidR="00123B9D" w:rsidRPr="009C64EB">
        <w:rPr>
          <w:rFonts w:ascii="Times New Roman" w:hAnsi="Times New Roman" w:cs="Times New Roman"/>
          <w:sz w:val="24"/>
          <w:szCs w:val="24"/>
          <w:lang w:val="lt-LT"/>
        </w:rPr>
        <w:t>2024 m. kovo 6 d.</w:t>
      </w:r>
      <w:r w:rsidR="00123B9D" w:rsidRPr="00123B9D">
        <w:rPr>
          <w:rFonts w:ascii="Times New Roman" w:hAnsi="Times New Roman" w:cs="Times New Roman"/>
          <w:sz w:val="24"/>
          <w:szCs w:val="24"/>
          <w:lang w:val="lt-LT"/>
        </w:rPr>
        <w:t xml:space="preserve"> </w:t>
      </w:r>
      <w:r w:rsidR="00123B9D" w:rsidRPr="009C64EB">
        <w:rPr>
          <w:rFonts w:ascii="Times New Roman" w:hAnsi="Times New Roman" w:cs="Times New Roman"/>
          <w:sz w:val="24"/>
          <w:szCs w:val="24"/>
          <w:lang w:val="lt-LT"/>
        </w:rPr>
        <w:t xml:space="preserve">pateiktuose </w:t>
      </w:r>
      <w:r w:rsidR="009F5ADD" w:rsidRPr="009C64EB">
        <w:rPr>
          <w:rFonts w:ascii="Times New Roman" w:hAnsi="Times New Roman" w:cs="Times New Roman"/>
          <w:sz w:val="24"/>
          <w:szCs w:val="24"/>
          <w:lang w:val="lt-LT"/>
        </w:rPr>
        <w:t xml:space="preserve">rašytiniuose paaiškinimuose </w:t>
      </w:r>
      <w:r w:rsidR="009F5ADD">
        <w:rPr>
          <w:rFonts w:ascii="Times New Roman" w:hAnsi="Times New Roman" w:cs="Times New Roman"/>
          <w:sz w:val="24"/>
          <w:szCs w:val="24"/>
          <w:lang w:val="lt-LT"/>
        </w:rPr>
        <w:t>T</w:t>
      </w:r>
      <w:r w:rsidR="009F5ADD" w:rsidRPr="009C64EB">
        <w:rPr>
          <w:rFonts w:ascii="Times New Roman" w:hAnsi="Times New Roman" w:cs="Times New Roman"/>
          <w:sz w:val="24"/>
          <w:szCs w:val="24"/>
          <w:lang w:val="lt-LT"/>
        </w:rPr>
        <w:t xml:space="preserve">aryba </w:t>
      </w:r>
      <w:r w:rsidR="009F5ADD">
        <w:rPr>
          <w:rFonts w:ascii="Times New Roman" w:hAnsi="Times New Roman" w:cs="Times New Roman"/>
          <w:sz w:val="24"/>
          <w:szCs w:val="24"/>
          <w:lang w:val="lt-LT"/>
        </w:rPr>
        <w:t>atsižvelgė į minėtą Teisingumo Teismo išaiškinimą</w:t>
      </w:r>
      <w:r w:rsidR="00632FAB">
        <w:rPr>
          <w:rFonts w:ascii="Times New Roman" w:hAnsi="Times New Roman" w:cs="Times New Roman"/>
          <w:sz w:val="24"/>
          <w:szCs w:val="24"/>
          <w:lang w:val="lt-LT"/>
        </w:rPr>
        <w:t xml:space="preserve"> ir savo poziciją dėl </w:t>
      </w:r>
      <w:r w:rsidR="004D3586">
        <w:rPr>
          <w:rFonts w:ascii="Times New Roman" w:hAnsi="Times New Roman" w:cs="Times New Roman"/>
          <w:sz w:val="24"/>
          <w:szCs w:val="24"/>
          <w:lang w:val="lt-LT"/>
        </w:rPr>
        <w:t>Prezidiumo narių atsakomybės iš esmės pakoregavo</w:t>
      </w:r>
      <w:r w:rsidR="004B3DAF">
        <w:rPr>
          <w:rFonts w:ascii="Times New Roman" w:hAnsi="Times New Roman" w:cs="Times New Roman"/>
          <w:sz w:val="24"/>
          <w:szCs w:val="24"/>
          <w:lang w:val="lt-LT"/>
        </w:rPr>
        <w:t>.</w:t>
      </w:r>
      <w:r w:rsidR="004D3586">
        <w:rPr>
          <w:rFonts w:ascii="Times New Roman" w:hAnsi="Times New Roman" w:cs="Times New Roman"/>
          <w:sz w:val="24"/>
          <w:szCs w:val="24"/>
          <w:lang w:val="lt-LT"/>
        </w:rPr>
        <w:t xml:space="preserve"> Taip pat</w:t>
      </w:r>
      <w:r w:rsidR="004B3DAF">
        <w:rPr>
          <w:rFonts w:ascii="Times New Roman" w:hAnsi="Times New Roman" w:cs="Times New Roman"/>
          <w:sz w:val="24"/>
          <w:szCs w:val="24"/>
          <w:lang w:val="lt-LT"/>
        </w:rPr>
        <w:t xml:space="preserve"> </w:t>
      </w:r>
      <w:r w:rsidR="0085579A" w:rsidRPr="009C64EB">
        <w:rPr>
          <w:rFonts w:ascii="Times New Roman" w:hAnsi="Times New Roman" w:cs="Times New Roman"/>
          <w:sz w:val="24"/>
          <w:szCs w:val="24"/>
          <w:lang w:val="lt-LT"/>
        </w:rPr>
        <w:t>2024 m. birželio 5 d.</w:t>
      </w:r>
      <w:r w:rsidR="0085579A">
        <w:rPr>
          <w:rFonts w:ascii="Times New Roman" w:hAnsi="Times New Roman" w:cs="Times New Roman"/>
          <w:sz w:val="24"/>
          <w:szCs w:val="24"/>
          <w:lang w:val="lt-LT"/>
        </w:rPr>
        <w:t xml:space="preserve"> </w:t>
      </w:r>
      <w:r w:rsidR="0085579A" w:rsidRPr="009C64EB">
        <w:rPr>
          <w:rFonts w:ascii="Times New Roman" w:hAnsi="Times New Roman" w:cs="Times New Roman"/>
          <w:sz w:val="24"/>
          <w:szCs w:val="24"/>
          <w:lang w:val="lt-LT"/>
        </w:rPr>
        <w:t>Lietuvos vyriausiajame administraciniame teisme vykus</w:t>
      </w:r>
      <w:r w:rsidR="00761C16">
        <w:rPr>
          <w:rFonts w:ascii="Times New Roman" w:hAnsi="Times New Roman" w:cs="Times New Roman"/>
          <w:sz w:val="24"/>
          <w:szCs w:val="24"/>
          <w:lang w:val="lt-LT"/>
        </w:rPr>
        <w:t>i</w:t>
      </w:r>
      <w:r w:rsidR="00A61274">
        <w:rPr>
          <w:rFonts w:ascii="Times New Roman" w:hAnsi="Times New Roman" w:cs="Times New Roman"/>
          <w:sz w:val="24"/>
          <w:szCs w:val="24"/>
          <w:lang w:val="lt-LT"/>
        </w:rPr>
        <w:t xml:space="preserve">ame posėdyje </w:t>
      </w:r>
      <w:r w:rsidRPr="009C64EB">
        <w:rPr>
          <w:rFonts w:ascii="Times New Roman" w:hAnsi="Times New Roman" w:cs="Times New Roman"/>
          <w:sz w:val="24"/>
          <w:szCs w:val="24"/>
          <w:lang w:val="lt-LT"/>
        </w:rPr>
        <w:t>Konkurencijos tarybos atstovė pa</w:t>
      </w:r>
      <w:r w:rsidR="00FA0059">
        <w:rPr>
          <w:rFonts w:ascii="Times New Roman" w:hAnsi="Times New Roman" w:cs="Times New Roman"/>
          <w:sz w:val="24"/>
          <w:szCs w:val="24"/>
          <w:lang w:val="lt-LT"/>
        </w:rPr>
        <w:t>tvirtino</w:t>
      </w:r>
      <w:r w:rsidRPr="009C64EB">
        <w:rPr>
          <w:rFonts w:ascii="Times New Roman" w:hAnsi="Times New Roman" w:cs="Times New Roman"/>
          <w:sz w:val="24"/>
          <w:szCs w:val="24"/>
          <w:lang w:val="lt-LT"/>
        </w:rPr>
        <w:t xml:space="preserve">, jog sutinka su Teisingumo Teismo </w:t>
      </w:r>
      <w:r w:rsidR="00A3645A">
        <w:rPr>
          <w:rFonts w:ascii="Times New Roman" w:hAnsi="Times New Roman" w:cs="Times New Roman"/>
          <w:sz w:val="24"/>
          <w:szCs w:val="24"/>
          <w:lang w:val="lt-LT"/>
        </w:rPr>
        <w:t xml:space="preserve">Sprendime </w:t>
      </w:r>
      <w:r w:rsidR="00A3645A" w:rsidRPr="00A3645A">
        <w:rPr>
          <w:rFonts w:ascii="Times New Roman" w:hAnsi="Times New Roman" w:cs="Times New Roman"/>
          <w:i/>
          <w:iCs/>
          <w:sz w:val="24"/>
          <w:szCs w:val="24"/>
          <w:lang w:val="lt-LT"/>
        </w:rPr>
        <w:t>Notarų rūmai</w:t>
      </w:r>
      <w:r w:rsidR="00A3645A">
        <w:rPr>
          <w:rFonts w:ascii="Times New Roman" w:hAnsi="Times New Roman" w:cs="Times New Roman"/>
          <w:sz w:val="24"/>
          <w:szCs w:val="24"/>
          <w:lang w:val="lt-LT"/>
        </w:rPr>
        <w:t xml:space="preserve"> pateiktu </w:t>
      </w:r>
      <w:r w:rsidRPr="009C64EB">
        <w:rPr>
          <w:rFonts w:ascii="Times New Roman" w:hAnsi="Times New Roman" w:cs="Times New Roman"/>
          <w:sz w:val="24"/>
          <w:szCs w:val="24"/>
          <w:lang w:val="lt-LT"/>
        </w:rPr>
        <w:t xml:space="preserve">išaiškinimu, kad šiuo atveju baudos Prezidiumo nariams neturėjo būti skiriamos. </w:t>
      </w:r>
    </w:p>
    <w:p w14:paraId="33FD3C24" w14:textId="77777777" w:rsidR="00023851" w:rsidRDefault="00137BD1" w:rsidP="009529C9">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9C64EB">
        <w:rPr>
          <w:rFonts w:ascii="Times New Roman" w:hAnsi="Times New Roman" w:cs="Times New Roman"/>
          <w:sz w:val="24"/>
          <w:szCs w:val="24"/>
          <w:lang w:val="lt-LT"/>
        </w:rPr>
        <w:t xml:space="preserve"> </w:t>
      </w:r>
      <w:r w:rsidR="004871E1">
        <w:rPr>
          <w:rFonts w:ascii="Times New Roman" w:hAnsi="Times New Roman" w:cs="Times New Roman"/>
          <w:sz w:val="24"/>
          <w:szCs w:val="24"/>
          <w:lang w:val="lt-LT"/>
        </w:rPr>
        <w:t>Apibendrindama, išplėstinė teisėjų kolegija a</w:t>
      </w:r>
      <w:r w:rsidRPr="009C64EB">
        <w:rPr>
          <w:rFonts w:ascii="Times New Roman" w:hAnsi="Times New Roman" w:cs="Times New Roman"/>
          <w:sz w:val="24"/>
          <w:szCs w:val="24"/>
          <w:lang w:val="lt-LT"/>
        </w:rPr>
        <w:t>tsižvelg</w:t>
      </w:r>
      <w:r w:rsidR="004871E1">
        <w:rPr>
          <w:rFonts w:ascii="Times New Roman" w:hAnsi="Times New Roman" w:cs="Times New Roman"/>
          <w:sz w:val="24"/>
          <w:szCs w:val="24"/>
          <w:lang w:val="lt-LT"/>
        </w:rPr>
        <w:t>ia</w:t>
      </w:r>
      <w:r w:rsidRPr="009C64EB">
        <w:rPr>
          <w:rFonts w:ascii="Times New Roman" w:hAnsi="Times New Roman" w:cs="Times New Roman"/>
          <w:sz w:val="24"/>
          <w:szCs w:val="24"/>
          <w:lang w:val="lt-LT"/>
        </w:rPr>
        <w:t xml:space="preserve"> į tai, kad pagal asmeninės atsakomybės principą reikalaujama, </w:t>
      </w:r>
      <w:r>
        <w:rPr>
          <w:rFonts w:ascii="Times New Roman" w:hAnsi="Times New Roman" w:cs="Times New Roman"/>
          <w:sz w:val="24"/>
          <w:szCs w:val="24"/>
          <w:lang w:val="lt-LT"/>
        </w:rPr>
        <w:t>jog</w:t>
      </w:r>
      <w:r w:rsidRPr="009C64EB">
        <w:rPr>
          <w:rFonts w:ascii="Times New Roman" w:hAnsi="Times New Roman" w:cs="Times New Roman"/>
          <w:sz w:val="24"/>
          <w:szCs w:val="24"/>
          <w:lang w:val="lt-LT"/>
        </w:rPr>
        <w:t xml:space="preserve"> už konkurencijos taisyklių pažeidimą būtų baudžiamas tik jį padaręs subjektas, taip pat į tai, kad nagrinėjamoje byloje </w:t>
      </w:r>
      <w:r w:rsidRPr="00213EB5">
        <w:rPr>
          <w:rFonts w:ascii="Times New Roman" w:hAnsi="Times New Roman" w:cs="Times New Roman"/>
          <w:sz w:val="24"/>
          <w:szCs w:val="24"/>
          <w:lang w:val="lt-LT"/>
        </w:rPr>
        <w:t xml:space="preserve">Konkurencijos taryba </w:t>
      </w:r>
      <w:r w:rsidR="000D539E">
        <w:rPr>
          <w:rFonts w:ascii="Times New Roman" w:hAnsi="Times New Roman" w:cs="Times New Roman"/>
          <w:sz w:val="24"/>
          <w:szCs w:val="24"/>
          <w:lang w:val="lt-LT"/>
        </w:rPr>
        <w:t>neteigia</w:t>
      </w:r>
      <w:r w:rsidRPr="00213EB5">
        <w:rPr>
          <w:rFonts w:ascii="Times New Roman" w:hAnsi="Times New Roman" w:cs="Times New Roman"/>
          <w:sz w:val="24"/>
          <w:szCs w:val="24"/>
          <w:lang w:val="lt-LT"/>
        </w:rPr>
        <w:t xml:space="preserve">, jog Prezidiumo nariai buvo draudžiamo susitarimo </w:t>
      </w:r>
      <w:proofErr w:type="spellStart"/>
      <w:r w:rsidRPr="00213EB5">
        <w:rPr>
          <w:rFonts w:ascii="Times New Roman" w:hAnsi="Times New Roman" w:cs="Times New Roman"/>
          <w:sz w:val="24"/>
          <w:szCs w:val="24"/>
          <w:lang w:val="lt-LT"/>
        </w:rPr>
        <w:t>bendravykdžiai</w:t>
      </w:r>
      <w:proofErr w:type="spellEnd"/>
      <w:r w:rsidRPr="00213EB5">
        <w:rPr>
          <w:rFonts w:ascii="Times New Roman" w:hAnsi="Times New Roman" w:cs="Times New Roman"/>
          <w:sz w:val="24"/>
          <w:szCs w:val="24"/>
          <w:lang w:val="lt-LT"/>
        </w:rPr>
        <w:t>, ir sutinka su tuo, kad baudos Prezidiumo nariams neturėjo būti skiriamos</w:t>
      </w:r>
      <w:r w:rsidR="00417787">
        <w:rPr>
          <w:rFonts w:ascii="Times New Roman" w:hAnsi="Times New Roman" w:cs="Times New Roman"/>
          <w:sz w:val="24"/>
          <w:szCs w:val="24"/>
          <w:lang w:val="lt-LT"/>
        </w:rPr>
        <w:t>. Vadovaudamasi tuo, kas išdėstyta, išplėstinė teisėjų kolegija sprendžia</w:t>
      </w:r>
      <w:r w:rsidRPr="00213EB5">
        <w:rPr>
          <w:rFonts w:ascii="Times New Roman" w:hAnsi="Times New Roman" w:cs="Times New Roman"/>
          <w:sz w:val="24"/>
          <w:szCs w:val="24"/>
          <w:lang w:val="lt-LT"/>
        </w:rPr>
        <w:t>, kad Nutarime Prezidiumo nariai nepagrįstai laikyti atsakingais už Konkurencijos įstatymo 5 straipsnio ir SESV 101 straipsnio pažeidimą, ir jiems Nutarime buvo nepagrįstai skirtos baudos, o pirmosios instancijos teismas šią Nutarimo</w:t>
      </w:r>
      <w:r w:rsidRPr="009C64EB">
        <w:rPr>
          <w:rFonts w:ascii="Times New Roman" w:hAnsi="Times New Roman" w:cs="Times New Roman"/>
          <w:sz w:val="24"/>
          <w:szCs w:val="24"/>
          <w:lang w:val="lt-LT"/>
        </w:rPr>
        <w:t xml:space="preserve"> dalį panaikino pagrįstai. Todėl pirmosios instancijos teismo sprendimo dalis, kuria panaikinta Nutarimo dalis, susijusi su Prezidiumo narių pripažinimu pažeidusiais </w:t>
      </w:r>
      <w:r w:rsidRPr="00A048ED">
        <w:rPr>
          <w:rFonts w:ascii="Times New Roman" w:hAnsi="Times New Roman" w:cs="Times New Roman"/>
          <w:sz w:val="24"/>
          <w:szCs w:val="24"/>
          <w:lang w:val="lt-LT"/>
        </w:rPr>
        <w:t>Konkurencijos įstatymo 5 straipsnį ir SESV 101 straipsnį ir baudos jiems paskyrimu, paliktina nepakeista.</w:t>
      </w:r>
      <w:r w:rsidR="0047182D">
        <w:rPr>
          <w:rFonts w:ascii="Times New Roman" w:hAnsi="Times New Roman" w:cs="Times New Roman"/>
          <w:sz w:val="24"/>
          <w:szCs w:val="24"/>
          <w:lang w:val="lt-LT"/>
        </w:rPr>
        <w:t xml:space="preserve"> </w:t>
      </w:r>
    </w:p>
    <w:p w14:paraId="69F0BBD9" w14:textId="77777777" w:rsidR="00023851" w:rsidRDefault="00023851" w:rsidP="00023851">
      <w:pPr>
        <w:tabs>
          <w:tab w:val="left" w:pos="567"/>
          <w:tab w:val="left" w:pos="1134"/>
        </w:tabs>
        <w:spacing w:after="0" w:line="240" w:lineRule="auto"/>
        <w:ind w:left="709"/>
        <w:contextualSpacing/>
        <w:jc w:val="both"/>
        <w:rPr>
          <w:rFonts w:ascii="Times New Roman" w:eastAsia="Times New Roman" w:hAnsi="Times New Roman" w:cs="Times New Roman"/>
          <w:i/>
          <w:iCs/>
          <w:sz w:val="24"/>
          <w:szCs w:val="24"/>
          <w:lang w:val="lt-LT"/>
        </w:rPr>
      </w:pPr>
    </w:p>
    <w:p w14:paraId="76B46D89" w14:textId="29D4F611" w:rsidR="00023851" w:rsidRDefault="00023851" w:rsidP="00023851">
      <w:pPr>
        <w:tabs>
          <w:tab w:val="left" w:pos="567"/>
          <w:tab w:val="left" w:pos="1134"/>
        </w:tabs>
        <w:spacing w:after="0" w:line="240" w:lineRule="auto"/>
        <w:ind w:left="709"/>
        <w:contextualSpacing/>
        <w:jc w:val="both"/>
        <w:rPr>
          <w:rFonts w:ascii="Times New Roman" w:eastAsia="Times New Roman" w:hAnsi="Times New Roman" w:cs="Times New Roman"/>
          <w:i/>
          <w:iCs/>
          <w:sz w:val="24"/>
          <w:szCs w:val="24"/>
          <w:lang w:val="lt-LT"/>
        </w:rPr>
      </w:pPr>
      <w:r w:rsidRPr="0047182D">
        <w:rPr>
          <w:rFonts w:ascii="Times New Roman" w:eastAsia="Times New Roman" w:hAnsi="Times New Roman" w:cs="Times New Roman"/>
          <w:i/>
          <w:iCs/>
          <w:sz w:val="24"/>
          <w:szCs w:val="24"/>
          <w:lang w:val="lt-LT"/>
        </w:rPr>
        <w:lastRenderedPageBreak/>
        <w:t>Dėl procedūrinių aspektų</w:t>
      </w:r>
    </w:p>
    <w:p w14:paraId="2708CA3B" w14:textId="77777777" w:rsidR="00023851" w:rsidRDefault="00023851" w:rsidP="00023851">
      <w:pPr>
        <w:tabs>
          <w:tab w:val="left" w:pos="567"/>
          <w:tab w:val="left" w:pos="1134"/>
        </w:tabs>
        <w:spacing w:after="0" w:line="240" w:lineRule="auto"/>
        <w:ind w:left="709"/>
        <w:contextualSpacing/>
        <w:jc w:val="both"/>
        <w:rPr>
          <w:rFonts w:ascii="Times New Roman" w:hAnsi="Times New Roman" w:cs="Times New Roman"/>
          <w:sz w:val="24"/>
          <w:szCs w:val="24"/>
          <w:lang w:val="lt-LT"/>
        </w:rPr>
      </w:pPr>
    </w:p>
    <w:p w14:paraId="001A7091" w14:textId="77777777" w:rsidR="00023851" w:rsidRDefault="00023851" w:rsidP="0002385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967AC" w:rsidRPr="009529C9">
        <w:rPr>
          <w:rFonts w:ascii="Times New Roman" w:hAnsi="Times New Roman" w:cs="Times New Roman"/>
          <w:sz w:val="24"/>
          <w:szCs w:val="24"/>
          <w:lang w:val="lt-LT"/>
        </w:rPr>
        <w:t>Pirmosios instancijos teismas konstatavo, kad šiuo išimtinai konkrečiu atveju Tarybos veiksmai, atliekant netikėtą patikrinimą pasitelkus policijos pareigūnus, gali būti vertinami kaip pertekliniai, atlikti nesiekiant taikaus ir pagarbaus teisinių institucijų bendradarbiavimo, savaime užprogramuojantys Konkurencijos tarybos, Teisingumo ministerijos ir notarų savivaldą įgyvendinančių organų konfliktą.</w:t>
      </w:r>
    </w:p>
    <w:p w14:paraId="4CC51CBB" w14:textId="77777777" w:rsidR="00023851" w:rsidRDefault="00023851" w:rsidP="0002385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967AC" w:rsidRPr="00023851">
        <w:rPr>
          <w:rFonts w:ascii="Times New Roman" w:hAnsi="Times New Roman" w:cs="Times New Roman"/>
          <w:sz w:val="24"/>
          <w:szCs w:val="24"/>
          <w:lang w:val="lt-LT"/>
        </w:rPr>
        <w:t>Konkurencijos taryba apeliaciniame skunde, be kita ko, pažymi, kad nėra pagrindo teigti, jog prieš pradedant tyrimą, Konkurencijos taryba privalėtų pasinaudoti kituose teisės aktuose įtvirtintomis galimybėmis skųsti Notarų rūmų veiksmus, pavyzdžiui, kreiptis į teisingumo ministrą, nes atlikti tyrimus dėl Konkurencijos įstatymo pažeidimo yra kompetentinga Konkurencijos taryba, o ne teisingumo ministras.</w:t>
      </w:r>
    </w:p>
    <w:p w14:paraId="345F5110" w14:textId="72F955A0" w:rsidR="00023851" w:rsidRDefault="00023851" w:rsidP="0002385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967AC" w:rsidRPr="00023851">
        <w:rPr>
          <w:rFonts w:ascii="Times New Roman" w:hAnsi="Times New Roman" w:cs="Times New Roman"/>
          <w:sz w:val="24"/>
          <w:szCs w:val="24"/>
          <w:lang w:val="lt-LT"/>
        </w:rPr>
        <w:t>Šiais aspektais pažymėtina, kad Konkurencijos tarybos įgaliotų pareigūnų teisė įeiti ir atlikti patikrinimą ūkio subjekto naudojamose patalpose yra nustatyta Konkurencijos įstatymo 25 straipsnio 1 dalies 1 punkte. Nagrinėjamu atveju šiems veiksmams atlikti buvo gautas teismo leidimas, kaip nustatyta to paties įstatymo 25 straipsnio 2 dalyje. To paties straipsnio 3 dalyje įtvirtinta, kad tyrimą atliekantys Konkurencijos tarybos įgalioti pareigūnai tvarkai palaikyti gali pasitelkti policijos pareigūn</w:t>
      </w:r>
      <w:r w:rsidR="00A32E15">
        <w:rPr>
          <w:rFonts w:ascii="Times New Roman" w:hAnsi="Times New Roman" w:cs="Times New Roman"/>
          <w:sz w:val="24"/>
          <w:szCs w:val="24"/>
          <w:lang w:val="lt-LT"/>
        </w:rPr>
        <w:t>us</w:t>
      </w:r>
      <w:r w:rsidR="00E967AC" w:rsidRPr="00023851">
        <w:rPr>
          <w:rFonts w:ascii="Times New Roman" w:hAnsi="Times New Roman" w:cs="Times New Roman"/>
          <w:sz w:val="24"/>
          <w:szCs w:val="24"/>
          <w:lang w:val="lt-LT"/>
        </w:rPr>
        <w:t>.</w:t>
      </w:r>
    </w:p>
    <w:p w14:paraId="097E29DE" w14:textId="77777777" w:rsidR="00023851" w:rsidRDefault="00023851" w:rsidP="0002385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967AC" w:rsidRPr="00023851">
        <w:rPr>
          <w:rFonts w:ascii="Times New Roman" w:hAnsi="Times New Roman" w:cs="Times New Roman"/>
          <w:sz w:val="24"/>
          <w:szCs w:val="24"/>
          <w:lang w:val="lt-LT"/>
        </w:rPr>
        <w:t>Išplėstinės teisėjų kolegijos vertinimu, nagrinėjamoje byloje nėra pateikta įrodymų ar argumentų, kurie pagrįstų, kad Konkurencijos tarybos įgalioti pareigūnai, atlikdami patikrinimą, peržengė jiems įstatymu suteiktus įgaliojimus ar kad jų veiksmai buvo neproporcingi. Pažymėtina, kad patikrinimas vietoje buvo atliktas siekiant surinkti su tyrimu susijusius įrodymus, nustatyti tyrimui reikšmingas aplinkybes, pasitelkiant viešai neprieinamus įrodymus. Kaip matyti iš bylos medžiagos, patikrinimo metu buvo surinkti su tyrimu susiję įrodymai. Be to, patikrinimui vietoje atlikti buvo gautas teismo leidimas. Nurodyto aktualaus teisinio reguliavimo bei nustatytų faktinių aplinkybių pagrindu išplėstinė teisėjų kolegija konstatuoja, kad vien policijos pareigūnų dalyvavimas atliekant patikrinimą vietoje neleidžia daryti išvados, kad pareiškėjų teisės buvo nepagrįstai apribotos ar buvo pažeista pareiškėjų teisė į privatumą. Pareiškėjai nepateikė argumentų ar įrodymų, pagrindžiančių, kad patikrinime dalyvavę pareigūnai pažeidė pareiškėjų teises ar padarė jiems žalą.</w:t>
      </w:r>
    </w:p>
    <w:p w14:paraId="5524E83C" w14:textId="77777777" w:rsidR="002A57FA" w:rsidRDefault="00023851" w:rsidP="002A57FA">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967AC" w:rsidRPr="00023851">
        <w:rPr>
          <w:rFonts w:ascii="Times New Roman" w:hAnsi="Times New Roman" w:cs="Times New Roman"/>
          <w:sz w:val="24"/>
          <w:szCs w:val="24"/>
          <w:lang w:val="lt-LT"/>
        </w:rPr>
        <w:t>Atsižvelgiant į šias aplinkybes, konstatuotina, jog pirmosios instancijos teismas nepagrįstai sprendė, kad Konkurencijos tarybos veiksmai atliekant patikrinimą vietoje buvo pertekliniai.</w:t>
      </w:r>
    </w:p>
    <w:p w14:paraId="2E38533A" w14:textId="36F995DF" w:rsidR="002A57FA" w:rsidRDefault="002A57FA" w:rsidP="002A57FA">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F1572">
        <w:rPr>
          <w:rFonts w:ascii="Times New Roman" w:hAnsi="Times New Roman" w:cs="Times New Roman"/>
          <w:sz w:val="24"/>
          <w:szCs w:val="24"/>
          <w:lang w:val="lt-LT"/>
        </w:rPr>
        <w:t>Išplėstinė teisėjų kolegija taip pat atsižvelgia į tai, kad a</w:t>
      </w:r>
      <w:r w:rsidR="00E967AC" w:rsidRPr="002A57FA">
        <w:rPr>
          <w:rFonts w:ascii="Times New Roman" w:hAnsi="Times New Roman" w:cs="Times New Roman"/>
          <w:sz w:val="24"/>
          <w:szCs w:val="24"/>
          <w:lang w:val="lt-LT"/>
        </w:rPr>
        <w:t xml:space="preserve">tsiliepime į apeliacinį skundą pareiškėjai nurodo, kad patikrinimas Notarų rūmų patalpose ir kiti </w:t>
      </w:r>
      <w:r w:rsidR="00A61274">
        <w:rPr>
          <w:rFonts w:ascii="Times New Roman" w:hAnsi="Times New Roman" w:cs="Times New Roman"/>
          <w:sz w:val="24"/>
          <w:szCs w:val="24"/>
          <w:lang w:val="lt-LT"/>
        </w:rPr>
        <w:t xml:space="preserve">per </w:t>
      </w:r>
      <w:r w:rsidR="00E967AC" w:rsidRPr="002A57FA">
        <w:rPr>
          <w:rFonts w:ascii="Times New Roman" w:hAnsi="Times New Roman" w:cs="Times New Roman"/>
          <w:sz w:val="24"/>
          <w:szCs w:val="24"/>
          <w:lang w:val="lt-LT"/>
        </w:rPr>
        <w:t>tyrim</w:t>
      </w:r>
      <w:r w:rsidR="00A61274">
        <w:rPr>
          <w:rFonts w:ascii="Times New Roman" w:hAnsi="Times New Roman" w:cs="Times New Roman"/>
          <w:sz w:val="24"/>
          <w:szCs w:val="24"/>
          <w:lang w:val="lt-LT"/>
        </w:rPr>
        <w:t>ą</w:t>
      </w:r>
      <w:r w:rsidR="00E967AC" w:rsidRPr="002A57FA">
        <w:rPr>
          <w:rFonts w:ascii="Times New Roman" w:hAnsi="Times New Roman" w:cs="Times New Roman"/>
          <w:sz w:val="24"/>
          <w:szCs w:val="24"/>
          <w:lang w:val="lt-LT"/>
        </w:rPr>
        <w:t xml:space="preserve"> atlikti veiksmai pažeidė Žmogaus teisių ir pagrindinių laisvių apsaugos konvencijos 6, 8, 11 ir 13 straipsnių reikalavimus.</w:t>
      </w:r>
    </w:p>
    <w:p w14:paraId="78971F73" w14:textId="41DD97AF" w:rsidR="00E967AC" w:rsidRDefault="002A57FA" w:rsidP="002A57FA">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967AC" w:rsidRPr="002A57FA">
        <w:rPr>
          <w:rFonts w:ascii="Times New Roman" w:hAnsi="Times New Roman" w:cs="Times New Roman"/>
          <w:sz w:val="24"/>
          <w:szCs w:val="24"/>
          <w:lang w:val="lt-LT"/>
        </w:rPr>
        <w:t>Šiuo aspektu pažymėtina, kad apeliaciniame procese yra nagrinėjamas Konkurencijos tarybos, o ne pareiškėjų pateiktas apeliacinis skundas. Išplėstinė teisėjų kolegija nenustatė, kad nagrinėjamu atveju neperžengus apeliacinio skundo ribų būtų reikšmingai pažeistos asmenų teisės bei įstatymų saugomi interesai, todėl pirmosios instancijos teismo sprendimo pagrįstumas ir teisėtumas tikrinamas neperžengiant apeliacinio skundo ribų (ABTĮ 140 str. 1, 2 d.). Atsižvelgiant į tai, dėl minėtų pareiškėjų argumentų, pateiktų atsiliepime į apeliacinį skundą, tačiau nepatenkančių į pirmosios instancijos teismo sprendimo ir apeliacinio skundo apimtį, atskirai nepasisakoma.</w:t>
      </w:r>
    </w:p>
    <w:p w14:paraId="56F9CED8" w14:textId="77777777" w:rsidR="00536EA1" w:rsidRDefault="00536EA1" w:rsidP="00536EA1">
      <w:pPr>
        <w:pStyle w:val="Sraopastraipa"/>
        <w:tabs>
          <w:tab w:val="left" w:pos="993"/>
          <w:tab w:val="left" w:pos="1040"/>
          <w:tab w:val="left" w:pos="1276"/>
        </w:tabs>
        <w:ind w:left="0" w:firstLine="720"/>
        <w:jc w:val="both"/>
        <w:rPr>
          <w:i/>
          <w:iCs/>
          <w:sz w:val="24"/>
          <w:szCs w:val="24"/>
        </w:rPr>
      </w:pPr>
    </w:p>
    <w:p w14:paraId="7FAB58B7" w14:textId="29C0729E" w:rsidR="00536EA1" w:rsidRPr="00DF4638" w:rsidRDefault="00536EA1" w:rsidP="00536EA1">
      <w:pPr>
        <w:pStyle w:val="Sraopastraipa"/>
        <w:tabs>
          <w:tab w:val="left" w:pos="993"/>
          <w:tab w:val="left" w:pos="1040"/>
          <w:tab w:val="left" w:pos="1276"/>
        </w:tabs>
        <w:ind w:left="0" w:firstLine="720"/>
        <w:jc w:val="both"/>
        <w:rPr>
          <w:i/>
          <w:iCs/>
          <w:sz w:val="24"/>
          <w:szCs w:val="24"/>
        </w:rPr>
      </w:pPr>
      <w:r w:rsidRPr="00DF4638">
        <w:rPr>
          <w:i/>
          <w:iCs/>
          <w:sz w:val="24"/>
          <w:szCs w:val="24"/>
        </w:rPr>
        <w:t>Dėl kitų argumentų</w:t>
      </w:r>
    </w:p>
    <w:p w14:paraId="6B776FB2" w14:textId="77777777" w:rsidR="00536EA1" w:rsidRPr="00DF4638" w:rsidRDefault="00536EA1" w:rsidP="00536EA1">
      <w:pPr>
        <w:tabs>
          <w:tab w:val="left" w:pos="567"/>
          <w:tab w:val="left" w:pos="1134"/>
        </w:tabs>
        <w:spacing w:after="0" w:line="240" w:lineRule="auto"/>
        <w:contextualSpacing/>
        <w:jc w:val="both"/>
        <w:rPr>
          <w:rFonts w:ascii="Times New Roman" w:hAnsi="Times New Roman" w:cs="Times New Roman"/>
          <w:sz w:val="24"/>
          <w:szCs w:val="24"/>
          <w:lang w:val="lt-LT"/>
        </w:rPr>
      </w:pPr>
    </w:p>
    <w:p w14:paraId="6004EC62" w14:textId="77777777" w:rsidR="00536EA1" w:rsidRPr="00DF4638" w:rsidRDefault="00536EA1" w:rsidP="00536EA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DF4638">
        <w:rPr>
          <w:rFonts w:ascii="Times New Roman" w:hAnsi="Times New Roman" w:cs="Times New Roman"/>
          <w:sz w:val="24"/>
          <w:szCs w:val="24"/>
          <w:lang w:val="lt-LT"/>
        </w:rPr>
        <w:t xml:space="preserve"> Pirmosios instancijos teismas skundžiamame sprendime pažymėjo, kad Konkurencijos taryba visada žinojo apie notarų rinkos teisinį reguliavimą, apie byloje aktualių sandorių tvirtinimo notarinius įkainius, aktyviai dalyvavo notarinės rinkos stebėsenos procese ir tik po kelerių metų atliko </w:t>
      </w:r>
      <w:r w:rsidRPr="00DF4638">
        <w:rPr>
          <w:rFonts w:ascii="Times New Roman" w:hAnsi="Times New Roman" w:cs="Times New Roman"/>
          <w:sz w:val="24"/>
          <w:szCs w:val="24"/>
          <w:lang w:val="lt-LT"/>
        </w:rPr>
        <w:lastRenderedPageBreak/>
        <w:t>tyrimą prieš pareiškėjus, pakeisdama Konkurencijos tarybos atstovų pasisakymuose anksčiau išsakytas pozicijas, pavyzdžiui, jog notarai gali konkuruoti tik aptarnavimo kokybe, o liberalizavus paslaugų kainas, atsirastų galimybė konkuruoti ir kainomis.</w:t>
      </w:r>
    </w:p>
    <w:p w14:paraId="37ED5B05" w14:textId="77777777" w:rsidR="00536EA1" w:rsidRPr="00DF4638" w:rsidRDefault="00536EA1" w:rsidP="00536EA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DF4638">
        <w:rPr>
          <w:rFonts w:ascii="Times New Roman" w:hAnsi="Times New Roman" w:cs="Times New Roman"/>
          <w:sz w:val="24"/>
          <w:szCs w:val="24"/>
          <w:lang w:val="lt-LT"/>
        </w:rPr>
        <w:t xml:space="preserve"> Konkurencijos taryba apeliaciniame skunde, be kita ko, teigia, kad niekada nėra pasisakiusi dėl situacijos, kai Notarų rūmai priima Išaiškinimus, kuriais būtų keičiami Laikinuosiuose dydžiuose įtvirtinti atlyginimo dydžiai, be to, akcentuoja, kad Konkurencijos taryba žino apie Laikinuosius dydžius ir juose įtvirtintą reglamentavimą, tačiau Nutarime buvo nagrinėjamas ne reglamentavimas</w:t>
      </w:r>
      <w:r>
        <w:rPr>
          <w:rFonts w:ascii="Times New Roman" w:hAnsi="Times New Roman" w:cs="Times New Roman"/>
          <w:sz w:val="24"/>
          <w:szCs w:val="24"/>
          <w:lang w:val="lt-LT"/>
        </w:rPr>
        <w:t>,</w:t>
      </w:r>
      <w:r w:rsidRPr="00DF4638">
        <w:rPr>
          <w:rFonts w:ascii="Times New Roman" w:hAnsi="Times New Roman" w:cs="Times New Roman"/>
          <w:sz w:val="24"/>
          <w:szCs w:val="24"/>
          <w:lang w:val="lt-LT"/>
        </w:rPr>
        <w:t xml:space="preserve"> įtvirtintas Laikinuosiuose dydžiuose, o Notarų rūmų ir Notarų priimti Išaiškinimai, apie kuriuos Konkurencijos taryba neturėjo duomenų ir kurie buvo skelbiami vidiniame Notarų rūmų interneto puslapyje, prie kurio prisijungti galėjo tik prieigą turintys notarai.</w:t>
      </w:r>
    </w:p>
    <w:p w14:paraId="27C9AC7B" w14:textId="77777777" w:rsidR="00536EA1" w:rsidRPr="00DF4638" w:rsidRDefault="00536EA1" w:rsidP="00536EA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DF4638">
        <w:rPr>
          <w:rFonts w:ascii="Times New Roman" w:hAnsi="Times New Roman" w:cs="Times New Roman"/>
          <w:sz w:val="24"/>
          <w:szCs w:val="24"/>
          <w:lang w:val="lt-LT"/>
        </w:rPr>
        <w:t xml:space="preserve"> Atsiliepime į apeliacinį skundą pareiškėjai teigia, kad, įvertinus Konkurencijos tarybos veiksmus ir elgesį pareiškėjų atžvilgiu, įskaitant nesiėmimą veiksmų dėl tariamo pažeidimo, galima daryti išvadą, kad šie veiksmai, remiantis teisėtų lūkesčių apsaugos doktrina, sudarė pakankamą pagrindą suvokti, jog priežiūros institucija neturi pretenzijų konkrečios veiklos atžvilgiu, nepriklausomai nuo valstybės institucijos valios išreiškimo formos ir būdo.</w:t>
      </w:r>
    </w:p>
    <w:p w14:paraId="7EEAA01B" w14:textId="77777777" w:rsidR="00536EA1" w:rsidRPr="004114DD" w:rsidRDefault="00536EA1" w:rsidP="00536EA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DF4638">
        <w:rPr>
          <w:rFonts w:ascii="Times New Roman" w:hAnsi="Times New Roman" w:cs="Times New Roman"/>
          <w:sz w:val="24"/>
          <w:szCs w:val="24"/>
          <w:lang w:val="lt-LT"/>
        </w:rPr>
        <w:t xml:space="preserve"> Išplėstinės teisėjų kolegijos vertinimu, tokio pobūdžio abstraktūs pasisakymai apie bendrą situaciją notarinių paslaugų rinkoje, buvusią atitinkamų pasisakymų metu, negali būti vertinami kaip pakankamai tikslus ir besąlygiškas vertinimas, kad notarinių paslaugų rinkoje konkurencija kainomis neegzistuoja jokiais atvejais, o Konkurencijos įstatymas notarams netaikytinas, be to, nurodyti pasisakymai nėra susiję su šioje byloje susiklosčiusia situacija, kai buvo priimti Notarų rūm</w:t>
      </w:r>
      <w:r>
        <w:rPr>
          <w:rFonts w:ascii="Times New Roman" w:hAnsi="Times New Roman" w:cs="Times New Roman"/>
          <w:sz w:val="24"/>
          <w:szCs w:val="24"/>
          <w:lang w:val="lt-LT"/>
        </w:rPr>
        <w:t>ų</w:t>
      </w:r>
      <w:r w:rsidRPr="00DF4638">
        <w:rPr>
          <w:rFonts w:ascii="Times New Roman" w:hAnsi="Times New Roman" w:cs="Times New Roman"/>
          <w:sz w:val="24"/>
          <w:szCs w:val="24"/>
          <w:lang w:val="lt-LT"/>
        </w:rPr>
        <w:t xml:space="preserve"> </w:t>
      </w:r>
      <w:r>
        <w:rPr>
          <w:rFonts w:ascii="Times New Roman" w:hAnsi="Times New Roman" w:cs="Times New Roman"/>
          <w:sz w:val="24"/>
          <w:szCs w:val="24"/>
          <w:lang w:val="lt-LT"/>
        </w:rPr>
        <w:t>I</w:t>
      </w:r>
      <w:r w:rsidRPr="00DF4638">
        <w:rPr>
          <w:rFonts w:ascii="Times New Roman" w:hAnsi="Times New Roman" w:cs="Times New Roman"/>
          <w:sz w:val="24"/>
          <w:szCs w:val="24"/>
          <w:lang w:val="lt-LT"/>
        </w:rPr>
        <w:t xml:space="preserve">šaiškinimai dėl notarų atlyginimo tais atvejais, kurių Laikinieji dydžiai konkrečiai nereglamentuoja. </w:t>
      </w:r>
      <w:r w:rsidRPr="004443D5">
        <w:rPr>
          <w:rFonts w:ascii="Times New Roman" w:hAnsi="Times New Roman" w:cs="Times New Roman"/>
          <w:sz w:val="24"/>
          <w:szCs w:val="24"/>
          <w:lang w:val="lt-LT"/>
        </w:rPr>
        <w:t xml:space="preserve">Atsižvelgiant į tai, konstatuotina, kad šie pareiškėjų argumentai, susiję su Konkurencijos tarybos viešais pasisakymais, </w:t>
      </w:r>
      <w:r w:rsidRPr="004114DD">
        <w:rPr>
          <w:rFonts w:ascii="Times New Roman" w:hAnsi="Times New Roman" w:cs="Times New Roman"/>
          <w:sz w:val="24"/>
          <w:szCs w:val="24"/>
          <w:lang w:val="lt-LT"/>
        </w:rPr>
        <w:t>nesudaro pagrindo naikinti ginčijamą Nutarimą ar juo Notarų rūmams paskirtą baudą.</w:t>
      </w:r>
    </w:p>
    <w:p w14:paraId="0A0D1935" w14:textId="4FCA7891" w:rsidR="00536EA1" w:rsidRPr="004114DD" w:rsidRDefault="00536EA1" w:rsidP="00536EA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4114DD">
        <w:rPr>
          <w:rFonts w:ascii="Times New Roman" w:hAnsi="Times New Roman" w:cs="Times New Roman"/>
          <w:sz w:val="24"/>
          <w:szCs w:val="24"/>
          <w:lang w:val="lt-LT"/>
        </w:rPr>
        <w:t xml:space="preserve"> Apeliaciniame skunde Konkurencijos taryba taip pat </w:t>
      </w:r>
      <w:r w:rsidR="008275AB">
        <w:rPr>
          <w:rFonts w:ascii="Times New Roman" w:hAnsi="Times New Roman" w:cs="Times New Roman"/>
          <w:sz w:val="24"/>
          <w:szCs w:val="24"/>
          <w:lang w:val="lt-LT"/>
        </w:rPr>
        <w:t>nurodo</w:t>
      </w:r>
      <w:r w:rsidRPr="004114DD">
        <w:rPr>
          <w:rFonts w:ascii="Times New Roman" w:hAnsi="Times New Roman" w:cs="Times New Roman"/>
          <w:sz w:val="24"/>
          <w:szCs w:val="24"/>
          <w:lang w:val="lt-LT"/>
        </w:rPr>
        <w:t>, kad pirmosios instancijos teismo pastebėjimai, susiję su Nutarimo rezoliucinės dalies 4 punktu, nėra reikšmingi šios bylos vertinimui.</w:t>
      </w:r>
    </w:p>
    <w:p w14:paraId="338CC139" w14:textId="77777777" w:rsidR="00536EA1" w:rsidRPr="004114DD" w:rsidRDefault="00536EA1" w:rsidP="00536EA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4114DD">
        <w:rPr>
          <w:rFonts w:ascii="Times New Roman" w:hAnsi="Times New Roman" w:cs="Times New Roman"/>
          <w:sz w:val="24"/>
          <w:szCs w:val="24"/>
          <w:lang w:val="lt-LT"/>
        </w:rPr>
        <w:t xml:space="preserve"> Šiuo aspektu pažymėtina, kad Nutarimo rezoliucinės dalies 4 punktas, kuriuo nutarta kreiptis į Lietuvos Respublikos Vyriausybę su siūlymu inicijuoti Notariato įstatymo 19 straipsnio pakeitimą, nebuvo skundžiamas nagrinėjamoje byloje, ir, išplėstinės teisėjų kolegijos vertinimu, šis punktas savo turiniu nėra susijęs su nagrinėjama byla dėl draudžiamo susitarimo taip, kad galėtų turėti įtakos nagrinėjamos bylos baigčiai, todėl išplėstinė teisėjų kolegija plačiau dėl Nutarimo rezoliucinės dalies 4 punkto nepasisako. </w:t>
      </w:r>
    </w:p>
    <w:p w14:paraId="39DD7FAC" w14:textId="77777777" w:rsidR="00536EA1" w:rsidRPr="004114DD" w:rsidRDefault="00536EA1" w:rsidP="00536EA1">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4114DD">
        <w:rPr>
          <w:rFonts w:ascii="Times New Roman" w:hAnsi="Times New Roman" w:cs="Times New Roman"/>
          <w:sz w:val="24"/>
          <w:szCs w:val="24"/>
          <w:lang w:val="lt-LT"/>
        </w:rPr>
        <w:t xml:space="preserve"> Kiti Konkurencijos tarybos apeliacinio skundo argumentai neturi reikšmės galutinei procesinei bylos baigčiai, todėl išplėstinė teisėjų kolegija dėl jų nepasisako.</w:t>
      </w:r>
    </w:p>
    <w:p w14:paraId="3E62944B" w14:textId="4A8FC214" w:rsidR="00271F1C" w:rsidRPr="00271F1C" w:rsidRDefault="00536EA1" w:rsidP="00D74BBB">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1D1CC3">
        <w:rPr>
          <w:rFonts w:ascii="Times New Roman" w:hAnsi="Times New Roman" w:cs="Times New Roman"/>
          <w:sz w:val="24"/>
          <w:szCs w:val="24"/>
          <w:lang w:val="lt-LT"/>
        </w:rPr>
        <w:t xml:space="preserve"> </w:t>
      </w:r>
      <w:r w:rsidRPr="001D1CC3">
        <w:rPr>
          <w:rFonts w:ascii="Times New Roman" w:eastAsia="Times New Roman" w:hAnsi="Times New Roman" w:cs="Times New Roman"/>
          <w:sz w:val="24"/>
          <w:szCs w:val="24"/>
          <w:lang w:val="lt-LT"/>
        </w:rPr>
        <w:t>Apibendrin</w:t>
      </w:r>
      <w:r w:rsidR="00B17F3B">
        <w:rPr>
          <w:rFonts w:ascii="Times New Roman" w:eastAsia="Times New Roman" w:hAnsi="Times New Roman" w:cs="Times New Roman"/>
          <w:sz w:val="24"/>
          <w:szCs w:val="24"/>
          <w:lang w:val="lt-LT"/>
        </w:rPr>
        <w:t>dama</w:t>
      </w:r>
      <w:r w:rsidRPr="001D1CC3">
        <w:rPr>
          <w:rFonts w:ascii="Times New Roman" w:eastAsia="Times New Roman" w:hAnsi="Times New Roman" w:cs="Times New Roman"/>
          <w:sz w:val="24"/>
          <w:szCs w:val="24"/>
          <w:lang w:val="lt-LT"/>
        </w:rPr>
        <w:t xml:space="preserve"> išdėstytus argumentus, </w:t>
      </w:r>
      <w:r w:rsidR="00A6033C">
        <w:rPr>
          <w:rFonts w:ascii="Times New Roman" w:eastAsia="Times New Roman" w:hAnsi="Times New Roman" w:cs="Times New Roman"/>
          <w:sz w:val="24"/>
          <w:szCs w:val="24"/>
          <w:lang w:val="lt-LT"/>
        </w:rPr>
        <w:t xml:space="preserve">išplėstinė teisėjų kolegija </w:t>
      </w:r>
      <w:r w:rsidRPr="001D1CC3">
        <w:rPr>
          <w:rFonts w:ascii="Times New Roman" w:eastAsia="Times New Roman" w:hAnsi="Times New Roman" w:cs="Times New Roman"/>
          <w:sz w:val="24"/>
          <w:szCs w:val="24"/>
          <w:lang w:val="lt-LT"/>
        </w:rPr>
        <w:t>konstatuo</w:t>
      </w:r>
      <w:r w:rsidR="00A6033C">
        <w:rPr>
          <w:rFonts w:ascii="Times New Roman" w:eastAsia="Times New Roman" w:hAnsi="Times New Roman" w:cs="Times New Roman"/>
          <w:sz w:val="24"/>
          <w:szCs w:val="24"/>
          <w:lang w:val="lt-LT"/>
        </w:rPr>
        <w:t>ja</w:t>
      </w:r>
      <w:r w:rsidRPr="001D1CC3">
        <w:rPr>
          <w:rFonts w:ascii="Times New Roman" w:eastAsia="Times New Roman" w:hAnsi="Times New Roman" w:cs="Times New Roman"/>
          <w:sz w:val="24"/>
          <w:szCs w:val="24"/>
          <w:lang w:val="lt-LT"/>
        </w:rPr>
        <w:t xml:space="preserve">, kad Nutarime pagrįstai pripažinta, jog Notarų rūmai, priimdami Išaiškinimus, pažeidė Konkurencijos įstatymo 5 straipsnio 1 dalies 1 punktą ir SESV 101 straipsnio 1 dalies 1 punktą, tačiau nepagrįstai nuspręsta, kad tokį pažeidimą padarė Prezidiumo nariai. Todėl apeliacinis skundas tenkinamas iš dalies, o pirmosios instancijos teismo sprendimas keičiamas – pareiškėjo Notarų rūmų skundas atmetamas, pareiškėjų </w:t>
      </w:r>
      <w:bookmarkStart w:id="132" w:name="Buk_78"/>
      <w:r w:rsidR="00756415" w:rsidRPr="00E3423E">
        <w:rPr>
          <w:rFonts w:ascii="Times New Roman" w:eastAsia="Times New Roman" w:hAnsi="Times New Roman" w:cs="Times New Roman"/>
          <w:sz w:val="24"/>
          <w:szCs w:val="24"/>
          <w:lang w:val="lt-LT"/>
        </w:rPr>
        <w:t>M. S.</w:t>
      </w:r>
      <w:bookmarkEnd w:id="132"/>
      <w:r w:rsidRPr="001D1CC3">
        <w:rPr>
          <w:rFonts w:ascii="Times New Roman" w:eastAsia="Times New Roman" w:hAnsi="Times New Roman" w:cs="Times New Roman"/>
          <w:sz w:val="24"/>
          <w:szCs w:val="24"/>
          <w:lang w:val="lt-LT"/>
        </w:rPr>
        <w:t xml:space="preserve">, </w:t>
      </w:r>
      <w:bookmarkStart w:id="133" w:name="Buk_114"/>
      <w:r w:rsidR="00756415" w:rsidRPr="00E3423E">
        <w:rPr>
          <w:rFonts w:ascii="Times New Roman" w:eastAsia="Times New Roman" w:hAnsi="Times New Roman" w:cs="Times New Roman"/>
          <w:sz w:val="24"/>
          <w:szCs w:val="24"/>
          <w:lang w:val="lt-LT"/>
        </w:rPr>
        <w:t>S. Š.</w:t>
      </w:r>
      <w:bookmarkEnd w:id="133"/>
      <w:r w:rsidRPr="001D1CC3">
        <w:rPr>
          <w:rFonts w:ascii="Times New Roman" w:eastAsia="Times New Roman" w:hAnsi="Times New Roman" w:cs="Times New Roman"/>
          <w:sz w:val="24"/>
          <w:szCs w:val="24"/>
          <w:lang w:val="lt-LT"/>
        </w:rPr>
        <w:t xml:space="preserve">, </w:t>
      </w:r>
      <w:bookmarkStart w:id="134" w:name="Buk_51"/>
      <w:r w:rsidR="00756415" w:rsidRPr="00E3423E">
        <w:rPr>
          <w:rFonts w:ascii="Times New Roman" w:eastAsia="Times New Roman" w:hAnsi="Times New Roman" w:cs="Times New Roman"/>
          <w:sz w:val="24"/>
          <w:szCs w:val="24"/>
          <w:lang w:val="lt-LT"/>
        </w:rPr>
        <w:t>D. V.</w:t>
      </w:r>
      <w:bookmarkEnd w:id="134"/>
      <w:r w:rsidRPr="001D1CC3">
        <w:rPr>
          <w:rFonts w:ascii="Times New Roman" w:eastAsia="Times New Roman" w:hAnsi="Times New Roman" w:cs="Times New Roman"/>
          <w:sz w:val="24"/>
          <w:szCs w:val="24"/>
          <w:lang w:val="lt-LT"/>
        </w:rPr>
        <w:t xml:space="preserve">, </w:t>
      </w:r>
      <w:bookmarkStart w:id="135" w:name="Buk_137"/>
      <w:r w:rsidR="00756415" w:rsidRPr="00E3423E">
        <w:rPr>
          <w:rFonts w:ascii="Times New Roman" w:eastAsia="Times New Roman" w:hAnsi="Times New Roman" w:cs="Times New Roman"/>
          <w:sz w:val="24"/>
          <w:szCs w:val="24"/>
          <w:lang w:val="lt-LT"/>
        </w:rPr>
        <w:t>V. P.</w:t>
      </w:r>
      <w:bookmarkEnd w:id="135"/>
      <w:r w:rsidRPr="001D1CC3">
        <w:rPr>
          <w:rFonts w:ascii="Times New Roman" w:eastAsia="Times New Roman" w:hAnsi="Times New Roman" w:cs="Times New Roman"/>
          <w:sz w:val="24"/>
          <w:szCs w:val="24"/>
          <w:lang w:val="lt-LT"/>
        </w:rPr>
        <w:t xml:space="preserve">, </w:t>
      </w:r>
      <w:bookmarkStart w:id="136" w:name="Buk_71"/>
      <w:r w:rsidR="00756415" w:rsidRPr="00E3423E">
        <w:rPr>
          <w:rFonts w:ascii="Times New Roman" w:eastAsia="Times New Roman" w:hAnsi="Times New Roman" w:cs="Times New Roman"/>
          <w:sz w:val="24"/>
          <w:szCs w:val="24"/>
          <w:lang w:val="lt-LT"/>
        </w:rPr>
        <w:t>J. P.</w:t>
      </w:r>
      <w:bookmarkEnd w:id="136"/>
      <w:r w:rsidRPr="001D1CC3">
        <w:rPr>
          <w:rFonts w:ascii="Times New Roman" w:eastAsia="Times New Roman" w:hAnsi="Times New Roman" w:cs="Times New Roman"/>
          <w:sz w:val="24"/>
          <w:szCs w:val="24"/>
          <w:lang w:val="lt-LT"/>
        </w:rPr>
        <w:t xml:space="preserve">, </w:t>
      </w:r>
      <w:bookmarkStart w:id="137" w:name="Buk_44"/>
      <w:r w:rsidR="00756415" w:rsidRPr="00E3423E">
        <w:rPr>
          <w:rFonts w:ascii="Times New Roman" w:eastAsia="Times New Roman" w:hAnsi="Times New Roman" w:cs="Times New Roman"/>
          <w:sz w:val="24"/>
          <w:szCs w:val="24"/>
          <w:lang w:val="lt-LT"/>
        </w:rPr>
        <w:t>D. L.</w:t>
      </w:r>
      <w:bookmarkEnd w:id="137"/>
      <w:r w:rsidRPr="001D1CC3">
        <w:rPr>
          <w:rFonts w:ascii="Times New Roman" w:eastAsia="Times New Roman" w:hAnsi="Times New Roman" w:cs="Times New Roman"/>
          <w:sz w:val="24"/>
          <w:szCs w:val="24"/>
          <w:lang w:val="lt-LT"/>
        </w:rPr>
        <w:t>-B</w:t>
      </w:r>
      <w:r w:rsidR="00E3423E">
        <w:rPr>
          <w:rFonts w:ascii="Times New Roman" w:eastAsia="Times New Roman" w:hAnsi="Times New Roman" w:cs="Times New Roman"/>
          <w:sz w:val="24"/>
          <w:szCs w:val="24"/>
          <w:lang w:val="lt-LT"/>
        </w:rPr>
        <w:t>.</w:t>
      </w:r>
      <w:r w:rsidRPr="001D1CC3">
        <w:rPr>
          <w:rFonts w:ascii="Times New Roman" w:eastAsia="Times New Roman" w:hAnsi="Times New Roman" w:cs="Times New Roman"/>
          <w:sz w:val="24"/>
          <w:szCs w:val="24"/>
          <w:lang w:val="lt-LT"/>
        </w:rPr>
        <w:t xml:space="preserve">, </w:t>
      </w:r>
      <w:bookmarkStart w:id="138" w:name="Buk_5"/>
      <w:r w:rsidR="00756415" w:rsidRPr="00E3423E">
        <w:rPr>
          <w:rFonts w:ascii="Times New Roman" w:eastAsia="Times New Roman" w:hAnsi="Times New Roman" w:cs="Times New Roman"/>
          <w:sz w:val="24"/>
          <w:szCs w:val="24"/>
          <w:lang w:val="lt-LT"/>
        </w:rPr>
        <w:t xml:space="preserve">D. P. </w:t>
      </w:r>
      <w:bookmarkEnd w:id="138"/>
      <w:r w:rsidRPr="001D1CC3">
        <w:rPr>
          <w:rFonts w:ascii="Times New Roman" w:eastAsia="Times New Roman" w:hAnsi="Times New Roman" w:cs="Times New Roman"/>
          <w:sz w:val="24"/>
          <w:szCs w:val="24"/>
          <w:lang w:val="lt-LT"/>
        </w:rPr>
        <w:t>ir R</w:t>
      </w:r>
      <w:r w:rsidR="00E3423E">
        <w:rPr>
          <w:rFonts w:ascii="Times New Roman" w:eastAsia="Times New Roman" w:hAnsi="Times New Roman" w:cs="Times New Roman"/>
          <w:sz w:val="24"/>
          <w:szCs w:val="24"/>
          <w:lang w:val="lt-LT"/>
        </w:rPr>
        <w:t>.</w:t>
      </w:r>
      <w:r w:rsidRPr="001D1CC3">
        <w:rPr>
          <w:rFonts w:ascii="Times New Roman" w:eastAsia="Times New Roman" w:hAnsi="Times New Roman" w:cs="Times New Roman"/>
          <w:sz w:val="24"/>
          <w:szCs w:val="24"/>
          <w:lang w:val="lt-LT"/>
        </w:rPr>
        <w:t xml:space="preserve"> </w:t>
      </w:r>
      <w:bookmarkStart w:id="139" w:name="Buk_104"/>
      <w:r w:rsidR="00756415" w:rsidRPr="00E3423E">
        <w:rPr>
          <w:rFonts w:ascii="Times New Roman" w:eastAsia="Times New Roman" w:hAnsi="Times New Roman" w:cs="Times New Roman"/>
          <w:sz w:val="24"/>
          <w:szCs w:val="24"/>
          <w:lang w:val="lt-LT"/>
        </w:rPr>
        <w:t xml:space="preserve">O. I. </w:t>
      </w:r>
      <w:bookmarkEnd w:id="139"/>
      <w:r w:rsidRPr="001D1CC3">
        <w:rPr>
          <w:rFonts w:ascii="Times New Roman" w:eastAsia="Times New Roman" w:hAnsi="Times New Roman" w:cs="Times New Roman"/>
          <w:sz w:val="24"/>
          <w:szCs w:val="24"/>
          <w:lang w:val="lt-LT"/>
        </w:rPr>
        <w:t xml:space="preserve">skundas tenkinamas, panaikinant Nutarimo dalį, kuria pareiškėjai </w:t>
      </w:r>
      <w:bookmarkStart w:id="140" w:name="Buk_85"/>
      <w:r w:rsidR="00756415" w:rsidRPr="00E3423E">
        <w:rPr>
          <w:rFonts w:ascii="Times New Roman" w:eastAsia="Times New Roman" w:hAnsi="Times New Roman" w:cs="Times New Roman"/>
          <w:sz w:val="24"/>
          <w:szCs w:val="24"/>
          <w:lang w:val="lt-LT"/>
        </w:rPr>
        <w:t>M. S.</w:t>
      </w:r>
      <w:bookmarkEnd w:id="140"/>
      <w:r w:rsidRPr="001D1CC3">
        <w:rPr>
          <w:rFonts w:ascii="Times New Roman" w:eastAsia="Times New Roman" w:hAnsi="Times New Roman" w:cs="Times New Roman"/>
          <w:sz w:val="24"/>
          <w:szCs w:val="24"/>
          <w:lang w:val="lt-LT"/>
        </w:rPr>
        <w:t xml:space="preserve">, </w:t>
      </w:r>
      <w:bookmarkStart w:id="141" w:name="Buk_115"/>
      <w:r w:rsidR="00756415" w:rsidRPr="00E3423E">
        <w:rPr>
          <w:rFonts w:ascii="Times New Roman" w:eastAsia="Times New Roman" w:hAnsi="Times New Roman" w:cs="Times New Roman"/>
          <w:sz w:val="24"/>
          <w:szCs w:val="24"/>
          <w:lang w:val="lt-LT"/>
        </w:rPr>
        <w:t>S. Š.</w:t>
      </w:r>
      <w:bookmarkEnd w:id="141"/>
      <w:r w:rsidRPr="001D1CC3">
        <w:rPr>
          <w:rFonts w:ascii="Times New Roman" w:eastAsia="Times New Roman" w:hAnsi="Times New Roman" w:cs="Times New Roman"/>
          <w:sz w:val="24"/>
          <w:szCs w:val="24"/>
          <w:lang w:val="lt-LT"/>
        </w:rPr>
        <w:t xml:space="preserve">, </w:t>
      </w:r>
      <w:bookmarkStart w:id="142" w:name="Buk_34"/>
      <w:r w:rsidR="00756415" w:rsidRPr="00E3423E">
        <w:rPr>
          <w:rFonts w:ascii="Times New Roman" w:eastAsia="Times New Roman" w:hAnsi="Times New Roman" w:cs="Times New Roman"/>
          <w:sz w:val="24"/>
          <w:szCs w:val="24"/>
          <w:lang w:val="lt-LT"/>
        </w:rPr>
        <w:t>D. V.</w:t>
      </w:r>
      <w:bookmarkEnd w:id="142"/>
      <w:r w:rsidRPr="001D1CC3">
        <w:rPr>
          <w:rFonts w:ascii="Times New Roman" w:eastAsia="Times New Roman" w:hAnsi="Times New Roman" w:cs="Times New Roman"/>
          <w:sz w:val="24"/>
          <w:szCs w:val="24"/>
          <w:lang w:val="lt-LT"/>
        </w:rPr>
        <w:t xml:space="preserve">, </w:t>
      </w:r>
      <w:bookmarkStart w:id="143" w:name="Buk_128"/>
      <w:r w:rsidR="00756415" w:rsidRPr="00E3423E">
        <w:rPr>
          <w:rFonts w:ascii="Times New Roman" w:eastAsia="Times New Roman" w:hAnsi="Times New Roman" w:cs="Times New Roman"/>
          <w:sz w:val="24"/>
          <w:szCs w:val="24"/>
          <w:lang w:val="lt-LT"/>
        </w:rPr>
        <w:t>V. P.</w:t>
      </w:r>
      <w:bookmarkEnd w:id="143"/>
      <w:r w:rsidRPr="001D1CC3">
        <w:rPr>
          <w:rFonts w:ascii="Times New Roman" w:eastAsia="Times New Roman" w:hAnsi="Times New Roman" w:cs="Times New Roman"/>
          <w:sz w:val="24"/>
          <w:szCs w:val="24"/>
          <w:lang w:val="lt-LT"/>
        </w:rPr>
        <w:t xml:space="preserve">, </w:t>
      </w:r>
      <w:bookmarkStart w:id="144" w:name="Buk_62"/>
      <w:r w:rsidR="00756415" w:rsidRPr="00E3423E">
        <w:rPr>
          <w:rFonts w:ascii="Times New Roman" w:eastAsia="Times New Roman" w:hAnsi="Times New Roman" w:cs="Times New Roman"/>
          <w:sz w:val="24"/>
          <w:szCs w:val="24"/>
          <w:lang w:val="lt-LT"/>
        </w:rPr>
        <w:t>J. P.</w:t>
      </w:r>
      <w:bookmarkEnd w:id="144"/>
      <w:r w:rsidRPr="001D1CC3">
        <w:rPr>
          <w:rFonts w:ascii="Times New Roman" w:eastAsia="Times New Roman" w:hAnsi="Times New Roman" w:cs="Times New Roman"/>
          <w:sz w:val="24"/>
          <w:szCs w:val="24"/>
          <w:lang w:val="lt-LT"/>
        </w:rPr>
        <w:t xml:space="preserve">, </w:t>
      </w:r>
      <w:bookmarkStart w:id="145" w:name="Buk_22"/>
      <w:r w:rsidR="00756415" w:rsidRPr="00E3423E">
        <w:rPr>
          <w:rFonts w:ascii="Times New Roman" w:eastAsia="Times New Roman" w:hAnsi="Times New Roman" w:cs="Times New Roman"/>
          <w:sz w:val="24"/>
          <w:szCs w:val="24"/>
          <w:lang w:val="lt-LT"/>
        </w:rPr>
        <w:t>D. L.</w:t>
      </w:r>
      <w:bookmarkEnd w:id="145"/>
      <w:r w:rsidRPr="001D1CC3">
        <w:rPr>
          <w:rFonts w:ascii="Times New Roman" w:eastAsia="Times New Roman" w:hAnsi="Times New Roman" w:cs="Times New Roman"/>
          <w:sz w:val="24"/>
          <w:szCs w:val="24"/>
          <w:lang w:val="lt-LT"/>
        </w:rPr>
        <w:t>-B</w:t>
      </w:r>
      <w:r w:rsidR="00E3423E">
        <w:rPr>
          <w:rFonts w:ascii="Times New Roman" w:eastAsia="Times New Roman" w:hAnsi="Times New Roman" w:cs="Times New Roman"/>
          <w:sz w:val="24"/>
          <w:szCs w:val="24"/>
          <w:lang w:val="lt-LT"/>
        </w:rPr>
        <w:t>.</w:t>
      </w:r>
      <w:r w:rsidRPr="001D1CC3">
        <w:rPr>
          <w:rFonts w:ascii="Times New Roman" w:eastAsia="Times New Roman" w:hAnsi="Times New Roman" w:cs="Times New Roman"/>
          <w:sz w:val="24"/>
          <w:szCs w:val="24"/>
          <w:lang w:val="lt-LT"/>
        </w:rPr>
        <w:t xml:space="preserve">, </w:t>
      </w:r>
      <w:bookmarkStart w:id="146" w:name="Buk_12"/>
      <w:r w:rsidR="00756415" w:rsidRPr="00E3423E">
        <w:rPr>
          <w:rFonts w:ascii="Times New Roman" w:eastAsia="Times New Roman" w:hAnsi="Times New Roman" w:cs="Times New Roman"/>
          <w:sz w:val="24"/>
          <w:szCs w:val="24"/>
          <w:lang w:val="lt-LT"/>
        </w:rPr>
        <w:t xml:space="preserve">D. P. </w:t>
      </w:r>
      <w:bookmarkEnd w:id="146"/>
      <w:r w:rsidRPr="001D1CC3">
        <w:rPr>
          <w:rFonts w:ascii="Times New Roman" w:eastAsia="Times New Roman" w:hAnsi="Times New Roman" w:cs="Times New Roman"/>
          <w:sz w:val="24"/>
          <w:szCs w:val="24"/>
          <w:lang w:val="lt-LT"/>
        </w:rPr>
        <w:t>ir R</w:t>
      </w:r>
      <w:r w:rsidR="00E3423E">
        <w:rPr>
          <w:rFonts w:ascii="Times New Roman" w:eastAsia="Times New Roman" w:hAnsi="Times New Roman" w:cs="Times New Roman"/>
          <w:sz w:val="24"/>
          <w:szCs w:val="24"/>
          <w:lang w:val="lt-LT"/>
        </w:rPr>
        <w:t>.</w:t>
      </w:r>
      <w:r w:rsidRPr="001D1CC3">
        <w:rPr>
          <w:rFonts w:ascii="Times New Roman" w:eastAsia="Times New Roman" w:hAnsi="Times New Roman" w:cs="Times New Roman"/>
          <w:sz w:val="24"/>
          <w:szCs w:val="24"/>
          <w:lang w:val="lt-LT"/>
        </w:rPr>
        <w:t xml:space="preserve"> </w:t>
      </w:r>
      <w:bookmarkStart w:id="147" w:name="Buk_95"/>
      <w:r w:rsidR="00756415" w:rsidRPr="00E3423E">
        <w:rPr>
          <w:rFonts w:ascii="Times New Roman" w:eastAsia="Times New Roman" w:hAnsi="Times New Roman" w:cs="Times New Roman"/>
          <w:sz w:val="24"/>
          <w:szCs w:val="24"/>
          <w:lang w:val="lt-LT"/>
        </w:rPr>
        <w:t xml:space="preserve">O. I. </w:t>
      </w:r>
      <w:bookmarkEnd w:id="147"/>
      <w:r w:rsidRPr="001D1CC3">
        <w:rPr>
          <w:rFonts w:ascii="Times New Roman" w:eastAsia="Times New Roman" w:hAnsi="Times New Roman" w:cs="Times New Roman"/>
          <w:sz w:val="24"/>
          <w:szCs w:val="24"/>
          <w:lang w:val="lt-LT"/>
        </w:rPr>
        <w:t>pripažinti pažeidę Lietuvos Respublikos konkurencijos įstatymo 5 straipsnio 1 dalies 1 punktą ir Sutarties dėl Europos Sąjungos veikimo 101 straipsnio 1 dalies a punktą, jie įpareigoti nutraukti pažeidimą, jei jis vis dar tęsiamas, ir jiems skirtos baudos.</w:t>
      </w:r>
    </w:p>
    <w:p w14:paraId="35E76107" w14:textId="77777777" w:rsidR="00271F1C" w:rsidRDefault="00271F1C" w:rsidP="00271F1C">
      <w:pPr>
        <w:tabs>
          <w:tab w:val="left" w:pos="567"/>
          <w:tab w:val="left" w:pos="1134"/>
        </w:tabs>
        <w:spacing w:after="0" w:line="240" w:lineRule="auto"/>
        <w:ind w:left="709"/>
        <w:contextualSpacing/>
        <w:jc w:val="both"/>
        <w:rPr>
          <w:rFonts w:ascii="Times New Roman" w:hAnsi="Times New Roman" w:cs="Times New Roman"/>
          <w:i/>
          <w:iCs/>
          <w:sz w:val="24"/>
          <w:szCs w:val="24"/>
          <w:lang w:val="lt-LT"/>
        </w:rPr>
      </w:pPr>
    </w:p>
    <w:p w14:paraId="141970CA" w14:textId="66DFE1D4" w:rsidR="00D74BBB" w:rsidRDefault="00D74BBB" w:rsidP="00271F1C">
      <w:pPr>
        <w:tabs>
          <w:tab w:val="left" w:pos="567"/>
          <w:tab w:val="left" w:pos="1134"/>
        </w:tabs>
        <w:spacing w:after="0" w:line="240" w:lineRule="auto"/>
        <w:ind w:left="709"/>
        <w:contextualSpacing/>
        <w:jc w:val="both"/>
        <w:rPr>
          <w:rFonts w:ascii="Times New Roman" w:hAnsi="Times New Roman" w:cs="Times New Roman"/>
          <w:i/>
          <w:iCs/>
          <w:sz w:val="24"/>
          <w:szCs w:val="24"/>
          <w:lang w:val="lt-LT"/>
        </w:rPr>
      </w:pPr>
      <w:r w:rsidRPr="00D74BBB">
        <w:rPr>
          <w:rFonts w:ascii="Times New Roman" w:hAnsi="Times New Roman" w:cs="Times New Roman"/>
          <w:i/>
          <w:iCs/>
          <w:sz w:val="24"/>
          <w:szCs w:val="24"/>
          <w:lang w:val="lt-LT"/>
        </w:rPr>
        <w:t>Dėl bylinėjimosi išlaidų</w:t>
      </w:r>
    </w:p>
    <w:p w14:paraId="7FABE546" w14:textId="77777777" w:rsidR="00271F1C" w:rsidRDefault="00271F1C" w:rsidP="00271F1C">
      <w:pPr>
        <w:tabs>
          <w:tab w:val="left" w:pos="567"/>
          <w:tab w:val="left" w:pos="1134"/>
        </w:tabs>
        <w:spacing w:after="0" w:line="240" w:lineRule="auto"/>
        <w:ind w:left="709"/>
        <w:contextualSpacing/>
        <w:jc w:val="both"/>
        <w:rPr>
          <w:rFonts w:ascii="Times New Roman" w:hAnsi="Times New Roman" w:cs="Times New Roman"/>
          <w:sz w:val="24"/>
          <w:szCs w:val="24"/>
          <w:lang w:val="lt-LT"/>
        </w:rPr>
      </w:pPr>
    </w:p>
    <w:p w14:paraId="5A5B1290" w14:textId="77777777" w:rsidR="004372DE" w:rsidRDefault="00D74BBB" w:rsidP="004372DE">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Pr="00D74BBB">
        <w:rPr>
          <w:rFonts w:ascii="Times New Roman" w:eastAsia="Times New Roman" w:hAnsi="Times New Roman" w:cs="Times New Roman"/>
          <w:sz w:val="24"/>
          <w:szCs w:val="24"/>
          <w:lang w:val="lt-LT"/>
        </w:rPr>
        <w:t>Vadovaujantis ABTĮ 40 straipsnio 1 dalimi, proceso šalis, kurios naudai priimtas sprendimas, turi teisę gauti iš kitos proceso šalies savo išlaidų atlyginimą.</w:t>
      </w:r>
    </w:p>
    <w:p w14:paraId="1D2BD5AA" w14:textId="77777777" w:rsidR="003E78C7" w:rsidRDefault="004372DE" w:rsidP="003E78C7">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74BBB" w:rsidRPr="004372DE">
        <w:rPr>
          <w:rFonts w:ascii="Times New Roman" w:eastAsia="Times New Roman" w:hAnsi="Times New Roman" w:cs="Times New Roman"/>
          <w:sz w:val="24"/>
          <w:szCs w:val="24"/>
          <w:lang w:val="lt-LT"/>
        </w:rPr>
        <w:t>Pareiškėjai pateikė prašymą priteisti 9 692,10 Eur jiems iš atsakovo bylinėjimosi išlaidų, patirtų apeliacinės instancijos teisme (9 075 Eur už pirmosios instancijos teismo sprendimo analizavimą, atsakovo apeliacinio skundo analizavimą, atsiliepimo projekto rengimą ir derinimą su klientais, klientų konsultavimą apeliacinės instancijos teisme; 617,10 Eur už prašymo dėl reikalavimo užtikrinimo priemonių parengimą).</w:t>
      </w:r>
    </w:p>
    <w:p w14:paraId="50CFCCB7" w14:textId="1B9E6E43" w:rsidR="003D238E" w:rsidRPr="003D238E" w:rsidRDefault="003E78C7" w:rsidP="00B90C77">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sidRPr="003D238E">
        <w:rPr>
          <w:rFonts w:ascii="Times New Roman" w:hAnsi="Times New Roman" w:cs="Times New Roman"/>
          <w:sz w:val="24"/>
          <w:szCs w:val="24"/>
          <w:lang w:val="lt-LT"/>
        </w:rPr>
        <w:t xml:space="preserve"> </w:t>
      </w:r>
      <w:r w:rsidR="00D74BBB" w:rsidRPr="003D238E">
        <w:rPr>
          <w:rFonts w:ascii="Times New Roman" w:eastAsia="Times New Roman" w:hAnsi="Times New Roman" w:cs="Times New Roman"/>
          <w:sz w:val="24"/>
          <w:szCs w:val="24"/>
          <w:lang w:val="lt-LT"/>
        </w:rPr>
        <w:t xml:space="preserve">Nagrinėjamu atveju galutinis teismo sprendimas priimtas pareiškėjų </w:t>
      </w:r>
      <w:bookmarkStart w:id="148" w:name="Buk_79"/>
      <w:r w:rsidR="00756415" w:rsidRPr="00E3423E">
        <w:rPr>
          <w:rFonts w:ascii="Times New Roman" w:eastAsia="Times New Roman" w:hAnsi="Times New Roman" w:cs="Times New Roman"/>
          <w:sz w:val="24"/>
          <w:szCs w:val="24"/>
          <w:lang w:val="lt-LT"/>
        </w:rPr>
        <w:t>M. S.</w:t>
      </w:r>
      <w:bookmarkEnd w:id="148"/>
      <w:r w:rsidR="00D74BBB" w:rsidRPr="003D238E">
        <w:rPr>
          <w:rFonts w:ascii="Times New Roman" w:eastAsia="Times New Roman" w:hAnsi="Times New Roman" w:cs="Times New Roman"/>
          <w:sz w:val="24"/>
          <w:szCs w:val="24"/>
          <w:lang w:val="lt-LT"/>
        </w:rPr>
        <w:t xml:space="preserve">, </w:t>
      </w:r>
      <w:bookmarkStart w:id="149" w:name="Buk_116"/>
      <w:r w:rsidR="00756415" w:rsidRPr="00E3423E">
        <w:rPr>
          <w:rFonts w:ascii="Times New Roman" w:eastAsia="Times New Roman" w:hAnsi="Times New Roman" w:cs="Times New Roman"/>
          <w:sz w:val="24"/>
          <w:szCs w:val="24"/>
          <w:lang w:val="lt-LT"/>
        </w:rPr>
        <w:t>S. Š.</w:t>
      </w:r>
      <w:bookmarkEnd w:id="149"/>
      <w:r w:rsidR="00D74BBB" w:rsidRPr="003D238E">
        <w:rPr>
          <w:rFonts w:ascii="Times New Roman" w:eastAsia="Times New Roman" w:hAnsi="Times New Roman" w:cs="Times New Roman"/>
          <w:sz w:val="24"/>
          <w:szCs w:val="24"/>
          <w:lang w:val="lt-LT"/>
        </w:rPr>
        <w:t xml:space="preserve">, </w:t>
      </w:r>
      <w:bookmarkStart w:id="150" w:name="Buk_52"/>
      <w:r w:rsidR="00756415" w:rsidRPr="00E3423E">
        <w:rPr>
          <w:rFonts w:ascii="Times New Roman" w:eastAsia="Times New Roman" w:hAnsi="Times New Roman" w:cs="Times New Roman"/>
          <w:sz w:val="24"/>
          <w:szCs w:val="24"/>
          <w:lang w:val="lt-LT"/>
        </w:rPr>
        <w:t>D. V.</w:t>
      </w:r>
      <w:bookmarkEnd w:id="150"/>
      <w:r w:rsidR="00D74BBB" w:rsidRPr="003D238E">
        <w:rPr>
          <w:rFonts w:ascii="Times New Roman" w:eastAsia="Times New Roman" w:hAnsi="Times New Roman" w:cs="Times New Roman"/>
          <w:sz w:val="24"/>
          <w:szCs w:val="24"/>
          <w:lang w:val="lt-LT"/>
        </w:rPr>
        <w:t xml:space="preserve">, </w:t>
      </w:r>
      <w:bookmarkStart w:id="151" w:name="Buk_138"/>
      <w:r w:rsidR="00756415" w:rsidRPr="00E3423E">
        <w:rPr>
          <w:rFonts w:ascii="Times New Roman" w:eastAsia="Times New Roman" w:hAnsi="Times New Roman" w:cs="Times New Roman"/>
          <w:sz w:val="24"/>
          <w:szCs w:val="24"/>
          <w:lang w:val="lt-LT"/>
        </w:rPr>
        <w:t>V. P.</w:t>
      </w:r>
      <w:bookmarkEnd w:id="151"/>
      <w:r w:rsidR="00D74BBB" w:rsidRPr="003D238E">
        <w:rPr>
          <w:rFonts w:ascii="Times New Roman" w:eastAsia="Times New Roman" w:hAnsi="Times New Roman" w:cs="Times New Roman"/>
          <w:sz w:val="24"/>
          <w:szCs w:val="24"/>
          <w:lang w:val="lt-LT"/>
        </w:rPr>
        <w:t xml:space="preserve">, </w:t>
      </w:r>
      <w:bookmarkStart w:id="152" w:name="Buk_72"/>
      <w:r w:rsidR="00756415" w:rsidRPr="00E3423E">
        <w:rPr>
          <w:rFonts w:ascii="Times New Roman" w:eastAsia="Times New Roman" w:hAnsi="Times New Roman" w:cs="Times New Roman"/>
          <w:sz w:val="24"/>
          <w:szCs w:val="24"/>
          <w:lang w:val="lt-LT"/>
        </w:rPr>
        <w:t>J. P.</w:t>
      </w:r>
      <w:bookmarkEnd w:id="152"/>
      <w:r w:rsidR="00D74BBB" w:rsidRPr="003D238E">
        <w:rPr>
          <w:rFonts w:ascii="Times New Roman" w:eastAsia="Times New Roman" w:hAnsi="Times New Roman" w:cs="Times New Roman"/>
          <w:sz w:val="24"/>
          <w:szCs w:val="24"/>
          <w:lang w:val="lt-LT"/>
        </w:rPr>
        <w:t xml:space="preserve">, </w:t>
      </w:r>
      <w:bookmarkStart w:id="153" w:name="Buk_45"/>
      <w:r w:rsidR="00756415" w:rsidRPr="00E3423E">
        <w:rPr>
          <w:rFonts w:ascii="Times New Roman" w:eastAsia="Times New Roman" w:hAnsi="Times New Roman" w:cs="Times New Roman"/>
          <w:sz w:val="24"/>
          <w:szCs w:val="24"/>
          <w:lang w:val="lt-LT"/>
        </w:rPr>
        <w:t>D. L.</w:t>
      </w:r>
      <w:bookmarkEnd w:id="153"/>
      <w:r w:rsidR="00D74BBB" w:rsidRPr="003D238E">
        <w:rPr>
          <w:rFonts w:ascii="Times New Roman" w:eastAsia="Times New Roman" w:hAnsi="Times New Roman" w:cs="Times New Roman"/>
          <w:sz w:val="24"/>
          <w:szCs w:val="24"/>
          <w:lang w:val="lt-LT"/>
        </w:rPr>
        <w:t>-B</w:t>
      </w:r>
      <w:r w:rsidR="00E3423E">
        <w:rPr>
          <w:rFonts w:ascii="Times New Roman" w:eastAsia="Times New Roman" w:hAnsi="Times New Roman" w:cs="Times New Roman"/>
          <w:sz w:val="24"/>
          <w:szCs w:val="24"/>
          <w:lang w:val="lt-LT"/>
        </w:rPr>
        <w:t>.</w:t>
      </w:r>
      <w:r w:rsidR="00D74BBB" w:rsidRPr="003D238E">
        <w:rPr>
          <w:rFonts w:ascii="Times New Roman" w:eastAsia="Times New Roman" w:hAnsi="Times New Roman" w:cs="Times New Roman"/>
          <w:sz w:val="24"/>
          <w:szCs w:val="24"/>
          <w:lang w:val="lt-LT"/>
        </w:rPr>
        <w:t xml:space="preserve">, </w:t>
      </w:r>
      <w:bookmarkStart w:id="154" w:name="Buk_6"/>
      <w:r w:rsidR="00756415" w:rsidRPr="00E3423E">
        <w:rPr>
          <w:rFonts w:ascii="Times New Roman" w:eastAsia="Times New Roman" w:hAnsi="Times New Roman" w:cs="Times New Roman"/>
          <w:sz w:val="24"/>
          <w:szCs w:val="24"/>
          <w:lang w:val="lt-LT"/>
        </w:rPr>
        <w:t xml:space="preserve">D. P. </w:t>
      </w:r>
      <w:bookmarkEnd w:id="154"/>
      <w:r w:rsidR="00D74BBB" w:rsidRPr="003D238E">
        <w:rPr>
          <w:rFonts w:ascii="Times New Roman" w:eastAsia="Times New Roman" w:hAnsi="Times New Roman" w:cs="Times New Roman"/>
          <w:sz w:val="24"/>
          <w:szCs w:val="24"/>
          <w:lang w:val="lt-LT"/>
        </w:rPr>
        <w:t>ir R</w:t>
      </w:r>
      <w:r w:rsidR="00E3423E">
        <w:rPr>
          <w:rFonts w:ascii="Times New Roman" w:eastAsia="Times New Roman" w:hAnsi="Times New Roman" w:cs="Times New Roman"/>
          <w:sz w:val="24"/>
          <w:szCs w:val="24"/>
          <w:lang w:val="lt-LT"/>
        </w:rPr>
        <w:t>.</w:t>
      </w:r>
      <w:r w:rsidR="00D74BBB" w:rsidRPr="003D238E">
        <w:rPr>
          <w:rFonts w:ascii="Times New Roman" w:eastAsia="Times New Roman" w:hAnsi="Times New Roman" w:cs="Times New Roman"/>
          <w:sz w:val="24"/>
          <w:szCs w:val="24"/>
          <w:lang w:val="lt-LT"/>
        </w:rPr>
        <w:t xml:space="preserve"> </w:t>
      </w:r>
      <w:bookmarkStart w:id="155" w:name="Buk_105"/>
      <w:r w:rsidR="00756415" w:rsidRPr="00E3423E">
        <w:rPr>
          <w:rFonts w:ascii="Times New Roman" w:eastAsia="Times New Roman" w:hAnsi="Times New Roman" w:cs="Times New Roman"/>
          <w:sz w:val="24"/>
          <w:szCs w:val="24"/>
          <w:lang w:val="lt-LT"/>
        </w:rPr>
        <w:t xml:space="preserve">O. I. </w:t>
      </w:r>
      <w:bookmarkEnd w:id="155"/>
      <w:r w:rsidR="00D74BBB" w:rsidRPr="003D238E">
        <w:rPr>
          <w:rFonts w:ascii="Times New Roman" w:eastAsia="Times New Roman" w:hAnsi="Times New Roman" w:cs="Times New Roman"/>
          <w:sz w:val="24"/>
          <w:szCs w:val="24"/>
          <w:lang w:val="lt-LT"/>
        </w:rPr>
        <w:t xml:space="preserve">naudai, todėl jie įgijo teisę į bylinėjimosi išlaidų atlyginimą. </w:t>
      </w:r>
      <w:r w:rsidR="003D238E" w:rsidRPr="003D238E">
        <w:rPr>
          <w:rFonts w:ascii="Times New Roman" w:eastAsia="Times New Roman" w:hAnsi="Times New Roman" w:cs="Times New Roman"/>
          <w:sz w:val="24"/>
          <w:szCs w:val="24"/>
          <w:lang w:val="lt-LT"/>
        </w:rPr>
        <w:t xml:space="preserve">Vis dėlto atkreiptinas dėmesys, kad bylos medžiagoje nėra pateikti dokumentai, </w:t>
      </w:r>
      <w:r w:rsidR="003D238E">
        <w:rPr>
          <w:rFonts w:ascii="Times New Roman" w:eastAsia="Times New Roman" w:hAnsi="Times New Roman" w:cs="Times New Roman"/>
          <w:sz w:val="24"/>
          <w:szCs w:val="24"/>
          <w:lang w:val="lt-LT"/>
        </w:rPr>
        <w:t>patvirtinantys, kad šie pareiškėjai už minėtas teisines paslaugas</w:t>
      </w:r>
      <w:r w:rsidR="003D238E" w:rsidRPr="003D238E">
        <w:rPr>
          <w:rFonts w:ascii="Times New Roman" w:eastAsia="Times New Roman" w:hAnsi="Times New Roman" w:cs="Times New Roman"/>
          <w:sz w:val="24"/>
          <w:szCs w:val="24"/>
          <w:lang w:val="lt-LT"/>
        </w:rPr>
        <w:t xml:space="preserve"> </w:t>
      </w:r>
      <w:r w:rsidR="003D238E">
        <w:rPr>
          <w:rFonts w:ascii="Times New Roman" w:eastAsia="Times New Roman" w:hAnsi="Times New Roman" w:cs="Times New Roman"/>
          <w:sz w:val="24"/>
          <w:szCs w:val="24"/>
          <w:lang w:val="lt-LT"/>
        </w:rPr>
        <w:t xml:space="preserve">būtų sumokėję, t. y., kad jie būtų patyrę bylinėjimosi išlaidas. </w:t>
      </w:r>
      <w:r w:rsidR="00563063">
        <w:rPr>
          <w:rFonts w:ascii="Times New Roman" w:eastAsia="Times New Roman" w:hAnsi="Times New Roman" w:cs="Times New Roman"/>
          <w:sz w:val="24"/>
          <w:szCs w:val="24"/>
          <w:lang w:val="lt-LT"/>
        </w:rPr>
        <w:t>B</w:t>
      </w:r>
      <w:r w:rsidR="00D74BBB" w:rsidRPr="003D238E">
        <w:rPr>
          <w:rFonts w:ascii="Times New Roman" w:eastAsia="Times New Roman" w:hAnsi="Times New Roman" w:cs="Times New Roman"/>
          <w:sz w:val="24"/>
          <w:szCs w:val="24"/>
          <w:lang w:val="lt-LT"/>
        </w:rPr>
        <w:t>ylo</w:t>
      </w:r>
      <w:r w:rsidR="003D238E">
        <w:rPr>
          <w:rFonts w:ascii="Times New Roman" w:eastAsia="Times New Roman" w:hAnsi="Times New Roman" w:cs="Times New Roman"/>
          <w:sz w:val="24"/>
          <w:szCs w:val="24"/>
          <w:lang w:val="lt-LT"/>
        </w:rPr>
        <w:t>s medžiagoje</w:t>
      </w:r>
      <w:r w:rsidR="00D74BBB" w:rsidRPr="003D238E">
        <w:rPr>
          <w:rFonts w:ascii="Times New Roman" w:eastAsia="Times New Roman" w:hAnsi="Times New Roman" w:cs="Times New Roman"/>
          <w:sz w:val="24"/>
          <w:szCs w:val="24"/>
          <w:lang w:val="lt-LT"/>
        </w:rPr>
        <w:t xml:space="preserve"> pateikta 2019 m. balandžio 30 d. PVM sąskaita faktūra </w:t>
      </w:r>
      <w:r w:rsidR="003D238E">
        <w:rPr>
          <w:rFonts w:ascii="Times New Roman" w:eastAsia="Times New Roman" w:hAnsi="Times New Roman" w:cs="Times New Roman"/>
          <w:sz w:val="24"/>
          <w:szCs w:val="24"/>
          <w:lang w:val="lt-LT"/>
        </w:rPr>
        <w:t xml:space="preserve">už suteiktas teisines paslaugas buvo išrašyta konkrečiai Lietuvos notarų rūmams. 2019 m. gegužės 10 d. </w:t>
      </w:r>
      <w:r w:rsidR="00D74BBB" w:rsidRPr="003D238E">
        <w:rPr>
          <w:rFonts w:ascii="Times New Roman" w:eastAsia="Times New Roman" w:hAnsi="Times New Roman" w:cs="Times New Roman"/>
          <w:sz w:val="24"/>
          <w:szCs w:val="24"/>
          <w:lang w:val="lt-LT"/>
        </w:rPr>
        <w:t xml:space="preserve">bankinio mokėjimo išrašas patvirtina, kad </w:t>
      </w:r>
      <w:r w:rsidR="003D238E" w:rsidRPr="003D238E">
        <w:rPr>
          <w:rFonts w:ascii="Times New Roman" w:eastAsia="Times New Roman" w:hAnsi="Times New Roman" w:cs="Times New Roman"/>
          <w:sz w:val="24"/>
          <w:szCs w:val="24"/>
          <w:lang w:val="lt-LT"/>
        </w:rPr>
        <w:t xml:space="preserve">už suteiktas </w:t>
      </w:r>
      <w:r w:rsidR="003D238E">
        <w:rPr>
          <w:rFonts w:ascii="Times New Roman" w:eastAsia="Times New Roman" w:hAnsi="Times New Roman" w:cs="Times New Roman"/>
          <w:sz w:val="24"/>
          <w:szCs w:val="24"/>
          <w:lang w:val="lt-LT"/>
        </w:rPr>
        <w:t>teisines</w:t>
      </w:r>
      <w:r w:rsidR="00D74BBB" w:rsidRPr="003D238E">
        <w:rPr>
          <w:rFonts w:ascii="Times New Roman" w:eastAsia="Times New Roman" w:hAnsi="Times New Roman" w:cs="Times New Roman"/>
          <w:sz w:val="24"/>
          <w:szCs w:val="24"/>
          <w:lang w:val="lt-LT"/>
        </w:rPr>
        <w:t xml:space="preserve"> paslaug</w:t>
      </w:r>
      <w:r w:rsidR="003D238E">
        <w:rPr>
          <w:rFonts w:ascii="Times New Roman" w:eastAsia="Times New Roman" w:hAnsi="Times New Roman" w:cs="Times New Roman"/>
          <w:sz w:val="24"/>
          <w:szCs w:val="24"/>
          <w:lang w:val="lt-LT"/>
        </w:rPr>
        <w:t xml:space="preserve">as visą sumą sumokėjo Lietuvos notarų rūmai. </w:t>
      </w:r>
      <w:r w:rsidR="00563063">
        <w:rPr>
          <w:rFonts w:ascii="Times New Roman" w:eastAsia="Times New Roman" w:hAnsi="Times New Roman" w:cs="Times New Roman"/>
          <w:sz w:val="24"/>
          <w:szCs w:val="24"/>
          <w:lang w:val="lt-LT"/>
        </w:rPr>
        <w:t>Tačiau Notarų rūmų kaip pareiškėjo skundas buvo atmestas, taigi, Notarų rūmai nėra įgiję teisės į patirtų bylinėjimosi išlaidų atlyginimą.</w:t>
      </w:r>
    </w:p>
    <w:p w14:paraId="36B2DFC9" w14:textId="6F5D1D77" w:rsidR="003E78C7" w:rsidRPr="003D238E" w:rsidRDefault="003D238E" w:rsidP="00B90C77">
      <w:pPr>
        <w:numPr>
          <w:ilvl w:val="0"/>
          <w:numId w:val="22"/>
        </w:numPr>
        <w:tabs>
          <w:tab w:val="left" w:pos="567"/>
          <w:tab w:val="left" w:pos="1134"/>
        </w:tabs>
        <w:spacing w:after="0" w:line="240" w:lineRule="auto"/>
        <w:ind w:left="0" w:firstLine="709"/>
        <w:contextualSpacing/>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At</w:t>
      </w:r>
      <w:r w:rsidR="006B726F">
        <w:rPr>
          <w:rFonts w:ascii="Times New Roman" w:eastAsia="Times New Roman" w:hAnsi="Times New Roman" w:cs="Times New Roman"/>
          <w:sz w:val="24"/>
          <w:szCs w:val="24"/>
          <w:lang w:val="lt-LT"/>
        </w:rPr>
        <w:t>sižvelgdama į tai</w:t>
      </w:r>
      <w:r>
        <w:rPr>
          <w:rFonts w:ascii="Times New Roman" w:eastAsia="Times New Roman" w:hAnsi="Times New Roman" w:cs="Times New Roman"/>
          <w:sz w:val="24"/>
          <w:szCs w:val="24"/>
          <w:lang w:val="lt-LT"/>
        </w:rPr>
        <w:t xml:space="preserve">, išplėstinė teisėjų kolegija sprendžia, kad pareiškėjams </w:t>
      </w:r>
      <w:bookmarkStart w:id="156" w:name="Buk_81"/>
      <w:r w:rsidR="00756415" w:rsidRPr="00E3423E">
        <w:rPr>
          <w:rFonts w:ascii="Times New Roman" w:eastAsia="Times New Roman" w:hAnsi="Times New Roman" w:cs="Times New Roman"/>
          <w:sz w:val="24"/>
          <w:szCs w:val="24"/>
          <w:lang w:val="lt-LT"/>
        </w:rPr>
        <w:t>M. S.</w:t>
      </w:r>
      <w:bookmarkEnd w:id="156"/>
      <w:r w:rsidRPr="003D238E">
        <w:rPr>
          <w:rFonts w:ascii="Times New Roman" w:eastAsia="Times New Roman" w:hAnsi="Times New Roman" w:cs="Times New Roman"/>
          <w:sz w:val="24"/>
          <w:szCs w:val="24"/>
          <w:lang w:val="lt-LT"/>
        </w:rPr>
        <w:t xml:space="preserve">, </w:t>
      </w:r>
      <w:bookmarkStart w:id="157" w:name="Buk_119"/>
      <w:r w:rsidR="00756415" w:rsidRPr="00E3423E">
        <w:rPr>
          <w:rFonts w:ascii="Times New Roman" w:eastAsia="Times New Roman" w:hAnsi="Times New Roman" w:cs="Times New Roman"/>
          <w:sz w:val="24"/>
          <w:szCs w:val="24"/>
          <w:lang w:val="lt-LT"/>
        </w:rPr>
        <w:t>S. Š.</w:t>
      </w:r>
      <w:bookmarkEnd w:id="157"/>
      <w:r w:rsidRPr="003D238E">
        <w:rPr>
          <w:rFonts w:ascii="Times New Roman" w:eastAsia="Times New Roman" w:hAnsi="Times New Roman" w:cs="Times New Roman"/>
          <w:sz w:val="24"/>
          <w:szCs w:val="24"/>
          <w:lang w:val="lt-LT"/>
        </w:rPr>
        <w:t xml:space="preserve">, </w:t>
      </w:r>
      <w:bookmarkStart w:id="158" w:name="Buk_39"/>
      <w:r w:rsidR="00756415" w:rsidRPr="00E3423E">
        <w:rPr>
          <w:rFonts w:ascii="Times New Roman" w:eastAsia="Times New Roman" w:hAnsi="Times New Roman" w:cs="Times New Roman"/>
          <w:sz w:val="24"/>
          <w:szCs w:val="24"/>
          <w:lang w:val="lt-LT"/>
        </w:rPr>
        <w:t>D. V.</w:t>
      </w:r>
      <w:bookmarkEnd w:id="158"/>
      <w:r w:rsidRPr="003D238E">
        <w:rPr>
          <w:rFonts w:ascii="Times New Roman" w:eastAsia="Times New Roman" w:hAnsi="Times New Roman" w:cs="Times New Roman"/>
          <w:sz w:val="24"/>
          <w:szCs w:val="24"/>
          <w:lang w:val="lt-LT"/>
        </w:rPr>
        <w:t xml:space="preserve">, </w:t>
      </w:r>
      <w:bookmarkStart w:id="159" w:name="Buk_132"/>
      <w:r w:rsidR="00756415" w:rsidRPr="00E3423E">
        <w:rPr>
          <w:rFonts w:ascii="Times New Roman" w:eastAsia="Times New Roman" w:hAnsi="Times New Roman" w:cs="Times New Roman"/>
          <w:sz w:val="24"/>
          <w:szCs w:val="24"/>
          <w:lang w:val="lt-LT"/>
        </w:rPr>
        <w:t>V. P.</w:t>
      </w:r>
      <w:bookmarkEnd w:id="159"/>
      <w:r w:rsidRPr="003D238E">
        <w:rPr>
          <w:rFonts w:ascii="Times New Roman" w:eastAsia="Times New Roman" w:hAnsi="Times New Roman" w:cs="Times New Roman"/>
          <w:sz w:val="24"/>
          <w:szCs w:val="24"/>
          <w:lang w:val="lt-LT"/>
        </w:rPr>
        <w:t xml:space="preserve">, </w:t>
      </w:r>
      <w:bookmarkStart w:id="160" w:name="Buk_66"/>
      <w:r w:rsidR="00756415" w:rsidRPr="00E3423E">
        <w:rPr>
          <w:rFonts w:ascii="Times New Roman" w:eastAsia="Times New Roman" w:hAnsi="Times New Roman" w:cs="Times New Roman"/>
          <w:sz w:val="24"/>
          <w:szCs w:val="24"/>
          <w:lang w:val="lt-LT"/>
        </w:rPr>
        <w:t>J. P.</w:t>
      </w:r>
      <w:bookmarkEnd w:id="160"/>
      <w:r w:rsidRPr="003D238E">
        <w:rPr>
          <w:rFonts w:ascii="Times New Roman" w:eastAsia="Times New Roman" w:hAnsi="Times New Roman" w:cs="Times New Roman"/>
          <w:sz w:val="24"/>
          <w:szCs w:val="24"/>
          <w:lang w:val="lt-LT"/>
        </w:rPr>
        <w:t xml:space="preserve">, </w:t>
      </w:r>
      <w:bookmarkStart w:id="161" w:name="Buk_38"/>
      <w:r w:rsidR="00756415" w:rsidRPr="00E3423E">
        <w:rPr>
          <w:rFonts w:ascii="Times New Roman" w:eastAsia="Times New Roman" w:hAnsi="Times New Roman" w:cs="Times New Roman"/>
          <w:sz w:val="24"/>
          <w:szCs w:val="24"/>
          <w:lang w:val="lt-LT"/>
        </w:rPr>
        <w:t>D. L.</w:t>
      </w:r>
      <w:bookmarkEnd w:id="161"/>
      <w:r w:rsidRPr="003D238E">
        <w:rPr>
          <w:rFonts w:ascii="Times New Roman" w:eastAsia="Times New Roman" w:hAnsi="Times New Roman" w:cs="Times New Roman"/>
          <w:sz w:val="24"/>
          <w:szCs w:val="24"/>
          <w:lang w:val="lt-LT"/>
        </w:rPr>
        <w:t>-B</w:t>
      </w:r>
      <w:r w:rsidR="00E3423E">
        <w:rPr>
          <w:rFonts w:ascii="Times New Roman" w:eastAsia="Times New Roman" w:hAnsi="Times New Roman" w:cs="Times New Roman"/>
          <w:sz w:val="24"/>
          <w:szCs w:val="24"/>
          <w:lang w:val="lt-LT"/>
        </w:rPr>
        <w:t>.</w:t>
      </w:r>
      <w:r w:rsidRPr="003D238E">
        <w:rPr>
          <w:rFonts w:ascii="Times New Roman" w:eastAsia="Times New Roman" w:hAnsi="Times New Roman" w:cs="Times New Roman"/>
          <w:sz w:val="24"/>
          <w:szCs w:val="24"/>
          <w:lang w:val="lt-LT"/>
        </w:rPr>
        <w:t xml:space="preserve">, </w:t>
      </w:r>
      <w:bookmarkStart w:id="162" w:name="Buk_8"/>
      <w:r w:rsidR="00756415" w:rsidRPr="00E3423E">
        <w:rPr>
          <w:rFonts w:ascii="Times New Roman" w:eastAsia="Times New Roman" w:hAnsi="Times New Roman" w:cs="Times New Roman"/>
          <w:sz w:val="24"/>
          <w:szCs w:val="24"/>
          <w:lang w:val="lt-LT"/>
        </w:rPr>
        <w:t xml:space="preserve">D. P. </w:t>
      </w:r>
      <w:bookmarkEnd w:id="162"/>
      <w:r w:rsidRPr="003D238E">
        <w:rPr>
          <w:rFonts w:ascii="Times New Roman" w:eastAsia="Times New Roman" w:hAnsi="Times New Roman" w:cs="Times New Roman"/>
          <w:sz w:val="24"/>
          <w:szCs w:val="24"/>
          <w:lang w:val="lt-LT"/>
        </w:rPr>
        <w:t>ir R</w:t>
      </w:r>
      <w:r w:rsidR="00E3423E">
        <w:rPr>
          <w:rFonts w:ascii="Times New Roman" w:eastAsia="Times New Roman" w:hAnsi="Times New Roman" w:cs="Times New Roman"/>
          <w:sz w:val="24"/>
          <w:szCs w:val="24"/>
          <w:lang w:val="lt-LT"/>
        </w:rPr>
        <w:t>.</w:t>
      </w:r>
      <w:r w:rsidRPr="003D238E">
        <w:rPr>
          <w:rFonts w:ascii="Times New Roman" w:eastAsia="Times New Roman" w:hAnsi="Times New Roman" w:cs="Times New Roman"/>
          <w:sz w:val="24"/>
          <w:szCs w:val="24"/>
          <w:lang w:val="lt-LT"/>
        </w:rPr>
        <w:t xml:space="preserve"> </w:t>
      </w:r>
      <w:bookmarkStart w:id="163" w:name="Buk_99"/>
      <w:r w:rsidR="00756415" w:rsidRPr="00E3423E">
        <w:rPr>
          <w:rFonts w:ascii="Times New Roman" w:eastAsia="Times New Roman" w:hAnsi="Times New Roman" w:cs="Times New Roman"/>
          <w:sz w:val="24"/>
          <w:szCs w:val="24"/>
          <w:lang w:val="lt-LT"/>
        </w:rPr>
        <w:t xml:space="preserve">O. I. </w:t>
      </w:r>
      <w:bookmarkEnd w:id="163"/>
      <w:r w:rsidR="00563063">
        <w:rPr>
          <w:rFonts w:ascii="Times New Roman" w:eastAsia="Times New Roman" w:hAnsi="Times New Roman" w:cs="Times New Roman"/>
          <w:sz w:val="24"/>
          <w:szCs w:val="24"/>
          <w:lang w:val="lt-LT"/>
        </w:rPr>
        <w:t xml:space="preserve">bylinėjimosi išlaidos nepriteisiamos, nepateikus jas pagrindžiančių dokumentų. </w:t>
      </w:r>
    </w:p>
    <w:p w14:paraId="1D03857F" w14:textId="77777777" w:rsidR="00C727CB" w:rsidRDefault="00C727CB" w:rsidP="00920040">
      <w:pPr>
        <w:tabs>
          <w:tab w:val="left" w:pos="567"/>
          <w:tab w:val="left" w:pos="1134"/>
        </w:tabs>
        <w:spacing w:after="0" w:line="240" w:lineRule="auto"/>
        <w:contextualSpacing/>
        <w:jc w:val="both"/>
        <w:rPr>
          <w:rFonts w:ascii="Times New Roman" w:hAnsi="Times New Roman" w:cs="Times New Roman"/>
          <w:sz w:val="24"/>
          <w:szCs w:val="24"/>
          <w:lang w:val="lt-LT"/>
        </w:rPr>
      </w:pPr>
    </w:p>
    <w:p w14:paraId="38EABB40" w14:textId="2B2513F5" w:rsidR="00FF5531" w:rsidRPr="00387952" w:rsidRDefault="00C727CB" w:rsidP="00C727CB">
      <w:pPr>
        <w:tabs>
          <w:tab w:val="left" w:pos="567"/>
          <w:tab w:val="left" w:pos="1134"/>
        </w:tabs>
        <w:spacing w:after="0" w:line="24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ab/>
      </w:r>
      <w:r w:rsidRPr="00D407A6">
        <w:rPr>
          <w:rFonts w:ascii="Times New Roman" w:hAnsi="Times New Roman" w:cs="Times New Roman"/>
          <w:sz w:val="24"/>
          <w:szCs w:val="24"/>
          <w:lang w:val="lt-LT"/>
        </w:rPr>
        <w:t>Vadovaudamasi Lietuvos Respublikos administracinių bylų teisenos įstatymo 144 straipsnio</w:t>
      </w:r>
      <w:r>
        <w:rPr>
          <w:rFonts w:ascii="Times New Roman" w:hAnsi="Times New Roman" w:cs="Times New Roman"/>
          <w:sz w:val="24"/>
          <w:szCs w:val="24"/>
          <w:lang w:val="lt-LT"/>
        </w:rPr>
        <w:t xml:space="preserve"> </w:t>
      </w:r>
      <w:r w:rsidRPr="00D407A6">
        <w:rPr>
          <w:rFonts w:ascii="Times New Roman" w:hAnsi="Times New Roman" w:cs="Times New Roman"/>
          <w:sz w:val="24"/>
          <w:szCs w:val="24"/>
          <w:lang w:val="lt-LT"/>
        </w:rPr>
        <w:t>1 dalies 3 punktu, išplėstinė teisėjų kolegija</w:t>
      </w:r>
    </w:p>
    <w:p w14:paraId="5350EF9E" w14:textId="77777777" w:rsidR="00FF5531" w:rsidRPr="00D407A6" w:rsidRDefault="00FF5531" w:rsidP="00FF5531">
      <w:pPr>
        <w:spacing w:after="0" w:line="240" w:lineRule="auto"/>
        <w:ind w:firstLine="720"/>
        <w:rPr>
          <w:rFonts w:ascii="Times New Roman" w:hAnsi="Times New Roman" w:cs="Times New Roman"/>
          <w:sz w:val="24"/>
          <w:szCs w:val="24"/>
          <w:lang w:val="lt-LT"/>
        </w:rPr>
      </w:pPr>
    </w:p>
    <w:p w14:paraId="630558E3" w14:textId="77777777" w:rsidR="00FF5531" w:rsidRPr="00D407A6" w:rsidRDefault="00FF5531" w:rsidP="00FF5531">
      <w:pPr>
        <w:spacing w:after="0" w:line="240" w:lineRule="auto"/>
        <w:ind w:firstLine="720"/>
        <w:rPr>
          <w:rFonts w:ascii="Times New Roman" w:hAnsi="Times New Roman" w:cs="Times New Roman"/>
          <w:sz w:val="24"/>
          <w:szCs w:val="24"/>
          <w:lang w:val="lt-LT"/>
        </w:rPr>
      </w:pPr>
      <w:r w:rsidRPr="00D407A6">
        <w:rPr>
          <w:rFonts w:ascii="Times New Roman" w:hAnsi="Times New Roman" w:cs="Times New Roman"/>
          <w:spacing w:val="60"/>
          <w:sz w:val="24"/>
          <w:szCs w:val="24"/>
          <w:lang w:val="lt-LT"/>
        </w:rPr>
        <w:t>nutaria</w:t>
      </w:r>
      <w:r w:rsidRPr="00D407A6">
        <w:rPr>
          <w:rFonts w:ascii="Times New Roman" w:hAnsi="Times New Roman" w:cs="Times New Roman"/>
          <w:sz w:val="24"/>
          <w:szCs w:val="24"/>
          <w:lang w:val="lt-LT"/>
        </w:rPr>
        <w:t>:</w:t>
      </w:r>
    </w:p>
    <w:p w14:paraId="5F2FEA29" w14:textId="77777777" w:rsidR="00FF5531" w:rsidRPr="00D407A6" w:rsidRDefault="00FF5531" w:rsidP="00FF5531">
      <w:pPr>
        <w:spacing w:after="0" w:line="240" w:lineRule="auto"/>
        <w:ind w:firstLine="720"/>
        <w:rPr>
          <w:rFonts w:ascii="Times New Roman" w:hAnsi="Times New Roman" w:cs="Times New Roman"/>
          <w:sz w:val="24"/>
          <w:szCs w:val="24"/>
          <w:lang w:val="lt-LT"/>
        </w:rPr>
      </w:pPr>
    </w:p>
    <w:p w14:paraId="4C36FDBC" w14:textId="77777777" w:rsidR="00FF5531" w:rsidRPr="00D407A6" w:rsidRDefault="00FF5531" w:rsidP="00FF5531">
      <w:pPr>
        <w:spacing w:after="0" w:line="240" w:lineRule="auto"/>
        <w:ind w:firstLine="720"/>
        <w:jc w:val="both"/>
        <w:rPr>
          <w:rFonts w:ascii="Times New Roman" w:hAnsi="Times New Roman" w:cs="Times New Roman"/>
          <w:sz w:val="24"/>
          <w:szCs w:val="24"/>
          <w:lang w:val="lt-LT"/>
        </w:rPr>
      </w:pPr>
      <w:r w:rsidRPr="00D407A6">
        <w:rPr>
          <w:rFonts w:ascii="Times New Roman" w:eastAsia="Times New Roman" w:hAnsi="Times New Roman" w:cs="Times New Roman"/>
          <w:sz w:val="24"/>
          <w:szCs w:val="24"/>
          <w:lang w:val="lt-LT"/>
        </w:rPr>
        <w:t xml:space="preserve">Atsakovo Lietuvos Respublikos konkurencijos tarybos </w:t>
      </w:r>
      <w:r w:rsidRPr="00D407A6">
        <w:rPr>
          <w:rFonts w:ascii="Times New Roman" w:hAnsi="Times New Roman" w:cs="Times New Roman"/>
          <w:sz w:val="24"/>
          <w:szCs w:val="24"/>
          <w:lang w:val="lt-LT"/>
        </w:rPr>
        <w:t>apeliacinį skundą tenkinti iš dalies.</w:t>
      </w:r>
    </w:p>
    <w:p w14:paraId="74B10324" w14:textId="77777777" w:rsidR="00FF5531" w:rsidRPr="00D407A6" w:rsidRDefault="00FF5531" w:rsidP="00FF5531">
      <w:pPr>
        <w:spacing w:after="0" w:line="240" w:lineRule="auto"/>
        <w:ind w:firstLine="720"/>
        <w:jc w:val="both"/>
        <w:rPr>
          <w:rFonts w:ascii="Times New Roman" w:hAnsi="Times New Roman" w:cs="Times New Roman"/>
          <w:sz w:val="24"/>
          <w:szCs w:val="24"/>
          <w:lang w:val="lt-LT"/>
        </w:rPr>
      </w:pPr>
      <w:r w:rsidRPr="00D407A6">
        <w:rPr>
          <w:rFonts w:ascii="Times New Roman" w:hAnsi="Times New Roman" w:cs="Times New Roman"/>
          <w:sz w:val="24"/>
          <w:szCs w:val="24"/>
          <w:lang w:val="lt-LT"/>
        </w:rPr>
        <w:t xml:space="preserve">Vilniaus apygardos administracinio teismo </w:t>
      </w:r>
      <w:r w:rsidRPr="00D407A6">
        <w:rPr>
          <w:rFonts w:ascii="Times New Roman" w:eastAsia="Times New Roman" w:hAnsi="Times New Roman" w:cs="Times New Roman"/>
          <w:sz w:val="24"/>
          <w:szCs w:val="24"/>
          <w:lang w:val="lt-LT"/>
        </w:rPr>
        <w:t xml:space="preserve">2019 m. vasario 19 d. </w:t>
      </w:r>
      <w:r w:rsidRPr="00D407A6">
        <w:rPr>
          <w:rFonts w:ascii="Times New Roman" w:hAnsi="Times New Roman" w:cs="Times New Roman"/>
          <w:sz w:val="24"/>
          <w:szCs w:val="24"/>
          <w:lang w:val="lt-LT"/>
        </w:rPr>
        <w:t>sprendimą pakeisti ir jo rezoliucinę dalį išdėstyti taip:</w:t>
      </w:r>
    </w:p>
    <w:p w14:paraId="45D260DB" w14:textId="53CEC62C" w:rsidR="00FF5531" w:rsidRPr="00D407A6" w:rsidRDefault="00FF5531" w:rsidP="00FF5531">
      <w:pPr>
        <w:spacing w:after="0" w:line="240" w:lineRule="auto"/>
        <w:ind w:firstLine="720"/>
        <w:jc w:val="both"/>
        <w:rPr>
          <w:rFonts w:ascii="Times New Roman" w:hAnsi="Times New Roman" w:cs="Times New Roman"/>
          <w:sz w:val="24"/>
          <w:szCs w:val="24"/>
          <w:lang w:val="lt-LT"/>
        </w:rPr>
      </w:pPr>
      <w:r w:rsidRPr="00D407A6">
        <w:rPr>
          <w:rFonts w:ascii="Times New Roman" w:hAnsi="Times New Roman" w:cs="Times New Roman"/>
          <w:sz w:val="24"/>
          <w:szCs w:val="24"/>
          <w:lang w:val="lt-LT"/>
        </w:rPr>
        <w:t>„</w:t>
      </w:r>
      <w:r w:rsidRPr="002D68C6">
        <w:rPr>
          <w:rFonts w:ascii="Times New Roman" w:hAnsi="Times New Roman" w:cs="Times New Roman"/>
          <w:sz w:val="24"/>
          <w:szCs w:val="24"/>
          <w:lang w:val="lt-LT"/>
        </w:rPr>
        <w:t xml:space="preserve">Pareiškėjo </w:t>
      </w:r>
      <w:r w:rsidR="0059441F" w:rsidRPr="002D68C6">
        <w:rPr>
          <w:rFonts w:ascii="Times New Roman" w:hAnsi="Times New Roman" w:cs="Times New Roman"/>
          <w:sz w:val="24"/>
          <w:szCs w:val="24"/>
          <w:lang w:val="lt-LT"/>
        </w:rPr>
        <w:t>Lietuvos n</w:t>
      </w:r>
      <w:r w:rsidRPr="002D68C6">
        <w:rPr>
          <w:rFonts w:ascii="Times New Roman" w:hAnsi="Times New Roman" w:cs="Times New Roman"/>
          <w:sz w:val="24"/>
          <w:szCs w:val="24"/>
          <w:lang w:val="lt-LT"/>
        </w:rPr>
        <w:t>otarų</w:t>
      </w:r>
      <w:r w:rsidRPr="00D407A6">
        <w:rPr>
          <w:rFonts w:ascii="Times New Roman" w:hAnsi="Times New Roman" w:cs="Times New Roman"/>
          <w:sz w:val="24"/>
          <w:szCs w:val="24"/>
          <w:lang w:val="lt-LT"/>
        </w:rPr>
        <w:t xml:space="preserve"> rūmų skundą atmesti.</w:t>
      </w:r>
    </w:p>
    <w:p w14:paraId="32DA973D" w14:textId="3B60D773" w:rsidR="00FF5531" w:rsidRPr="004114DD" w:rsidRDefault="00FF5531" w:rsidP="00FF5531">
      <w:pPr>
        <w:spacing w:after="0" w:line="240" w:lineRule="auto"/>
        <w:ind w:firstLine="720"/>
        <w:jc w:val="both"/>
        <w:rPr>
          <w:rFonts w:ascii="Times New Roman" w:hAnsi="Times New Roman" w:cs="Times New Roman"/>
          <w:sz w:val="24"/>
          <w:szCs w:val="24"/>
          <w:lang w:val="lt-LT"/>
        </w:rPr>
      </w:pPr>
      <w:bookmarkStart w:id="164" w:name="_Hlk171064876"/>
      <w:r w:rsidRPr="00D407A6">
        <w:rPr>
          <w:rFonts w:ascii="Times New Roman" w:hAnsi="Times New Roman" w:cs="Times New Roman"/>
          <w:sz w:val="24"/>
          <w:szCs w:val="24"/>
          <w:lang w:val="lt-LT"/>
        </w:rPr>
        <w:t xml:space="preserve">Pareiškėjų </w:t>
      </w:r>
      <w:bookmarkStart w:id="165" w:name="Buk_80"/>
      <w:bookmarkStart w:id="166" w:name="_Hlk170826250"/>
      <w:r w:rsidR="00756415" w:rsidRPr="00E3423E">
        <w:rPr>
          <w:rFonts w:ascii="Times New Roman" w:hAnsi="Times New Roman" w:cs="Times New Roman"/>
          <w:sz w:val="24"/>
          <w:szCs w:val="24"/>
          <w:lang w:val="lt-LT"/>
        </w:rPr>
        <w:t>M. S.</w:t>
      </w:r>
      <w:bookmarkEnd w:id="165"/>
      <w:r w:rsidRPr="00D407A6">
        <w:rPr>
          <w:rFonts w:ascii="Times New Roman" w:hAnsi="Times New Roman" w:cs="Times New Roman"/>
          <w:sz w:val="24"/>
          <w:szCs w:val="24"/>
          <w:lang w:val="lt-LT"/>
        </w:rPr>
        <w:t xml:space="preserve">, </w:t>
      </w:r>
      <w:bookmarkStart w:id="167" w:name="Buk_117"/>
      <w:r w:rsidR="00756415" w:rsidRPr="00E3423E">
        <w:rPr>
          <w:rFonts w:ascii="Times New Roman" w:hAnsi="Times New Roman" w:cs="Times New Roman"/>
          <w:sz w:val="24"/>
          <w:szCs w:val="24"/>
          <w:lang w:val="lt-LT"/>
        </w:rPr>
        <w:t>S. Š.</w:t>
      </w:r>
      <w:bookmarkEnd w:id="167"/>
      <w:r w:rsidRPr="00D407A6">
        <w:rPr>
          <w:rFonts w:ascii="Times New Roman" w:hAnsi="Times New Roman" w:cs="Times New Roman"/>
          <w:sz w:val="24"/>
          <w:szCs w:val="24"/>
          <w:lang w:val="lt-LT"/>
        </w:rPr>
        <w:t xml:space="preserve">, </w:t>
      </w:r>
      <w:bookmarkStart w:id="168" w:name="Buk_53"/>
      <w:r w:rsidR="00756415" w:rsidRPr="00E3423E">
        <w:rPr>
          <w:rFonts w:ascii="Times New Roman" w:hAnsi="Times New Roman" w:cs="Times New Roman"/>
          <w:sz w:val="24"/>
          <w:szCs w:val="24"/>
          <w:lang w:val="lt-LT"/>
        </w:rPr>
        <w:t>D. V.</w:t>
      </w:r>
      <w:bookmarkEnd w:id="168"/>
      <w:r w:rsidRPr="00D407A6">
        <w:rPr>
          <w:rFonts w:ascii="Times New Roman" w:hAnsi="Times New Roman" w:cs="Times New Roman"/>
          <w:sz w:val="24"/>
          <w:szCs w:val="24"/>
          <w:lang w:val="lt-LT"/>
        </w:rPr>
        <w:t xml:space="preserve">, </w:t>
      </w:r>
      <w:bookmarkStart w:id="169" w:name="Buk_139"/>
      <w:r w:rsidR="00756415" w:rsidRPr="00E3423E">
        <w:rPr>
          <w:rFonts w:ascii="Times New Roman" w:hAnsi="Times New Roman" w:cs="Times New Roman"/>
          <w:sz w:val="24"/>
          <w:szCs w:val="24"/>
          <w:lang w:val="lt-LT"/>
        </w:rPr>
        <w:t>V. P.</w:t>
      </w:r>
      <w:bookmarkEnd w:id="169"/>
      <w:r w:rsidRPr="00D407A6">
        <w:rPr>
          <w:rFonts w:ascii="Times New Roman" w:hAnsi="Times New Roman" w:cs="Times New Roman"/>
          <w:sz w:val="24"/>
          <w:szCs w:val="24"/>
          <w:lang w:val="lt-LT"/>
        </w:rPr>
        <w:t xml:space="preserve">, </w:t>
      </w:r>
      <w:bookmarkStart w:id="170" w:name="Buk_73"/>
      <w:r w:rsidR="00756415" w:rsidRPr="00E3423E">
        <w:rPr>
          <w:rFonts w:ascii="Times New Roman" w:hAnsi="Times New Roman" w:cs="Times New Roman"/>
          <w:sz w:val="24"/>
          <w:szCs w:val="24"/>
          <w:lang w:val="lt-LT"/>
        </w:rPr>
        <w:t>J. P.</w:t>
      </w:r>
      <w:bookmarkEnd w:id="170"/>
      <w:r w:rsidRPr="00D407A6">
        <w:rPr>
          <w:rFonts w:ascii="Times New Roman" w:hAnsi="Times New Roman" w:cs="Times New Roman"/>
          <w:sz w:val="24"/>
          <w:szCs w:val="24"/>
          <w:lang w:val="lt-LT"/>
        </w:rPr>
        <w:t xml:space="preserve">, </w:t>
      </w:r>
      <w:bookmarkStart w:id="171" w:name="Buk_46"/>
      <w:r w:rsidR="00756415" w:rsidRPr="00E3423E">
        <w:rPr>
          <w:rFonts w:ascii="Times New Roman" w:hAnsi="Times New Roman" w:cs="Times New Roman"/>
          <w:sz w:val="24"/>
          <w:szCs w:val="24"/>
          <w:lang w:val="lt-LT"/>
        </w:rPr>
        <w:t>D. L.</w:t>
      </w:r>
      <w:bookmarkEnd w:id="171"/>
      <w:r>
        <w:rPr>
          <w:rFonts w:ascii="Times New Roman" w:hAnsi="Times New Roman" w:cs="Times New Roman"/>
          <w:sz w:val="24"/>
          <w:szCs w:val="24"/>
          <w:lang w:val="lt-LT"/>
        </w:rPr>
        <w:t>-</w:t>
      </w:r>
      <w:r w:rsidRPr="00D407A6">
        <w:rPr>
          <w:rFonts w:ascii="Times New Roman" w:hAnsi="Times New Roman" w:cs="Times New Roman"/>
          <w:sz w:val="24"/>
          <w:szCs w:val="24"/>
          <w:lang w:val="lt-LT"/>
        </w:rPr>
        <w:t>B</w:t>
      </w:r>
      <w:r w:rsidR="00E3423E">
        <w:rPr>
          <w:rFonts w:ascii="Times New Roman" w:hAnsi="Times New Roman" w:cs="Times New Roman"/>
          <w:sz w:val="24"/>
          <w:szCs w:val="24"/>
          <w:lang w:val="lt-LT"/>
        </w:rPr>
        <w:t>.</w:t>
      </w:r>
      <w:r w:rsidRPr="00D407A6">
        <w:rPr>
          <w:rFonts w:ascii="Times New Roman" w:hAnsi="Times New Roman" w:cs="Times New Roman"/>
          <w:sz w:val="24"/>
          <w:szCs w:val="24"/>
          <w:lang w:val="lt-LT"/>
        </w:rPr>
        <w:t xml:space="preserve">, </w:t>
      </w:r>
      <w:bookmarkStart w:id="172" w:name="Buk_7"/>
      <w:r w:rsidR="00756415" w:rsidRPr="00E3423E">
        <w:rPr>
          <w:rFonts w:ascii="Times New Roman" w:hAnsi="Times New Roman" w:cs="Times New Roman"/>
          <w:sz w:val="24"/>
          <w:szCs w:val="24"/>
          <w:lang w:val="lt-LT"/>
        </w:rPr>
        <w:t xml:space="preserve">D. P. </w:t>
      </w:r>
      <w:bookmarkEnd w:id="172"/>
      <w:r w:rsidRPr="00D407A6">
        <w:rPr>
          <w:rFonts w:ascii="Times New Roman" w:hAnsi="Times New Roman" w:cs="Times New Roman"/>
          <w:sz w:val="24"/>
          <w:szCs w:val="24"/>
          <w:lang w:val="lt-LT"/>
        </w:rPr>
        <w:t>ir R</w:t>
      </w:r>
      <w:r w:rsidR="00E3423E">
        <w:rPr>
          <w:rFonts w:ascii="Times New Roman" w:hAnsi="Times New Roman" w:cs="Times New Roman"/>
          <w:sz w:val="24"/>
          <w:szCs w:val="24"/>
          <w:lang w:val="lt-LT"/>
        </w:rPr>
        <w:t>.</w:t>
      </w:r>
      <w:r w:rsidRPr="00D407A6">
        <w:rPr>
          <w:rFonts w:ascii="Times New Roman" w:hAnsi="Times New Roman" w:cs="Times New Roman"/>
          <w:sz w:val="24"/>
          <w:szCs w:val="24"/>
          <w:lang w:val="lt-LT"/>
        </w:rPr>
        <w:t xml:space="preserve"> </w:t>
      </w:r>
      <w:bookmarkStart w:id="173" w:name="Buk_106"/>
      <w:bookmarkEnd w:id="166"/>
      <w:r w:rsidR="00756415" w:rsidRPr="00E3423E">
        <w:rPr>
          <w:rFonts w:ascii="Times New Roman" w:hAnsi="Times New Roman" w:cs="Times New Roman"/>
          <w:sz w:val="24"/>
          <w:szCs w:val="24"/>
          <w:lang w:val="lt-LT"/>
        </w:rPr>
        <w:t xml:space="preserve">O. I. </w:t>
      </w:r>
      <w:bookmarkEnd w:id="173"/>
      <w:r w:rsidRPr="00D407A6">
        <w:rPr>
          <w:rFonts w:ascii="Times New Roman" w:hAnsi="Times New Roman" w:cs="Times New Roman"/>
          <w:sz w:val="24"/>
          <w:szCs w:val="24"/>
          <w:lang w:val="lt-LT"/>
        </w:rPr>
        <w:t xml:space="preserve">skundą tenkinti. Panaikinti Lietuvos Respublikos konkurencijos tarybos 2018 m. balandžio 26 d. nutarimo Nr. 2S-2(2018) „Dėl Lietuvos notarų rūmų ir notarų veiksmų atitikties Lietuvos Respublikos konkurencijos įstatymo 5 straipsnio ir Sutarties dėl Europos Sąjungos veikimo 101 straipsnio reikalavimams“ dalį, kuria pareiškėjai </w:t>
      </w:r>
      <w:bookmarkStart w:id="174" w:name="Buk_86"/>
      <w:r w:rsidR="00756415" w:rsidRPr="00E3423E">
        <w:rPr>
          <w:rFonts w:ascii="Times New Roman" w:hAnsi="Times New Roman" w:cs="Times New Roman"/>
          <w:sz w:val="24"/>
          <w:szCs w:val="24"/>
          <w:lang w:val="lt-LT"/>
        </w:rPr>
        <w:t>M. S.</w:t>
      </w:r>
      <w:bookmarkEnd w:id="174"/>
      <w:r w:rsidRPr="00D407A6">
        <w:rPr>
          <w:rFonts w:ascii="Times New Roman" w:hAnsi="Times New Roman" w:cs="Times New Roman"/>
          <w:sz w:val="24"/>
          <w:szCs w:val="24"/>
          <w:lang w:val="lt-LT"/>
        </w:rPr>
        <w:t xml:space="preserve">, </w:t>
      </w:r>
      <w:bookmarkStart w:id="175" w:name="Buk_118"/>
      <w:r w:rsidR="00756415" w:rsidRPr="00E3423E">
        <w:rPr>
          <w:rFonts w:ascii="Times New Roman" w:hAnsi="Times New Roman" w:cs="Times New Roman"/>
          <w:sz w:val="24"/>
          <w:szCs w:val="24"/>
          <w:lang w:val="lt-LT"/>
        </w:rPr>
        <w:t>S. Š.</w:t>
      </w:r>
      <w:bookmarkEnd w:id="175"/>
      <w:r w:rsidRPr="00D407A6">
        <w:rPr>
          <w:rFonts w:ascii="Times New Roman" w:hAnsi="Times New Roman" w:cs="Times New Roman"/>
          <w:sz w:val="24"/>
          <w:szCs w:val="24"/>
          <w:lang w:val="lt-LT"/>
        </w:rPr>
        <w:t xml:space="preserve">, </w:t>
      </w:r>
      <w:bookmarkStart w:id="176" w:name="Buk_37"/>
      <w:r w:rsidR="00756415" w:rsidRPr="00E3423E">
        <w:rPr>
          <w:rFonts w:ascii="Times New Roman" w:hAnsi="Times New Roman" w:cs="Times New Roman"/>
          <w:sz w:val="24"/>
          <w:szCs w:val="24"/>
          <w:lang w:val="lt-LT"/>
        </w:rPr>
        <w:t>D. V.</w:t>
      </w:r>
      <w:bookmarkEnd w:id="176"/>
      <w:r w:rsidRPr="00D407A6">
        <w:rPr>
          <w:rFonts w:ascii="Times New Roman" w:hAnsi="Times New Roman" w:cs="Times New Roman"/>
          <w:sz w:val="24"/>
          <w:szCs w:val="24"/>
          <w:lang w:val="lt-LT"/>
        </w:rPr>
        <w:t xml:space="preserve">, </w:t>
      </w:r>
      <w:bookmarkStart w:id="177" w:name="Buk_131"/>
      <w:r w:rsidR="00756415" w:rsidRPr="00E3423E">
        <w:rPr>
          <w:rFonts w:ascii="Times New Roman" w:hAnsi="Times New Roman" w:cs="Times New Roman"/>
          <w:sz w:val="24"/>
          <w:szCs w:val="24"/>
          <w:lang w:val="lt-LT"/>
        </w:rPr>
        <w:t>V. P.</w:t>
      </w:r>
      <w:bookmarkEnd w:id="177"/>
      <w:r w:rsidRPr="00D407A6">
        <w:rPr>
          <w:rFonts w:ascii="Times New Roman" w:hAnsi="Times New Roman" w:cs="Times New Roman"/>
          <w:sz w:val="24"/>
          <w:szCs w:val="24"/>
          <w:lang w:val="lt-LT"/>
        </w:rPr>
        <w:t xml:space="preserve">, </w:t>
      </w:r>
      <w:bookmarkStart w:id="178" w:name="Buk_65"/>
      <w:r w:rsidR="00756415" w:rsidRPr="00E3423E">
        <w:rPr>
          <w:rFonts w:ascii="Times New Roman" w:hAnsi="Times New Roman" w:cs="Times New Roman"/>
          <w:sz w:val="24"/>
          <w:szCs w:val="24"/>
          <w:lang w:val="lt-LT"/>
        </w:rPr>
        <w:t>J. P.</w:t>
      </w:r>
      <w:bookmarkEnd w:id="178"/>
      <w:r w:rsidRPr="00D407A6">
        <w:rPr>
          <w:rFonts w:ascii="Times New Roman" w:hAnsi="Times New Roman" w:cs="Times New Roman"/>
          <w:sz w:val="24"/>
          <w:szCs w:val="24"/>
          <w:lang w:val="lt-LT"/>
        </w:rPr>
        <w:t xml:space="preserve">, </w:t>
      </w:r>
      <w:bookmarkStart w:id="179" w:name="Buk_25"/>
      <w:r w:rsidR="00756415" w:rsidRPr="00E3423E">
        <w:rPr>
          <w:rFonts w:ascii="Times New Roman" w:hAnsi="Times New Roman" w:cs="Times New Roman"/>
          <w:sz w:val="24"/>
          <w:szCs w:val="24"/>
          <w:lang w:val="lt-LT"/>
        </w:rPr>
        <w:t>D. L.</w:t>
      </w:r>
      <w:bookmarkEnd w:id="179"/>
      <w:r>
        <w:rPr>
          <w:rFonts w:ascii="Times New Roman" w:hAnsi="Times New Roman" w:cs="Times New Roman"/>
          <w:sz w:val="24"/>
          <w:szCs w:val="24"/>
          <w:lang w:val="lt-LT"/>
        </w:rPr>
        <w:t>-</w:t>
      </w:r>
      <w:r w:rsidRPr="00D407A6">
        <w:rPr>
          <w:rFonts w:ascii="Times New Roman" w:hAnsi="Times New Roman" w:cs="Times New Roman"/>
          <w:sz w:val="24"/>
          <w:szCs w:val="24"/>
          <w:lang w:val="lt-LT"/>
        </w:rPr>
        <w:t>B</w:t>
      </w:r>
      <w:r w:rsidR="00E3423E">
        <w:rPr>
          <w:rFonts w:ascii="Times New Roman" w:hAnsi="Times New Roman" w:cs="Times New Roman"/>
          <w:sz w:val="24"/>
          <w:szCs w:val="24"/>
          <w:lang w:val="lt-LT"/>
        </w:rPr>
        <w:t>.</w:t>
      </w:r>
      <w:r w:rsidRPr="00D407A6">
        <w:rPr>
          <w:rFonts w:ascii="Times New Roman" w:hAnsi="Times New Roman" w:cs="Times New Roman"/>
          <w:sz w:val="24"/>
          <w:szCs w:val="24"/>
          <w:lang w:val="lt-LT"/>
        </w:rPr>
        <w:t xml:space="preserve">, </w:t>
      </w:r>
      <w:bookmarkStart w:id="180" w:name="Buk_13"/>
      <w:r w:rsidR="00756415" w:rsidRPr="00E3423E">
        <w:rPr>
          <w:rFonts w:ascii="Times New Roman" w:hAnsi="Times New Roman" w:cs="Times New Roman"/>
          <w:sz w:val="24"/>
          <w:szCs w:val="24"/>
          <w:lang w:val="lt-LT"/>
        </w:rPr>
        <w:t xml:space="preserve">D. P. </w:t>
      </w:r>
      <w:bookmarkEnd w:id="180"/>
      <w:r w:rsidRPr="00D407A6">
        <w:rPr>
          <w:rFonts w:ascii="Times New Roman" w:hAnsi="Times New Roman" w:cs="Times New Roman"/>
          <w:sz w:val="24"/>
          <w:szCs w:val="24"/>
          <w:lang w:val="lt-LT"/>
        </w:rPr>
        <w:t>ir R</w:t>
      </w:r>
      <w:r w:rsidR="00E3423E">
        <w:rPr>
          <w:rFonts w:ascii="Times New Roman" w:hAnsi="Times New Roman" w:cs="Times New Roman"/>
          <w:sz w:val="24"/>
          <w:szCs w:val="24"/>
          <w:lang w:val="lt-LT"/>
        </w:rPr>
        <w:t>.</w:t>
      </w:r>
      <w:r w:rsidRPr="00D407A6">
        <w:rPr>
          <w:rFonts w:ascii="Times New Roman" w:hAnsi="Times New Roman" w:cs="Times New Roman"/>
          <w:sz w:val="24"/>
          <w:szCs w:val="24"/>
          <w:lang w:val="lt-LT"/>
        </w:rPr>
        <w:t xml:space="preserve"> </w:t>
      </w:r>
      <w:bookmarkStart w:id="181" w:name="Buk_98"/>
      <w:r w:rsidR="00756415" w:rsidRPr="00E3423E">
        <w:rPr>
          <w:rFonts w:ascii="Times New Roman" w:hAnsi="Times New Roman" w:cs="Times New Roman"/>
          <w:sz w:val="24"/>
          <w:szCs w:val="24"/>
          <w:lang w:val="lt-LT"/>
        </w:rPr>
        <w:t xml:space="preserve">O. I. </w:t>
      </w:r>
      <w:bookmarkEnd w:id="181"/>
      <w:r w:rsidRPr="004114DD">
        <w:rPr>
          <w:rFonts w:ascii="Times New Roman" w:hAnsi="Times New Roman" w:cs="Times New Roman"/>
          <w:sz w:val="24"/>
          <w:szCs w:val="24"/>
          <w:lang w:val="lt-LT"/>
        </w:rPr>
        <w:t>pripažinti pažeidę Lietuvos Respublikos konkurencijos įstatymo 5 straipsnio 1 dalies 1 punktą ir Sutarties dėl Europos Sąjungos veikimo 101 straipsnio 1 dalies a punktą, jie įpareigoti nutraukti pažeidimą, jei jis vis dar tęsiamas, ir jiems skirtos baudos.“</w:t>
      </w:r>
    </w:p>
    <w:bookmarkEnd w:id="164"/>
    <w:p w14:paraId="2AE5A8B0" w14:textId="77777777" w:rsidR="00FF5531" w:rsidRPr="00D407A6" w:rsidRDefault="00FF5531" w:rsidP="00FF5531">
      <w:pPr>
        <w:spacing w:after="0" w:line="240" w:lineRule="auto"/>
        <w:ind w:firstLine="720"/>
        <w:rPr>
          <w:rFonts w:ascii="Times New Roman" w:hAnsi="Times New Roman" w:cs="Times New Roman"/>
          <w:sz w:val="24"/>
          <w:szCs w:val="24"/>
          <w:lang w:val="lt-LT"/>
        </w:rPr>
      </w:pPr>
      <w:r w:rsidRPr="00D407A6">
        <w:rPr>
          <w:rFonts w:ascii="Times New Roman" w:hAnsi="Times New Roman" w:cs="Times New Roman"/>
          <w:sz w:val="24"/>
          <w:szCs w:val="24"/>
          <w:lang w:val="lt-LT"/>
        </w:rPr>
        <w:t>Nutartis neskundžiama.</w:t>
      </w:r>
    </w:p>
    <w:p w14:paraId="478524A1" w14:textId="77777777" w:rsidR="00FF5531" w:rsidRPr="00D407A6" w:rsidRDefault="00FF5531" w:rsidP="00FF5531">
      <w:pPr>
        <w:spacing w:after="0" w:line="240" w:lineRule="auto"/>
        <w:ind w:firstLine="720"/>
        <w:rPr>
          <w:rFonts w:ascii="Times New Roman" w:hAnsi="Times New Roman" w:cs="Times New Roman"/>
          <w:sz w:val="24"/>
          <w:szCs w:val="24"/>
          <w:lang w:val="lt-LT"/>
        </w:rPr>
      </w:pPr>
    </w:p>
    <w:p w14:paraId="59DB1345" w14:textId="77777777" w:rsidR="00FF5531" w:rsidRPr="00D407A6" w:rsidRDefault="00FF5531" w:rsidP="00FF5531">
      <w:pPr>
        <w:spacing w:after="0" w:line="240" w:lineRule="auto"/>
        <w:ind w:firstLine="720"/>
        <w:rPr>
          <w:rFonts w:ascii="Times New Roman" w:hAnsi="Times New Roman" w:cs="Times New Roman"/>
          <w:sz w:val="24"/>
          <w:szCs w:val="24"/>
          <w:lang w:val="lt-LT"/>
        </w:rPr>
      </w:pPr>
    </w:p>
    <w:p w14:paraId="447F35A7" w14:textId="77777777" w:rsidR="00FF5531" w:rsidRPr="00D407A6" w:rsidRDefault="00FF5531" w:rsidP="00FF5531">
      <w:pPr>
        <w:tabs>
          <w:tab w:val="left" w:pos="6379"/>
        </w:tabs>
        <w:spacing w:after="0" w:line="240" w:lineRule="auto"/>
        <w:ind w:firstLine="720"/>
        <w:rPr>
          <w:rFonts w:ascii="Times New Roman" w:hAnsi="Times New Roman" w:cs="Times New Roman"/>
          <w:sz w:val="24"/>
          <w:szCs w:val="24"/>
          <w:lang w:val="lt-LT"/>
        </w:rPr>
      </w:pPr>
      <w:r w:rsidRPr="00D407A6">
        <w:rPr>
          <w:rFonts w:ascii="Times New Roman" w:hAnsi="Times New Roman" w:cs="Times New Roman"/>
          <w:sz w:val="24"/>
          <w:szCs w:val="24"/>
          <w:lang w:val="lt-LT"/>
        </w:rPr>
        <w:t>Teisėjai</w:t>
      </w:r>
      <w:r w:rsidRPr="00D407A6">
        <w:rPr>
          <w:rFonts w:ascii="Times New Roman" w:hAnsi="Times New Roman" w:cs="Times New Roman"/>
          <w:sz w:val="24"/>
          <w:szCs w:val="24"/>
          <w:lang w:val="lt-LT"/>
        </w:rPr>
        <w:tab/>
        <w:t>Artūras Drigotas</w:t>
      </w:r>
    </w:p>
    <w:p w14:paraId="5F3A1D9C" w14:textId="77777777" w:rsidR="00FF5531" w:rsidRPr="00D407A6" w:rsidRDefault="00FF5531" w:rsidP="00FF5531">
      <w:pPr>
        <w:tabs>
          <w:tab w:val="left" w:pos="6379"/>
        </w:tabs>
        <w:spacing w:after="0" w:line="240" w:lineRule="auto"/>
        <w:ind w:firstLine="720"/>
        <w:rPr>
          <w:rFonts w:ascii="Times New Roman" w:hAnsi="Times New Roman" w:cs="Times New Roman"/>
          <w:sz w:val="24"/>
          <w:szCs w:val="24"/>
          <w:lang w:val="lt-LT"/>
        </w:rPr>
      </w:pPr>
    </w:p>
    <w:p w14:paraId="538ED09F" w14:textId="77777777" w:rsidR="00FF5531" w:rsidRPr="00D407A6" w:rsidRDefault="00FF5531" w:rsidP="00FF5531">
      <w:pPr>
        <w:tabs>
          <w:tab w:val="left" w:pos="6379"/>
        </w:tabs>
        <w:spacing w:after="0" w:line="240" w:lineRule="auto"/>
        <w:ind w:firstLine="720"/>
        <w:rPr>
          <w:rFonts w:ascii="Times New Roman" w:hAnsi="Times New Roman" w:cs="Times New Roman"/>
          <w:sz w:val="24"/>
          <w:szCs w:val="24"/>
          <w:lang w:val="lt-LT"/>
        </w:rPr>
      </w:pPr>
    </w:p>
    <w:p w14:paraId="28E653A2" w14:textId="77777777" w:rsidR="00FF5531" w:rsidRPr="00D407A6" w:rsidRDefault="00FF5531" w:rsidP="00FF5531">
      <w:pPr>
        <w:tabs>
          <w:tab w:val="left" w:pos="6379"/>
        </w:tabs>
        <w:spacing w:after="0" w:line="240" w:lineRule="auto"/>
        <w:ind w:firstLine="720"/>
        <w:rPr>
          <w:rFonts w:ascii="Times New Roman" w:hAnsi="Times New Roman" w:cs="Times New Roman"/>
          <w:sz w:val="24"/>
          <w:szCs w:val="24"/>
          <w:lang w:val="lt-LT"/>
        </w:rPr>
      </w:pPr>
      <w:r w:rsidRPr="00D407A6">
        <w:rPr>
          <w:rFonts w:ascii="Times New Roman" w:hAnsi="Times New Roman" w:cs="Times New Roman"/>
          <w:sz w:val="24"/>
          <w:szCs w:val="24"/>
          <w:lang w:val="lt-LT"/>
        </w:rPr>
        <w:tab/>
        <w:t>Ramūnas Gadliauskas</w:t>
      </w:r>
    </w:p>
    <w:p w14:paraId="27232899" w14:textId="77777777" w:rsidR="00FF5531" w:rsidRPr="00D407A6" w:rsidRDefault="00FF5531" w:rsidP="00FF5531">
      <w:pPr>
        <w:tabs>
          <w:tab w:val="left" w:pos="6379"/>
        </w:tabs>
        <w:spacing w:after="0" w:line="240" w:lineRule="auto"/>
        <w:rPr>
          <w:rFonts w:ascii="Times New Roman" w:hAnsi="Times New Roman" w:cs="Times New Roman"/>
          <w:sz w:val="24"/>
          <w:szCs w:val="24"/>
          <w:lang w:val="lt-LT"/>
        </w:rPr>
      </w:pPr>
    </w:p>
    <w:p w14:paraId="0AD938A5" w14:textId="77777777" w:rsidR="00FF5531" w:rsidRPr="00D407A6" w:rsidRDefault="00FF5531" w:rsidP="00FF5531">
      <w:pPr>
        <w:tabs>
          <w:tab w:val="left" w:pos="6379"/>
        </w:tabs>
        <w:spacing w:after="0" w:line="240" w:lineRule="auto"/>
        <w:rPr>
          <w:rFonts w:ascii="Times New Roman" w:hAnsi="Times New Roman" w:cs="Times New Roman"/>
          <w:sz w:val="24"/>
          <w:szCs w:val="24"/>
          <w:lang w:val="lt-LT"/>
        </w:rPr>
      </w:pPr>
    </w:p>
    <w:p w14:paraId="4A5EDB39" w14:textId="77777777" w:rsidR="00FF5531" w:rsidRPr="00D407A6" w:rsidRDefault="00FF5531" w:rsidP="00FF5531">
      <w:pPr>
        <w:tabs>
          <w:tab w:val="left" w:pos="6379"/>
        </w:tabs>
        <w:spacing w:after="0" w:line="240" w:lineRule="auto"/>
        <w:ind w:firstLine="720"/>
        <w:rPr>
          <w:rFonts w:ascii="Times New Roman" w:hAnsi="Times New Roman" w:cs="Times New Roman"/>
          <w:sz w:val="24"/>
          <w:szCs w:val="24"/>
          <w:lang w:val="lt-LT"/>
        </w:rPr>
      </w:pPr>
      <w:r w:rsidRPr="00D407A6">
        <w:rPr>
          <w:rFonts w:ascii="Times New Roman" w:hAnsi="Times New Roman" w:cs="Times New Roman"/>
          <w:sz w:val="24"/>
          <w:szCs w:val="24"/>
          <w:lang w:val="lt-LT"/>
        </w:rPr>
        <w:tab/>
        <w:t>Milda Vainienė</w:t>
      </w:r>
    </w:p>
    <w:p w14:paraId="340CE5E9" w14:textId="77777777" w:rsidR="00FF5531" w:rsidRPr="00D407A6" w:rsidRDefault="00FF5531" w:rsidP="00FF5531">
      <w:pPr>
        <w:tabs>
          <w:tab w:val="left" w:pos="6379"/>
        </w:tabs>
        <w:spacing w:after="0" w:line="240" w:lineRule="auto"/>
        <w:ind w:firstLine="720"/>
        <w:rPr>
          <w:rFonts w:ascii="Times New Roman" w:hAnsi="Times New Roman" w:cs="Times New Roman"/>
          <w:sz w:val="24"/>
          <w:szCs w:val="24"/>
          <w:lang w:val="lt-LT"/>
        </w:rPr>
      </w:pPr>
    </w:p>
    <w:p w14:paraId="6DDCEB11" w14:textId="77777777" w:rsidR="00FF5531" w:rsidRPr="00D407A6" w:rsidRDefault="00FF5531" w:rsidP="00FF5531">
      <w:pPr>
        <w:tabs>
          <w:tab w:val="left" w:pos="6379"/>
        </w:tabs>
        <w:spacing w:after="0" w:line="240" w:lineRule="auto"/>
        <w:ind w:firstLine="720"/>
        <w:rPr>
          <w:rFonts w:ascii="Times New Roman" w:hAnsi="Times New Roman" w:cs="Times New Roman"/>
          <w:sz w:val="24"/>
          <w:szCs w:val="24"/>
          <w:lang w:val="lt-LT"/>
        </w:rPr>
      </w:pPr>
    </w:p>
    <w:p w14:paraId="4F32D9B2" w14:textId="77777777" w:rsidR="00FF5531" w:rsidRPr="00D407A6" w:rsidRDefault="00FF5531" w:rsidP="00FF5531">
      <w:pPr>
        <w:tabs>
          <w:tab w:val="left" w:pos="6379"/>
        </w:tabs>
        <w:spacing w:after="0" w:line="240" w:lineRule="auto"/>
        <w:ind w:firstLine="720"/>
        <w:rPr>
          <w:rFonts w:ascii="Times New Roman" w:hAnsi="Times New Roman" w:cs="Times New Roman"/>
          <w:sz w:val="24"/>
          <w:szCs w:val="24"/>
          <w:lang w:val="lt-LT"/>
        </w:rPr>
      </w:pPr>
      <w:r w:rsidRPr="00D407A6">
        <w:rPr>
          <w:rFonts w:ascii="Times New Roman" w:hAnsi="Times New Roman" w:cs="Times New Roman"/>
          <w:sz w:val="24"/>
          <w:szCs w:val="24"/>
          <w:lang w:val="lt-LT"/>
        </w:rPr>
        <w:tab/>
        <w:t>Dalia Višinskienė</w:t>
      </w:r>
    </w:p>
    <w:p w14:paraId="6CD65881" w14:textId="77777777" w:rsidR="00FF5531" w:rsidRPr="00D407A6" w:rsidRDefault="00FF5531" w:rsidP="00FF5531">
      <w:pPr>
        <w:tabs>
          <w:tab w:val="left" w:pos="6379"/>
        </w:tabs>
        <w:spacing w:after="0" w:line="240" w:lineRule="auto"/>
        <w:ind w:firstLine="720"/>
        <w:rPr>
          <w:rFonts w:ascii="Times New Roman" w:hAnsi="Times New Roman" w:cs="Times New Roman"/>
          <w:sz w:val="24"/>
          <w:szCs w:val="24"/>
          <w:lang w:val="lt-LT"/>
        </w:rPr>
      </w:pPr>
    </w:p>
    <w:p w14:paraId="760E3AB5" w14:textId="77777777" w:rsidR="00FF5531" w:rsidRPr="00D407A6" w:rsidRDefault="00FF5531" w:rsidP="00FF5531">
      <w:pPr>
        <w:tabs>
          <w:tab w:val="left" w:pos="6379"/>
        </w:tabs>
        <w:spacing w:after="0" w:line="240" w:lineRule="auto"/>
        <w:ind w:firstLine="720"/>
        <w:rPr>
          <w:rFonts w:ascii="Times New Roman" w:hAnsi="Times New Roman" w:cs="Times New Roman"/>
          <w:sz w:val="24"/>
          <w:szCs w:val="24"/>
          <w:lang w:val="lt-LT"/>
        </w:rPr>
      </w:pPr>
    </w:p>
    <w:p w14:paraId="04F0500F" w14:textId="1F76E243" w:rsidR="00FF5531" w:rsidRPr="009C64EB" w:rsidRDefault="00FF5531" w:rsidP="00386C6C">
      <w:pPr>
        <w:tabs>
          <w:tab w:val="left" w:pos="6379"/>
        </w:tabs>
        <w:spacing w:after="0" w:line="240" w:lineRule="auto"/>
        <w:ind w:firstLine="720"/>
        <w:rPr>
          <w:rFonts w:ascii="Times New Roman" w:hAnsi="Times New Roman" w:cs="Times New Roman"/>
          <w:sz w:val="24"/>
          <w:szCs w:val="24"/>
          <w:lang w:val="lt-LT"/>
        </w:rPr>
      </w:pPr>
      <w:r w:rsidRPr="00D407A6">
        <w:rPr>
          <w:rFonts w:ascii="Times New Roman" w:hAnsi="Times New Roman" w:cs="Times New Roman"/>
          <w:sz w:val="24"/>
          <w:szCs w:val="24"/>
          <w:lang w:val="lt-LT"/>
        </w:rPr>
        <w:tab/>
        <w:t>Skirgailė Žalimienė</w:t>
      </w:r>
    </w:p>
    <w:sectPr w:rsidR="00FF5531" w:rsidRPr="009C64EB" w:rsidSect="00755F3D">
      <w:footerReference w:type="default" r:id="rId9"/>
      <w:footerReference w:type="first" r:id="rId10"/>
      <w:pgSz w:w="12240" w:h="15840" w:code="1"/>
      <w:pgMar w:top="992"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F0EE" w14:textId="77777777" w:rsidR="004226B6" w:rsidRDefault="004226B6" w:rsidP="00B56117">
      <w:pPr>
        <w:spacing w:after="0" w:line="240" w:lineRule="auto"/>
      </w:pPr>
      <w:r>
        <w:separator/>
      </w:r>
    </w:p>
  </w:endnote>
  <w:endnote w:type="continuationSeparator" w:id="0">
    <w:p w14:paraId="4506F071" w14:textId="77777777" w:rsidR="004226B6" w:rsidRDefault="004226B6" w:rsidP="00B56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rdia New">
    <w:panose1 w:val="020B0304020202020204"/>
    <w:charset w:val="DE"/>
    <w:family w:val="swiss"/>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161135"/>
      <w:docPartObj>
        <w:docPartGallery w:val="Page Numbers (Bottom of Page)"/>
        <w:docPartUnique/>
      </w:docPartObj>
    </w:sdtPr>
    <w:sdtContent>
      <w:p w14:paraId="731AC74C" w14:textId="2A2A4887" w:rsidR="00755F3D" w:rsidRDefault="00755F3D">
        <w:pPr>
          <w:pStyle w:val="Porat"/>
          <w:jc w:val="center"/>
        </w:pPr>
        <w:r>
          <w:fldChar w:fldCharType="begin"/>
        </w:r>
        <w:r>
          <w:instrText>PAGE   \* MERGEFORMAT</w:instrText>
        </w:r>
        <w:r>
          <w:fldChar w:fldCharType="separate"/>
        </w:r>
        <w:r>
          <w:t>2</w:t>
        </w:r>
        <w:r>
          <w:fldChar w:fldCharType="end"/>
        </w:r>
      </w:p>
    </w:sdtContent>
  </w:sdt>
  <w:p w14:paraId="7AB9FBDB" w14:textId="77777777" w:rsidR="00F655F2" w:rsidRDefault="00F655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DA7F" w14:textId="437A7F20" w:rsidR="00F655F2" w:rsidRDefault="00F655F2">
    <w:pPr>
      <w:pStyle w:val="Porat"/>
      <w:jc w:val="center"/>
    </w:pPr>
  </w:p>
  <w:p w14:paraId="73920139" w14:textId="77777777" w:rsidR="00F655F2" w:rsidRDefault="00F655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4883" w14:textId="77777777" w:rsidR="004226B6" w:rsidRDefault="004226B6" w:rsidP="00B56117">
      <w:pPr>
        <w:spacing w:after="0" w:line="240" w:lineRule="auto"/>
      </w:pPr>
      <w:r>
        <w:separator/>
      </w:r>
    </w:p>
  </w:footnote>
  <w:footnote w:type="continuationSeparator" w:id="0">
    <w:p w14:paraId="32BC8AC9" w14:textId="77777777" w:rsidR="004226B6" w:rsidRDefault="004226B6" w:rsidP="00B56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CA1DF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2"/>
        <w:w w:val="100"/>
        <w:position w:val="0"/>
        <w:sz w:val="20"/>
        <w:szCs w:val="20"/>
        <w:u w:val="none"/>
      </w:rPr>
    </w:lvl>
    <w:lvl w:ilvl="1">
      <w:start w:val="7"/>
      <w:numFmt w:val="upperRoman"/>
      <w:lvlText w:val="(%2)"/>
      <w:lvlJc w:val="left"/>
      <w:rPr>
        <w:rFonts w:ascii="Arial" w:hAnsi="Arial" w:cs="Arial"/>
        <w:b w:val="0"/>
        <w:bCs w:val="0"/>
        <w:i w:val="0"/>
        <w:iCs w:val="0"/>
        <w:smallCaps w:val="0"/>
        <w:strike w:val="0"/>
        <w:color w:val="000000"/>
        <w:spacing w:val="-2"/>
        <w:w w:val="100"/>
        <w:position w:val="0"/>
        <w:sz w:val="20"/>
        <w:szCs w:val="20"/>
        <w:u w:val="none"/>
      </w:rPr>
    </w:lvl>
    <w:lvl w:ilvl="2">
      <w:start w:val="1"/>
      <w:numFmt w:val="upperRoman"/>
      <w:lvlText w:val="(%3)"/>
      <w:lvlJc w:val="left"/>
      <w:rPr>
        <w:rFonts w:ascii="Arial" w:hAnsi="Arial" w:cs="Arial"/>
        <w:b/>
        <w:bCs/>
        <w:i w:val="0"/>
        <w:iCs w:val="0"/>
        <w:smallCaps w:val="0"/>
        <w:strike w:val="0"/>
        <w:color w:val="000000"/>
        <w:spacing w:val="-2"/>
        <w:w w:val="100"/>
        <w:position w:val="0"/>
        <w:sz w:val="20"/>
        <w:szCs w:val="20"/>
        <w:u w:val="none"/>
      </w:rPr>
    </w:lvl>
    <w:lvl w:ilvl="3">
      <w:start w:val="1"/>
      <w:numFmt w:val="decimal"/>
      <w:lvlText w:val="%4."/>
      <w:lvlJc w:val="left"/>
      <w:rPr>
        <w:rFonts w:ascii="Arial" w:hAnsi="Arial" w:cs="Arial"/>
        <w:b w:val="0"/>
        <w:bCs w:val="0"/>
        <w:i w:val="0"/>
        <w:iCs w:val="0"/>
        <w:smallCaps w:val="0"/>
        <w:strike w:val="0"/>
        <w:color w:val="000000"/>
        <w:spacing w:val="-2"/>
        <w:w w:val="100"/>
        <w:position w:val="0"/>
        <w:sz w:val="20"/>
        <w:szCs w:val="20"/>
        <w:u w:val="none"/>
      </w:rPr>
    </w:lvl>
    <w:lvl w:ilvl="4">
      <w:start w:val="1"/>
      <w:numFmt w:val="decimal"/>
      <w:lvlText w:val="%5."/>
      <w:lvlJc w:val="left"/>
      <w:rPr>
        <w:rFonts w:ascii="Arial" w:hAnsi="Arial" w:cs="Arial"/>
        <w:b w:val="0"/>
        <w:bCs w:val="0"/>
        <w:i w:val="0"/>
        <w:iCs w:val="0"/>
        <w:smallCaps w:val="0"/>
        <w:strike w:val="0"/>
        <w:color w:val="000000"/>
        <w:spacing w:val="-2"/>
        <w:w w:val="100"/>
        <w:position w:val="0"/>
        <w:sz w:val="20"/>
        <w:szCs w:val="20"/>
        <w:u w:val="none"/>
      </w:rPr>
    </w:lvl>
    <w:lvl w:ilvl="5">
      <w:start w:val="1"/>
      <w:numFmt w:val="decimal"/>
      <w:lvlText w:val="%5."/>
      <w:lvlJc w:val="left"/>
      <w:rPr>
        <w:rFonts w:ascii="Arial" w:hAnsi="Arial" w:cs="Arial"/>
        <w:b w:val="0"/>
        <w:bCs w:val="0"/>
        <w:i w:val="0"/>
        <w:iCs w:val="0"/>
        <w:smallCaps w:val="0"/>
        <w:strike w:val="0"/>
        <w:color w:val="000000"/>
        <w:spacing w:val="-2"/>
        <w:w w:val="100"/>
        <w:position w:val="0"/>
        <w:sz w:val="20"/>
        <w:szCs w:val="20"/>
        <w:u w:val="none"/>
      </w:rPr>
    </w:lvl>
    <w:lvl w:ilvl="6">
      <w:start w:val="1"/>
      <w:numFmt w:val="decimal"/>
      <w:lvlText w:val="%5."/>
      <w:lvlJc w:val="left"/>
      <w:rPr>
        <w:rFonts w:ascii="Arial" w:hAnsi="Arial" w:cs="Arial"/>
        <w:b w:val="0"/>
        <w:bCs w:val="0"/>
        <w:i w:val="0"/>
        <w:iCs w:val="0"/>
        <w:smallCaps w:val="0"/>
        <w:strike w:val="0"/>
        <w:color w:val="000000"/>
        <w:spacing w:val="-2"/>
        <w:w w:val="100"/>
        <w:position w:val="0"/>
        <w:sz w:val="20"/>
        <w:szCs w:val="20"/>
        <w:u w:val="none"/>
      </w:rPr>
    </w:lvl>
    <w:lvl w:ilvl="7">
      <w:start w:val="1"/>
      <w:numFmt w:val="decimal"/>
      <w:lvlText w:val="%5."/>
      <w:lvlJc w:val="left"/>
      <w:rPr>
        <w:rFonts w:ascii="Arial" w:hAnsi="Arial" w:cs="Arial"/>
        <w:b w:val="0"/>
        <w:bCs w:val="0"/>
        <w:i w:val="0"/>
        <w:iCs w:val="0"/>
        <w:smallCaps w:val="0"/>
        <w:strike w:val="0"/>
        <w:color w:val="000000"/>
        <w:spacing w:val="-2"/>
        <w:w w:val="100"/>
        <w:position w:val="0"/>
        <w:sz w:val="20"/>
        <w:szCs w:val="20"/>
        <w:u w:val="none"/>
      </w:rPr>
    </w:lvl>
    <w:lvl w:ilvl="8">
      <w:start w:val="1"/>
      <w:numFmt w:val="decimal"/>
      <w:lvlText w:val="%5."/>
      <w:lvlJc w:val="left"/>
      <w:rPr>
        <w:rFonts w:ascii="Arial" w:hAnsi="Arial" w:cs="Arial"/>
        <w:b w:val="0"/>
        <w:bCs w:val="0"/>
        <w:i w:val="0"/>
        <w:iCs w:val="0"/>
        <w:smallCaps w:val="0"/>
        <w:strike w:val="0"/>
        <w:color w:val="000000"/>
        <w:spacing w:val="-2"/>
        <w:w w:val="100"/>
        <w:position w:val="0"/>
        <w:sz w:val="20"/>
        <w:szCs w:val="20"/>
        <w:u w:val="none"/>
      </w:rPr>
    </w:lvl>
  </w:abstractNum>
  <w:abstractNum w:abstractNumId="2" w15:restartNumberingAfterBreak="0">
    <w:nsid w:val="050C40AA"/>
    <w:multiLevelType w:val="hybridMultilevel"/>
    <w:tmpl w:val="1E1690AC"/>
    <w:lvl w:ilvl="0" w:tplc="87C4CD52">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B2B19A5"/>
    <w:multiLevelType w:val="multilevel"/>
    <w:tmpl w:val="28C20F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6076ED"/>
    <w:multiLevelType w:val="hybridMultilevel"/>
    <w:tmpl w:val="D36A36F4"/>
    <w:lvl w:ilvl="0" w:tplc="628C179A">
      <w:start w:val="1"/>
      <w:numFmt w:val="decimal"/>
      <w:lvlText w:val="56.%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E3C7F"/>
    <w:multiLevelType w:val="hybridMultilevel"/>
    <w:tmpl w:val="E4CAD806"/>
    <w:lvl w:ilvl="0" w:tplc="C3CE30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E017475"/>
    <w:multiLevelType w:val="multilevel"/>
    <w:tmpl w:val="FAC86D58"/>
    <w:lvl w:ilvl="0">
      <w:start w:val="5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091CAA"/>
    <w:multiLevelType w:val="multilevel"/>
    <w:tmpl w:val="B19AF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041E0"/>
    <w:multiLevelType w:val="multilevel"/>
    <w:tmpl w:val="0427001F"/>
    <w:lvl w:ilvl="0">
      <w:start w:val="1"/>
      <w:numFmt w:val="decimal"/>
      <w:lvlText w:val="%1."/>
      <w:lvlJc w:val="left"/>
      <w:pPr>
        <w:ind w:left="6314"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BF2155"/>
    <w:multiLevelType w:val="multilevel"/>
    <w:tmpl w:val="0014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11F29"/>
    <w:multiLevelType w:val="multilevel"/>
    <w:tmpl w:val="DC3A2EC2"/>
    <w:lvl w:ilvl="0">
      <w:start w:val="1"/>
      <w:numFmt w:val="decimal"/>
      <w:lvlText w:val="%1."/>
      <w:lvlJc w:val="left"/>
      <w:pPr>
        <w:ind w:left="7590" w:hanging="360"/>
      </w:pPr>
      <w:rPr>
        <w:rFonts w:hint="default"/>
        <w:sz w:val="24"/>
        <w:szCs w:val="24"/>
      </w:rPr>
    </w:lvl>
    <w:lvl w:ilvl="1">
      <w:start w:val="1"/>
      <w:numFmt w:val="decimal"/>
      <w:lvlText w:val="%1.%2."/>
      <w:lvlJc w:val="left"/>
      <w:pPr>
        <w:ind w:left="468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707FE5"/>
    <w:multiLevelType w:val="multilevel"/>
    <w:tmpl w:val="0427001F"/>
    <w:lvl w:ilvl="0">
      <w:start w:val="1"/>
      <w:numFmt w:val="decimal"/>
      <w:lvlText w:val="%1."/>
      <w:lvlJc w:val="left"/>
      <w:pPr>
        <w:ind w:left="3196"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213CE5"/>
    <w:multiLevelType w:val="hybridMultilevel"/>
    <w:tmpl w:val="A5D45E1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324C54BB"/>
    <w:multiLevelType w:val="multilevel"/>
    <w:tmpl w:val="76A4E112"/>
    <w:lvl w:ilvl="0">
      <w:start w:val="1"/>
      <w:numFmt w:val="decimal"/>
      <w:lvlText w:val="%1."/>
      <w:lvlJc w:val="left"/>
      <w:pPr>
        <w:ind w:left="360" w:hanging="360"/>
      </w:pPr>
      <w:rPr>
        <w:rFonts w:hint="default"/>
      </w:rPr>
    </w:lvl>
    <w:lvl w:ilvl="1">
      <w:start w:val="1"/>
      <w:numFmt w:val="decimal"/>
      <w:isLgl/>
      <w:lvlText w:val="%2."/>
      <w:lvlJc w:val="left"/>
      <w:pPr>
        <w:ind w:left="1069" w:hanging="360"/>
      </w:pPr>
      <w:rPr>
        <w:rFonts w:ascii="Times New Roman" w:eastAsiaTheme="minorEastAsia"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2F3622A"/>
    <w:multiLevelType w:val="hybridMultilevel"/>
    <w:tmpl w:val="A31CEF14"/>
    <w:lvl w:ilvl="0" w:tplc="01A21DFC">
      <w:start w:val="1"/>
      <w:numFmt w:val="decimal"/>
      <w:lvlText w:val="%1."/>
      <w:lvlJc w:val="left"/>
      <w:pPr>
        <w:ind w:left="4755" w:hanging="360"/>
      </w:pPr>
      <w:rPr>
        <w:rFonts w:hint="default"/>
      </w:rPr>
    </w:lvl>
    <w:lvl w:ilvl="1" w:tplc="04270019" w:tentative="1">
      <w:start w:val="1"/>
      <w:numFmt w:val="lowerLetter"/>
      <w:lvlText w:val="%2."/>
      <w:lvlJc w:val="left"/>
      <w:pPr>
        <w:ind w:left="4453" w:hanging="360"/>
      </w:pPr>
    </w:lvl>
    <w:lvl w:ilvl="2" w:tplc="0427001B" w:tentative="1">
      <w:start w:val="1"/>
      <w:numFmt w:val="lowerRoman"/>
      <w:lvlText w:val="%3."/>
      <w:lvlJc w:val="right"/>
      <w:pPr>
        <w:ind w:left="5173" w:hanging="180"/>
      </w:pPr>
    </w:lvl>
    <w:lvl w:ilvl="3" w:tplc="0427000F" w:tentative="1">
      <w:start w:val="1"/>
      <w:numFmt w:val="decimal"/>
      <w:lvlText w:val="%4."/>
      <w:lvlJc w:val="left"/>
      <w:pPr>
        <w:ind w:left="5893" w:hanging="360"/>
      </w:pPr>
    </w:lvl>
    <w:lvl w:ilvl="4" w:tplc="04270019" w:tentative="1">
      <w:start w:val="1"/>
      <w:numFmt w:val="lowerLetter"/>
      <w:lvlText w:val="%5."/>
      <w:lvlJc w:val="left"/>
      <w:pPr>
        <w:ind w:left="6613" w:hanging="360"/>
      </w:pPr>
    </w:lvl>
    <w:lvl w:ilvl="5" w:tplc="0427001B" w:tentative="1">
      <w:start w:val="1"/>
      <w:numFmt w:val="lowerRoman"/>
      <w:lvlText w:val="%6."/>
      <w:lvlJc w:val="right"/>
      <w:pPr>
        <w:ind w:left="7333" w:hanging="180"/>
      </w:pPr>
    </w:lvl>
    <w:lvl w:ilvl="6" w:tplc="0427000F" w:tentative="1">
      <w:start w:val="1"/>
      <w:numFmt w:val="decimal"/>
      <w:lvlText w:val="%7."/>
      <w:lvlJc w:val="left"/>
      <w:pPr>
        <w:ind w:left="8053" w:hanging="360"/>
      </w:pPr>
    </w:lvl>
    <w:lvl w:ilvl="7" w:tplc="04270019" w:tentative="1">
      <w:start w:val="1"/>
      <w:numFmt w:val="lowerLetter"/>
      <w:lvlText w:val="%8."/>
      <w:lvlJc w:val="left"/>
      <w:pPr>
        <w:ind w:left="8773" w:hanging="360"/>
      </w:pPr>
    </w:lvl>
    <w:lvl w:ilvl="8" w:tplc="0427001B" w:tentative="1">
      <w:start w:val="1"/>
      <w:numFmt w:val="lowerRoman"/>
      <w:lvlText w:val="%9."/>
      <w:lvlJc w:val="right"/>
      <w:pPr>
        <w:ind w:left="9493" w:hanging="180"/>
      </w:pPr>
    </w:lvl>
  </w:abstractNum>
  <w:abstractNum w:abstractNumId="15" w15:restartNumberingAfterBreak="0">
    <w:nsid w:val="3B2E2013"/>
    <w:multiLevelType w:val="hybridMultilevel"/>
    <w:tmpl w:val="D5967C16"/>
    <w:lvl w:ilvl="0" w:tplc="C59434AA">
      <w:start w:val="1"/>
      <w:numFmt w:val="decimal"/>
      <w:lvlText w:val="(%1)"/>
      <w:lvlJc w:val="left"/>
      <w:pPr>
        <w:ind w:left="720" w:hanging="360"/>
      </w:pPr>
      <w:rPr>
        <w:rFonts w:hint="default"/>
        <w:b w:val="0"/>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1642DB"/>
    <w:multiLevelType w:val="hybridMultilevel"/>
    <w:tmpl w:val="0D26C3D6"/>
    <w:lvl w:ilvl="0" w:tplc="0427001B">
      <w:start w:val="1"/>
      <w:numFmt w:val="lowerRoman"/>
      <w:lvlText w:val="%1."/>
      <w:lvlJc w:val="right"/>
      <w:pPr>
        <w:ind w:left="1488" w:hanging="360"/>
      </w:pPr>
    </w:lvl>
    <w:lvl w:ilvl="1" w:tplc="04270019" w:tentative="1">
      <w:start w:val="1"/>
      <w:numFmt w:val="lowerLetter"/>
      <w:lvlText w:val="%2."/>
      <w:lvlJc w:val="left"/>
      <w:pPr>
        <w:ind w:left="2208" w:hanging="360"/>
      </w:pPr>
    </w:lvl>
    <w:lvl w:ilvl="2" w:tplc="0427001B" w:tentative="1">
      <w:start w:val="1"/>
      <w:numFmt w:val="lowerRoman"/>
      <w:lvlText w:val="%3."/>
      <w:lvlJc w:val="right"/>
      <w:pPr>
        <w:ind w:left="2928" w:hanging="180"/>
      </w:pPr>
    </w:lvl>
    <w:lvl w:ilvl="3" w:tplc="0427000F" w:tentative="1">
      <w:start w:val="1"/>
      <w:numFmt w:val="decimal"/>
      <w:lvlText w:val="%4."/>
      <w:lvlJc w:val="left"/>
      <w:pPr>
        <w:ind w:left="3648" w:hanging="360"/>
      </w:pPr>
    </w:lvl>
    <w:lvl w:ilvl="4" w:tplc="04270019" w:tentative="1">
      <w:start w:val="1"/>
      <w:numFmt w:val="lowerLetter"/>
      <w:lvlText w:val="%5."/>
      <w:lvlJc w:val="left"/>
      <w:pPr>
        <w:ind w:left="4368" w:hanging="360"/>
      </w:pPr>
    </w:lvl>
    <w:lvl w:ilvl="5" w:tplc="0427001B" w:tentative="1">
      <w:start w:val="1"/>
      <w:numFmt w:val="lowerRoman"/>
      <w:lvlText w:val="%6."/>
      <w:lvlJc w:val="right"/>
      <w:pPr>
        <w:ind w:left="5088" w:hanging="180"/>
      </w:pPr>
    </w:lvl>
    <w:lvl w:ilvl="6" w:tplc="0427000F" w:tentative="1">
      <w:start w:val="1"/>
      <w:numFmt w:val="decimal"/>
      <w:lvlText w:val="%7."/>
      <w:lvlJc w:val="left"/>
      <w:pPr>
        <w:ind w:left="5808" w:hanging="360"/>
      </w:pPr>
    </w:lvl>
    <w:lvl w:ilvl="7" w:tplc="04270019" w:tentative="1">
      <w:start w:val="1"/>
      <w:numFmt w:val="lowerLetter"/>
      <w:lvlText w:val="%8."/>
      <w:lvlJc w:val="left"/>
      <w:pPr>
        <w:ind w:left="6528" w:hanging="360"/>
      </w:pPr>
    </w:lvl>
    <w:lvl w:ilvl="8" w:tplc="0427001B" w:tentative="1">
      <w:start w:val="1"/>
      <w:numFmt w:val="lowerRoman"/>
      <w:lvlText w:val="%9."/>
      <w:lvlJc w:val="right"/>
      <w:pPr>
        <w:ind w:left="7248" w:hanging="180"/>
      </w:pPr>
    </w:lvl>
  </w:abstractNum>
  <w:abstractNum w:abstractNumId="17" w15:restartNumberingAfterBreak="0">
    <w:nsid w:val="46ED2823"/>
    <w:multiLevelType w:val="multilevel"/>
    <w:tmpl w:val="5874B80E"/>
    <w:lvl w:ilvl="0">
      <w:start w:val="55"/>
      <w:numFmt w:val="decimal"/>
      <w:lvlText w:val="%1."/>
      <w:lvlJc w:val="left"/>
      <w:pPr>
        <w:ind w:left="480" w:hanging="480"/>
      </w:pPr>
      <w:rPr>
        <w:rFonts w:hint="default"/>
      </w:rPr>
    </w:lvl>
    <w:lvl w:ilvl="1">
      <w:start w:val="1"/>
      <w:numFmt w:val="lowerRoman"/>
      <w:lvlText w:val="%2."/>
      <w:lvlJc w:val="righ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7735227"/>
    <w:multiLevelType w:val="multilevel"/>
    <w:tmpl w:val="0427001F"/>
    <w:lvl w:ilvl="0">
      <w:start w:val="1"/>
      <w:numFmt w:val="decimal"/>
      <w:lvlText w:val="%1."/>
      <w:lvlJc w:val="left"/>
      <w:pPr>
        <w:ind w:left="540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9C4011"/>
    <w:multiLevelType w:val="hybridMultilevel"/>
    <w:tmpl w:val="C498A39A"/>
    <w:lvl w:ilvl="0" w:tplc="0409000F">
      <w:start w:val="1"/>
      <w:numFmt w:val="decimal"/>
      <w:lvlText w:val="%1."/>
      <w:lvlJc w:val="left"/>
      <w:pPr>
        <w:ind w:left="720" w:hanging="360"/>
      </w:pPr>
    </w:lvl>
    <w:lvl w:ilvl="1" w:tplc="BFE42BA4">
      <w:start w:val="1"/>
      <w:numFmt w:val="decimal"/>
      <w:lvlText w:val="%2."/>
      <w:lvlJc w:val="left"/>
      <w:pPr>
        <w:ind w:left="2100" w:hanging="1020"/>
      </w:pPr>
      <w:rPr>
        <w:rFonts w:hint="default"/>
      </w:rPr>
    </w:lvl>
    <w:lvl w:ilvl="2" w:tplc="5212FE9E">
      <w:start w:val="1"/>
      <w:numFmt w:val="decimal"/>
      <w:lvlText w:val="13.%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A4DE9"/>
    <w:multiLevelType w:val="multilevel"/>
    <w:tmpl w:val="313AD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0A3911"/>
    <w:multiLevelType w:val="multilevel"/>
    <w:tmpl w:val="F7E49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DD5F84"/>
    <w:multiLevelType w:val="multilevel"/>
    <w:tmpl w:val="5874B80E"/>
    <w:lvl w:ilvl="0">
      <w:start w:val="55"/>
      <w:numFmt w:val="decimal"/>
      <w:lvlText w:val="%1."/>
      <w:lvlJc w:val="left"/>
      <w:pPr>
        <w:ind w:left="480" w:hanging="480"/>
      </w:pPr>
      <w:rPr>
        <w:rFonts w:hint="default"/>
      </w:rPr>
    </w:lvl>
    <w:lvl w:ilvl="1">
      <w:start w:val="1"/>
      <w:numFmt w:val="lowerRoman"/>
      <w:lvlText w:val="%2."/>
      <w:lvlJc w:val="righ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2BE6AB9"/>
    <w:multiLevelType w:val="hybridMultilevel"/>
    <w:tmpl w:val="30C0B57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71D839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F02A25"/>
    <w:multiLevelType w:val="multilevel"/>
    <w:tmpl w:val="5874B80E"/>
    <w:lvl w:ilvl="0">
      <w:start w:val="55"/>
      <w:numFmt w:val="decimal"/>
      <w:lvlText w:val="%1."/>
      <w:lvlJc w:val="left"/>
      <w:pPr>
        <w:ind w:left="480" w:hanging="480"/>
      </w:pPr>
      <w:rPr>
        <w:rFonts w:hint="default"/>
      </w:rPr>
    </w:lvl>
    <w:lvl w:ilvl="1">
      <w:start w:val="1"/>
      <w:numFmt w:val="lowerRoman"/>
      <w:lvlText w:val="%2."/>
      <w:lvlJc w:val="righ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062869273">
    <w:abstractNumId w:val="1"/>
  </w:num>
  <w:num w:numId="2" w16cid:durableId="817921546">
    <w:abstractNumId w:val="21"/>
  </w:num>
  <w:num w:numId="3" w16cid:durableId="631713322">
    <w:abstractNumId w:val="7"/>
  </w:num>
  <w:num w:numId="4" w16cid:durableId="1192374238">
    <w:abstractNumId w:val="3"/>
  </w:num>
  <w:num w:numId="5" w16cid:durableId="335813716">
    <w:abstractNumId w:val="5"/>
  </w:num>
  <w:num w:numId="6" w16cid:durableId="277836970">
    <w:abstractNumId w:val="14"/>
  </w:num>
  <w:num w:numId="7" w16cid:durableId="133917161">
    <w:abstractNumId w:val="12"/>
  </w:num>
  <w:num w:numId="8" w16cid:durableId="719941187">
    <w:abstractNumId w:val="10"/>
  </w:num>
  <w:num w:numId="9" w16cid:durableId="983463521">
    <w:abstractNumId w:val="24"/>
  </w:num>
  <w:num w:numId="10" w16cid:durableId="1950114407">
    <w:abstractNumId w:val="20"/>
  </w:num>
  <w:num w:numId="11" w16cid:durableId="1741519956">
    <w:abstractNumId w:val="13"/>
  </w:num>
  <w:num w:numId="12" w16cid:durableId="194007023">
    <w:abstractNumId w:val="0"/>
  </w:num>
  <w:num w:numId="13" w16cid:durableId="2029065431">
    <w:abstractNumId w:val="8"/>
  </w:num>
  <w:num w:numId="14" w16cid:durableId="239676495">
    <w:abstractNumId w:val="11"/>
  </w:num>
  <w:num w:numId="15" w16cid:durableId="768502256">
    <w:abstractNumId w:val="23"/>
  </w:num>
  <w:num w:numId="16" w16cid:durableId="1828663303">
    <w:abstractNumId w:val="18"/>
  </w:num>
  <w:num w:numId="17" w16cid:durableId="1987856031">
    <w:abstractNumId w:val="2"/>
  </w:num>
  <w:num w:numId="18" w16cid:durableId="2142918716">
    <w:abstractNumId w:val="19"/>
  </w:num>
  <w:num w:numId="19" w16cid:durableId="1983807408">
    <w:abstractNumId w:val="4"/>
  </w:num>
  <w:num w:numId="20" w16cid:durableId="613441195">
    <w:abstractNumId w:val="15"/>
  </w:num>
  <w:num w:numId="21" w16cid:durableId="718282236">
    <w:abstractNumId w:val="6"/>
  </w:num>
  <w:num w:numId="22" w16cid:durableId="275330662">
    <w:abstractNumId w:val="25"/>
  </w:num>
  <w:num w:numId="23" w16cid:durableId="1954361592">
    <w:abstractNumId w:val="9"/>
  </w:num>
  <w:num w:numId="24" w16cid:durableId="319429084">
    <w:abstractNumId w:val="16"/>
  </w:num>
  <w:num w:numId="25" w16cid:durableId="301811388">
    <w:abstractNumId w:val="17"/>
  </w:num>
  <w:num w:numId="26" w16cid:durableId="496903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17"/>
    <w:rsid w:val="00000207"/>
    <w:rsid w:val="000015E1"/>
    <w:rsid w:val="00001892"/>
    <w:rsid w:val="00001DF8"/>
    <w:rsid w:val="00002023"/>
    <w:rsid w:val="000035AB"/>
    <w:rsid w:val="00004C6E"/>
    <w:rsid w:val="000061FC"/>
    <w:rsid w:val="00006200"/>
    <w:rsid w:val="0000632C"/>
    <w:rsid w:val="0000792F"/>
    <w:rsid w:val="00007AC5"/>
    <w:rsid w:val="0001061E"/>
    <w:rsid w:val="0001066F"/>
    <w:rsid w:val="00011F80"/>
    <w:rsid w:val="00013D67"/>
    <w:rsid w:val="00013F8A"/>
    <w:rsid w:val="00014732"/>
    <w:rsid w:val="0001620B"/>
    <w:rsid w:val="000176F1"/>
    <w:rsid w:val="00017C4E"/>
    <w:rsid w:val="0002143C"/>
    <w:rsid w:val="00021B54"/>
    <w:rsid w:val="00021DDE"/>
    <w:rsid w:val="00023851"/>
    <w:rsid w:val="00023BAF"/>
    <w:rsid w:val="00023D4D"/>
    <w:rsid w:val="0002502E"/>
    <w:rsid w:val="00027637"/>
    <w:rsid w:val="00030220"/>
    <w:rsid w:val="000310E6"/>
    <w:rsid w:val="000314E6"/>
    <w:rsid w:val="0003164E"/>
    <w:rsid w:val="00032230"/>
    <w:rsid w:val="000324A9"/>
    <w:rsid w:val="00032520"/>
    <w:rsid w:val="00032ADF"/>
    <w:rsid w:val="00033033"/>
    <w:rsid w:val="00033644"/>
    <w:rsid w:val="00033AEC"/>
    <w:rsid w:val="00033C5E"/>
    <w:rsid w:val="00034F6D"/>
    <w:rsid w:val="000364E6"/>
    <w:rsid w:val="00036DDD"/>
    <w:rsid w:val="00037E57"/>
    <w:rsid w:val="00037E6A"/>
    <w:rsid w:val="00037FA3"/>
    <w:rsid w:val="00040F08"/>
    <w:rsid w:val="000415C3"/>
    <w:rsid w:val="0004335C"/>
    <w:rsid w:val="000436A2"/>
    <w:rsid w:val="00043EC9"/>
    <w:rsid w:val="000466F7"/>
    <w:rsid w:val="00047A0A"/>
    <w:rsid w:val="00047DA0"/>
    <w:rsid w:val="00051CDC"/>
    <w:rsid w:val="000536FB"/>
    <w:rsid w:val="00056E62"/>
    <w:rsid w:val="00056F5B"/>
    <w:rsid w:val="0005710A"/>
    <w:rsid w:val="00057E0B"/>
    <w:rsid w:val="00060053"/>
    <w:rsid w:val="00060429"/>
    <w:rsid w:val="000607A8"/>
    <w:rsid w:val="00061702"/>
    <w:rsid w:val="00061AAA"/>
    <w:rsid w:val="00061C76"/>
    <w:rsid w:val="00061D8F"/>
    <w:rsid w:val="00062486"/>
    <w:rsid w:val="000626E9"/>
    <w:rsid w:val="00062B0F"/>
    <w:rsid w:val="00062FBC"/>
    <w:rsid w:val="00064026"/>
    <w:rsid w:val="00065811"/>
    <w:rsid w:val="00065D13"/>
    <w:rsid w:val="00065D8D"/>
    <w:rsid w:val="00067B0F"/>
    <w:rsid w:val="0007058E"/>
    <w:rsid w:val="00070715"/>
    <w:rsid w:val="000714E3"/>
    <w:rsid w:val="000723D8"/>
    <w:rsid w:val="000724E5"/>
    <w:rsid w:val="00072C8D"/>
    <w:rsid w:val="00072C9E"/>
    <w:rsid w:val="00072D77"/>
    <w:rsid w:val="00073B54"/>
    <w:rsid w:val="00073B87"/>
    <w:rsid w:val="00073E35"/>
    <w:rsid w:val="00074061"/>
    <w:rsid w:val="00074EF9"/>
    <w:rsid w:val="00075873"/>
    <w:rsid w:val="000779F0"/>
    <w:rsid w:val="00080619"/>
    <w:rsid w:val="000817D5"/>
    <w:rsid w:val="00081FEC"/>
    <w:rsid w:val="00082088"/>
    <w:rsid w:val="00082DF0"/>
    <w:rsid w:val="000837E7"/>
    <w:rsid w:val="00083CE1"/>
    <w:rsid w:val="00083D39"/>
    <w:rsid w:val="00084353"/>
    <w:rsid w:val="00084E7A"/>
    <w:rsid w:val="00085208"/>
    <w:rsid w:val="00085447"/>
    <w:rsid w:val="0008584F"/>
    <w:rsid w:val="000858EF"/>
    <w:rsid w:val="00085F07"/>
    <w:rsid w:val="000869B7"/>
    <w:rsid w:val="000877A6"/>
    <w:rsid w:val="00087CE9"/>
    <w:rsid w:val="00090327"/>
    <w:rsid w:val="000906F9"/>
    <w:rsid w:val="00090991"/>
    <w:rsid w:val="00090D17"/>
    <w:rsid w:val="00091EDB"/>
    <w:rsid w:val="00092A48"/>
    <w:rsid w:val="00093DC6"/>
    <w:rsid w:val="0009435F"/>
    <w:rsid w:val="000944C4"/>
    <w:rsid w:val="000951EE"/>
    <w:rsid w:val="00095C4E"/>
    <w:rsid w:val="00095E88"/>
    <w:rsid w:val="00096BF7"/>
    <w:rsid w:val="00097154"/>
    <w:rsid w:val="000A142E"/>
    <w:rsid w:val="000A1C1E"/>
    <w:rsid w:val="000A24FC"/>
    <w:rsid w:val="000A2534"/>
    <w:rsid w:val="000A47A0"/>
    <w:rsid w:val="000A4880"/>
    <w:rsid w:val="000A48EC"/>
    <w:rsid w:val="000A559F"/>
    <w:rsid w:val="000A609B"/>
    <w:rsid w:val="000A615C"/>
    <w:rsid w:val="000A68E4"/>
    <w:rsid w:val="000A6A00"/>
    <w:rsid w:val="000A78BE"/>
    <w:rsid w:val="000B04BD"/>
    <w:rsid w:val="000B0586"/>
    <w:rsid w:val="000B065C"/>
    <w:rsid w:val="000B0865"/>
    <w:rsid w:val="000B0C3A"/>
    <w:rsid w:val="000B2F21"/>
    <w:rsid w:val="000B3B6A"/>
    <w:rsid w:val="000B4058"/>
    <w:rsid w:val="000B4316"/>
    <w:rsid w:val="000B47AD"/>
    <w:rsid w:val="000B5422"/>
    <w:rsid w:val="000B5BEA"/>
    <w:rsid w:val="000B5C7B"/>
    <w:rsid w:val="000B649F"/>
    <w:rsid w:val="000B715B"/>
    <w:rsid w:val="000B7717"/>
    <w:rsid w:val="000C0626"/>
    <w:rsid w:val="000C1416"/>
    <w:rsid w:val="000C2DA0"/>
    <w:rsid w:val="000C325C"/>
    <w:rsid w:val="000C3313"/>
    <w:rsid w:val="000C576B"/>
    <w:rsid w:val="000C5F02"/>
    <w:rsid w:val="000C604F"/>
    <w:rsid w:val="000C660D"/>
    <w:rsid w:val="000C6A26"/>
    <w:rsid w:val="000C7F60"/>
    <w:rsid w:val="000D046F"/>
    <w:rsid w:val="000D0E55"/>
    <w:rsid w:val="000D1878"/>
    <w:rsid w:val="000D1E00"/>
    <w:rsid w:val="000D1E42"/>
    <w:rsid w:val="000D20D5"/>
    <w:rsid w:val="000D2B1C"/>
    <w:rsid w:val="000D3841"/>
    <w:rsid w:val="000D4543"/>
    <w:rsid w:val="000D45A7"/>
    <w:rsid w:val="000D5324"/>
    <w:rsid w:val="000D539E"/>
    <w:rsid w:val="000D540C"/>
    <w:rsid w:val="000D55A2"/>
    <w:rsid w:val="000D5D6D"/>
    <w:rsid w:val="000D715B"/>
    <w:rsid w:val="000D7199"/>
    <w:rsid w:val="000D7C6E"/>
    <w:rsid w:val="000E02F3"/>
    <w:rsid w:val="000E0589"/>
    <w:rsid w:val="000E07E4"/>
    <w:rsid w:val="000E0AC2"/>
    <w:rsid w:val="000E1CEB"/>
    <w:rsid w:val="000E384F"/>
    <w:rsid w:val="000E49F1"/>
    <w:rsid w:val="000E4D78"/>
    <w:rsid w:val="000E65AD"/>
    <w:rsid w:val="000E6B11"/>
    <w:rsid w:val="000E6BCA"/>
    <w:rsid w:val="000E6E36"/>
    <w:rsid w:val="000E7C61"/>
    <w:rsid w:val="000F028B"/>
    <w:rsid w:val="000F0CA2"/>
    <w:rsid w:val="000F16CE"/>
    <w:rsid w:val="000F20B6"/>
    <w:rsid w:val="000F2528"/>
    <w:rsid w:val="000F4952"/>
    <w:rsid w:val="000F5BC3"/>
    <w:rsid w:val="000F5C55"/>
    <w:rsid w:val="000F63E6"/>
    <w:rsid w:val="000F69FA"/>
    <w:rsid w:val="000F73F9"/>
    <w:rsid w:val="000F7988"/>
    <w:rsid w:val="000F7A60"/>
    <w:rsid w:val="0010126B"/>
    <w:rsid w:val="001012F8"/>
    <w:rsid w:val="001014F1"/>
    <w:rsid w:val="001025A0"/>
    <w:rsid w:val="0010304C"/>
    <w:rsid w:val="00103D05"/>
    <w:rsid w:val="0010532F"/>
    <w:rsid w:val="001057C8"/>
    <w:rsid w:val="00105AA9"/>
    <w:rsid w:val="001060B6"/>
    <w:rsid w:val="001067FF"/>
    <w:rsid w:val="00107A39"/>
    <w:rsid w:val="001103D5"/>
    <w:rsid w:val="00110E4B"/>
    <w:rsid w:val="001115CF"/>
    <w:rsid w:val="0011179C"/>
    <w:rsid w:val="00111D72"/>
    <w:rsid w:val="001122C8"/>
    <w:rsid w:val="00112768"/>
    <w:rsid w:val="00114505"/>
    <w:rsid w:val="00114652"/>
    <w:rsid w:val="00114A0E"/>
    <w:rsid w:val="0011512E"/>
    <w:rsid w:val="0011578A"/>
    <w:rsid w:val="001158F7"/>
    <w:rsid w:val="00116952"/>
    <w:rsid w:val="00117303"/>
    <w:rsid w:val="0011730D"/>
    <w:rsid w:val="00121AC3"/>
    <w:rsid w:val="00121D32"/>
    <w:rsid w:val="00122D76"/>
    <w:rsid w:val="00122ECB"/>
    <w:rsid w:val="00122FBF"/>
    <w:rsid w:val="001231F7"/>
    <w:rsid w:val="001233D2"/>
    <w:rsid w:val="00123B9D"/>
    <w:rsid w:val="001249C2"/>
    <w:rsid w:val="00124F46"/>
    <w:rsid w:val="0012557F"/>
    <w:rsid w:val="00125BC6"/>
    <w:rsid w:val="00125C39"/>
    <w:rsid w:val="001271F1"/>
    <w:rsid w:val="001273BA"/>
    <w:rsid w:val="001273F4"/>
    <w:rsid w:val="0012758B"/>
    <w:rsid w:val="00130FB0"/>
    <w:rsid w:val="00131942"/>
    <w:rsid w:val="0013227C"/>
    <w:rsid w:val="0013268D"/>
    <w:rsid w:val="00132D79"/>
    <w:rsid w:val="001330F2"/>
    <w:rsid w:val="001336DF"/>
    <w:rsid w:val="00133D12"/>
    <w:rsid w:val="0013432D"/>
    <w:rsid w:val="00134B9B"/>
    <w:rsid w:val="00135E79"/>
    <w:rsid w:val="00137294"/>
    <w:rsid w:val="001378F8"/>
    <w:rsid w:val="00137BD1"/>
    <w:rsid w:val="00137C0F"/>
    <w:rsid w:val="00137C71"/>
    <w:rsid w:val="00140E67"/>
    <w:rsid w:val="00141BBD"/>
    <w:rsid w:val="001423FA"/>
    <w:rsid w:val="00142409"/>
    <w:rsid w:val="00142BEA"/>
    <w:rsid w:val="001432D2"/>
    <w:rsid w:val="00143A89"/>
    <w:rsid w:val="0014422C"/>
    <w:rsid w:val="0014461E"/>
    <w:rsid w:val="001449F1"/>
    <w:rsid w:val="00144BFA"/>
    <w:rsid w:val="00147EE8"/>
    <w:rsid w:val="00150A49"/>
    <w:rsid w:val="00151A7E"/>
    <w:rsid w:val="00152E98"/>
    <w:rsid w:val="001547F7"/>
    <w:rsid w:val="00154964"/>
    <w:rsid w:val="00154A1E"/>
    <w:rsid w:val="00156614"/>
    <w:rsid w:val="001566F4"/>
    <w:rsid w:val="00156D2B"/>
    <w:rsid w:val="00157868"/>
    <w:rsid w:val="0016167A"/>
    <w:rsid w:val="00161AE6"/>
    <w:rsid w:val="001620C8"/>
    <w:rsid w:val="001630C8"/>
    <w:rsid w:val="00164938"/>
    <w:rsid w:val="00164B2C"/>
    <w:rsid w:val="00165907"/>
    <w:rsid w:val="00165A36"/>
    <w:rsid w:val="00167229"/>
    <w:rsid w:val="00167758"/>
    <w:rsid w:val="00170EDC"/>
    <w:rsid w:val="001711C9"/>
    <w:rsid w:val="00171D71"/>
    <w:rsid w:val="00172138"/>
    <w:rsid w:val="001744AA"/>
    <w:rsid w:val="00175234"/>
    <w:rsid w:val="001755E5"/>
    <w:rsid w:val="00175DAB"/>
    <w:rsid w:val="00176A1A"/>
    <w:rsid w:val="00176C93"/>
    <w:rsid w:val="00177454"/>
    <w:rsid w:val="00177899"/>
    <w:rsid w:val="00177BEF"/>
    <w:rsid w:val="001809C6"/>
    <w:rsid w:val="00180C6E"/>
    <w:rsid w:val="00181923"/>
    <w:rsid w:val="0018203D"/>
    <w:rsid w:val="001823A6"/>
    <w:rsid w:val="00182DBE"/>
    <w:rsid w:val="00185116"/>
    <w:rsid w:val="00185F1F"/>
    <w:rsid w:val="00187D47"/>
    <w:rsid w:val="00187F1E"/>
    <w:rsid w:val="00190253"/>
    <w:rsid w:val="00190522"/>
    <w:rsid w:val="001908F2"/>
    <w:rsid w:val="001913DE"/>
    <w:rsid w:val="00191CA4"/>
    <w:rsid w:val="0019203E"/>
    <w:rsid w:val="001923DF"/>
    <w:rsid w:val="00192CB7"/>
    <w:rsid w:val="00193128"/>
    <w:rsid w:val="00194242"/>
    <w:rsid w:val="001944E7"/>
    <w:rsid w:val="00195631"/>
    <w:rsid w:val="001967CA"/>
    <w:rsid w:val="00196977"/>
    <w:rsid w:val="00197076"/>
    <w:rsid w:val="001970CA"/>
    <w:rsid w:val="001A019E"/>
    <w:rsid w:val="001A2A8D"/>
    <w:rsid w:val="001A39F1"/>
    <w:rsid w:val="001A3B6F"/>
    <w:rsid w:val="001A3E1C"/>
    <w:rsid w:val="001A3F77"/>
    <w:rsid w:val="001A479D"/>
    <w:rsid w:val="001A5005"/>
    <w:rsid w:val="001A5447"/>
    <w:rsid w:val="001A598B"/>
    <w:rsid w:val="001A5F6C"/>
    <w:rsid w:val="001A6384"/>
    <w:rsid w:val="001B0C70"/>
    <w:rsid w:val="001B10DE"/>
    <w:rsid w:val="001B1133"/>
    <w:rsid w:val="001B1D64"/>
    <w:rsid w:val="001B2289"/>
    <w:rsid w:val="001B2AAB"/>
    <w:rsid w:val="001B32EE"/>
    <w:rsid w:val="001B372C"/>
    <w:rsid w:val="001B391D"/>
    <w:rsid w:val="001B3974"/>
    <w:rsid w:val="001B3A4F"/>
    <w:rsid w:val="001B41DC"/>
    <w:rsid w:val="001B43E0"/>
    <w:rsid w:val="001B4400"/>
    <w:rsid w:val="001B4B14"/>
    <w:rsid w:val="001B5CEC"/>
    <w:rsid w:val="001B6732"/>
    <w:rsid w:val="001C1D71"/>
    <w:rsid w:val="001C2D1A"/>
    <w:rsid w:val="001C4214"/>
    <w:rsid w:val="001C4921"/>
    <w:rsid w:val="001C49D0"/>
    <w:rsid w:val="001C4AE0"/>
    <w:rsid w:val="001C6D55"/>
    <w:rsid w:val="001D062A"/>
    <w:rsid w:val="001D0720"/>
    <w:rsid w:val="001D0ADE"/>
    <w:rsid w:val="001D1698"/>
    <w:rsid w:val="001D1CC3"/>
    <w:rsid w:val="001D27AD"/>
    <w:rsid w:val="001D2EA5"/>
    <w:rsid w:val="001D3E7A"/>
    <w:rsid w:val="001D4174"/>
    <w:rsid w:val="001D5489"/>
    <w:rsid w:val="001D641A"/>
    <w:rsid w:val="001D6655"/>
    <w:rsid w:val="001D6782"/>
    <w:rsid w:val="001D67BF"/>
    <w:rsid w:val="001D76FF"/>
    <w:rsid w:val="001D7E1C"/>
    <w:rsid w:val="001E0ADD"/>
    <w:rsid w:val="001E1A86"/>
    <w:rsid w:val="001E24E0"/>
    <w:rsid w:val="001E40D1"/>
    <w:rsid w:val="001E5622"/>
    <w:rsid w:val="001E57CA"/>
    <w:rsid w:val="001E5EFF"/>
    <w:rsid w:val="001E5FA5"/>
    <w:rsid w:val="001E62B5"/>
    <w:rsid w:val="001E697E"/>
    <w:rsid w:val="001E6A80"/>
    <w:rsid w:val="001E7F6E"/>
    <w:rsid w:val="001F0BAB"/>
    <w:rsid w:val="001F0CAD"/>
    <w:rsid w:val="001F11B3"/>
    <w:rsid w:val="001F16A8"/>
    <w:rsid w:val="001F1952"/>
    <w:rsid w:val="001F1F97"/>
    <w:rsid w:val="001F2AC5"/>
    <w:rsid w:val="001F39A3"/>
    <w:rsid w:val="001F39D5"/>
    <w:rsid w:val="001F48F7"/>
    <w:rsid w:val="001F4AEC"/>
    <w:rsid w:val="001F4F48"/>
    <w:rsid w:val="001F4F70"/>
    <w:rsid w:val="001F5339"/>
    <w:rsid w:val="001F56F8"/>
    <w:rsid w:val="001F5EE7"/>
    <w:rsid w:val="001F6093"/>
    <w:rsid w:val="001F60D7"/>
    <w:rsid w:val="001F71FB"/>
    <w:rsid w:val="001F7655"/>
    <w:rsid w:val="001F7A01"/>
    <w:rsid w:val="0020089B"/>
    <w:rsid w:val="00200B4E"/>
    <w:rsid w:val="00201278"/>
    <w:rsid w:val="0020174E"/>
    <w:rsid w:val="00201993"/>
    <w:rsid w:val="002026E0"/>
    <w:rsid w:val="00202FE1"/>
    <w:rsid w:val="002031D7"/>
    <w:rsid w:val="00203652"/>
    <w:rsid w:val="00203726"/>
    <w:rsid w:val="00203F31"/>
    <w:rsid w:val="0020422F"/>
    <w:rsid w:val="002042D4"/>
    <w:rsid w:val="0020552F"/>
    <w:rsid w:val="002059E9"/>
    <w:rsid w:val="00205B63"/>
    <w:rsid w:val="002069F1"/>
    <w:rsid w:val="00206A75"/>
    <w:rsid w:val="00206AED"/>
    <w:rsid w:val="00207124"/>
    <w:rsid w:val="00207AC7"/>
    <w:rsid w:val="002103DD"/>
    <w:rsid w:val="00211747"/>
    <w:rsid w:val="00211784"/>
    <w:rsid w:val="00211E56"/>
    <w:rsid w:val="002137AF"/>
    <w:rsid w:val="0021384C"/>
    <w:rsid w:val="00213EB5"/>
    <w:rsid w:val="00214012"/>
    <w:rsid w:val="0021429F"/>
    <w:rsid w:val="0021508D"/>
    <w:rsid w:val="0021561B"/>
    <w:rsid w:val="00215C88"/>
    <w:rsid w:val="00216EBF"/>
    <w:rsid w:val="002173C1"/>
    <w:rsid w:val="00217A1E"/>
    <w:rsid w:val="00217A6B"/>
    <w:rsid w:val="00217E4E"/>
    <w:rsid w:val="0022081A"/>
    <w:rsid w:val="00220907"/>
    <w:rsid w:val="0022097D"/>
    <w:rsid w:val="00220AFC"/>
    <w:rsid w:val="00220C07"/>
    <w:rsid w:val="00221CCF"/>
    <w:rsid w:val="002226DE"/>
    <w:rsid w:val="00222AC8"/>
    <w:rsid w:val="00226507"/>
    <w:rsid w:val="0022668D"/>
    <w:rsid w:val="00227608"/>
    <w:rsid w:val="002279BA"/>
    <w:rsid w:val="00227B98"/>
    <w:rsid w:val="00230F17"/>
    <w:rsid w:val="00232793"/>
    <w:rsid w:val="00232A5F"/>
    <w:rsid w:val="00233531"/>
    <w:rsid w:val="00233780"/>
    <w:rsid w:val="00233BD2"/>
    <w:rsid w:val="00233CFE"/>
    <w:rsid w:val="00234067"/>
    <w:rsid w:val="00234FBB"/>
    <w:rsid w:val="0023651D"/>
    <w:rsid w:val="00236534"/>
    <w:rsid w:val="00236812"/>
    <w:rsid w:val="00240EFD"/>
    <w:rsid w:val="0024117F"/>
    <w:rsid w:val="0024129E"/>
    <w:rsid w:val="002418B0"/>
    <w:rsid w:val="002418BD"/>
    <w:rsid w:val="00241BE4"/>
    <w:rsid w:val="00241D07"/>
    <w:rsid w:val="0024371B"/>
    <w:rsid w:val="00243B6F"/>
    <w:rsid w:val="00244DDE"/>
    <w:rsid w:val="0024516D"/>
    <w:rsid w:val="002467CB"/>
    <w:rsid w:val="002479A4"/>
    <w:rsid w:val="00247CB8"/>
    <w:rsid w:val="00247DA3"/>
    <w:rsid w:val="00250410"/>
    <w:rsid w:val="002504C9"/>
    <w:rsid w:val="002505E9"/>
    <w:rsid w:val="0025136E"/>
    <w:rsid w:val="002517FE"/>
    <w:rsid w:val="00251FDD"/>
    <w:rsid w:val="00252CE5"/>
    <w:rsid w:val="002531E6"/>
    <w:rsid w:val="00253FD5"/>
    <w:rsid w:val="0025522F"/>
    <w:rsid w:val="00255463"/>
    <w:rsid w:val="00255581"/>
    <w:rsid w:val="00256868"/>
    <w:rsid w:val="00257D67"/>
    <w:rsid w:val="002609F8"/>
    <w:rsid w:val="002612E4"/>
    <w:rsid w:val="002623A2"/>
    <w:rsid w:val="00263002"/>
    <w:rsid w:val="00263806"/>
    <w:rsid w:val="00263C43"/>
    <w:rsid w:val="0026400E"/>
    <w:rsid w:val="002648DD"/>
    <w:rsid w:val="00264C42"/>
    <w:rsid w:val="00264D0D"/>
    <w:rsid w:val="00264E5D"/>
    <w:rsid w:val="00265A01"/>
    <w:rsid w:val="00265D89"/>
    <w:rsid w:val="00267BC8"/>
    <w:rsid w:val="00271F1C"/>
    <w:rsid w:val="002731A4"/>
    <w:rsid w:val="00273C92"/>
    <w:rsid w:val="002746FB"/>
    <w:rsid w:val="002747E3"/>
    <w:rsid w:val="00274B82"/>
    <w:rsid w:val="00275793"/>
    <w:rsid w:val="0027659B"/>
    <w:rsid w:val="00276626"/>
    <w:rsid w:val="002772B3"/>
    <w:rsid w:val="00281AD7"/>
    <w:rsid w:val="00282755"/>
    <w:rsid w:val="00282B04"/>
    <w:rsid w:val="002830D8"/>
    <w:rsid w:val="00283EB3"/>
    <w:rsid w:val="002852CF"/>
    <w:rsid w:val="002853B2"/>
    <w:rsid w:val="00286619"/>
    <w:rsid w:val="002868E6"/>
    <w:rsid w:val="00286A9E"/>
    <w:rsid w:val="002873B4"/>
    <w:rsid w:val="002932F0"/>
    <w:rsid w:val="002934C7"/>
    <w:rsid w:val="00293863"/>
    <w:rsid w:val="00294682"/>
    <w:rsid w:val="00294B6F"/>
    <w:rsid w:val="002964F2"/>
    <w:rsid w:val="002A035F"/>
    <w:rsid w:val="002A1483"/>
    <w:rsid w:val="002A185D"/>
    <w:rsid w:val="002A229B"/>
    <w:rsid w:val="002A22F5"/>
    <w:rsid w:val="002A2FD4"/>
    <w:rsid w:val="002A32DF"/>
    <w:rsid w:val="002A3B66"/>
    <w:rsid w:val="002A3CE6"/>
    <w:rsid w:val="002A3E14"/>
    <w:rsid w:val="002A4CA4"/>
    <w:rsid w:val="002A4ECB"/>
    <w:rsid w:val="002A57FA"/>
    <w:rsid w:val="002A6B63"/>
    <w:rsid w:val="002A6ED6"/>
    <w:rsid w:val="002A6F72"/>
    <w:rsid w:val="002A7454"/>
    <w:rsid w:val="002A74C5"/>
    <w:rsid w:val="002A7860"/>
    <w:rsid w:val="002B076F"/>
    <w:rsid w:val="002B17AE"/>
    <w:rsid w:val="002B298C"/>
    <w:rsid w:val="002B2B12"/>
    <w:rsid w:val="002B2F29"/>
    <w:rsid w:val="002B39B4"/>
    <w:rsid w:val="002B4250"/>
    <w:rsid w:val="002B450B"/>
    <w:rsid w:val="002B522D"/>
    <w:rsid w:val="002C06E9"/>
    <w:rsid w:val="002C0E78"/>
    <w:rsid w:val="002C0ED6"/>
    <w:rsid w:val="002C1FED"/>
    <w:rsid w:val="002C26DE"/>
    <w:rsid w:val="002C2AB4"/>
    <w:rsid w:val="002C2B1A"/>
    <w:rsid w:val="002C2F3E"/>
    <w:rsid w:val="002C37CD"/>
    <w:rsid w:val="002C3D0A"/>
    <w:rsid w:val="002C3E3A"/>
    <w:rsid w:val="002C3F68"/>
    <w:rsid w:val="002C40A6"/>
    <w:rsid w:val="002C462C"/>
    <w:rsid w:val="002C6A3D"/>
    <w:rsid w:val="002C6E27"/>
    <w:rsid w:val="002C6FFE"/>
    <w:rsid w:val="002C712D"/>
    <w:rsid w:val="002C74A8"/>
    <w:rsid w:val="002C7560"/>
    <w:rsid w:val="002C7C4A"/>
    <w:rsid w:val="002D1550"/>
    <w:rsid w:val="002D160C"/>
    <w:rsid w:val="002D197F"/>
    <w:rsid w:val="002D23D4"/>
    <w:rsid w:val="002D2B4E"/>
    <w:rsid w:val="002D2B87"/>
    <w:rsid w:val="002D3565"/>
    <w:rsid w:val="002D385D"/>
    <w:rsid w:val="002D54CB"/>
    <w:rsid w:val="002D68C6"/>
    <w:rsid w:val="002D6D4D"/>
    <w:rsid w:val="002D6FA6"/>
    <w:rsid w:val="002D75F8"/>
    <w:rsid w:val="002E0526"/>
    <w:rsid w:val="002E06C0"/>
    <w:rsid w:val="002E21F2"/>
    <w:rsid w:val="002E34F5"/>
    <w:rsid w:val="002E39C1"/>
    <w:rsid w:val="002E3A39"/>
    <w:rsid w:val="002E5EB7"/>
    <w:rsid w:val="002E6B28"/>
    <w:rsid w:val="002E70F6"/>
    <w:rsid w:val="002E734C"/>
    <w:rsid w:val="002E797A"/>
    <w:rsid w:val="002F135D"/>
    <w:rsid w:val="002F1872"/>
    <w:rsid w:val="002F283C"/>
    <w:rsid w:val="002F3E71"/>
    <w:rsid w:val="002F4AF5"/>
    <w:rsid w:val="002F50D2"/>
    <w:rsid w:val="002F5354"/>
    <w:rsid w:val="002F5984"/>
    <w:rsid w:val="002F615C"/>
    <w:rsid w:val="002F69BE"/>
    <w:rsid w:val="002F7A6D"/>
    <w:rsid w:val="003006C1"/>
    <w:rsid w:val="003022C9"/>
    <w:rsid w:val="003028DC"/>
    <w:rsid w:val="00302C2C"/>
    <w:rsid w:val="00303A69"/>
    <w:rsid w:val="00304E31"/>
    <w:rsid w:val="00304FB8"/>
    <w:rsid w:val="003059D1"/>
    <w:rsid w:val="00306026"/>
    <w:rsid w:val="00306632"/>
    <w:rsid w:val="00310B8F"/>
    <w:rsid w:val="003114AE"/>
    <w:rsid w:val="003124A0"/>
    <w:rsid w:val="00312A1A"/>
    <w:rsid w:val="00312C21"/>
    <w:rsid w:val="0031337C"/>
    <w:rsid w:val="00313E3C"/>
    <w:rsid w:val="0031528C"/>
    <w:rsid w:val="003153F7"/>
    <w:rsid w:val="00315580"/>
    <w:rsid w:val="00316057"/>
    <w:rsid w:val="00316A4E"/>
    <w:rsid w:val="00317E9F"/>
    <w:rsid w:val="00317FF0"/>
    <w:rsid w:val="003203ED"/>
    <w:rsid w:val="00320639"/>
    <w:rsid w:val="003214B9"/>
    <w:rsid w:val="00322E8B"/>
    <w:rsid w:val="00323948"/>
    <w:rsid w:val="00324D54"/>
    <w:rsid w:val="00324F0E"/>
    <w:rsid w:val="003255FA"/>
    <w:rsid w:val="003257EA"/>
    <w:rsid w:val="00325FC5"/>
    <w:rsid w:val="00326822"/>
    <w:rsid w:val="0032720C"/>
    <w:rsid w:val="003302DC"/>
    <w:rsid w:val="00331BBF"/>
    <w:rsid w:val="00332398"/>
    <w:rsid w:val="0033250D"/>
    <w:rsid w:val="003331B5"/>
    <w:rsid w:val="00333868"/>
    <w:rsid w:val="00333DCB"/>
    <w:rsid w:val="00334C63"/>
    <w:rsid w:val="0033559D"/>
    <w:rsid w:val="00335B98"/>
    <w:rsid w:val="00335EA2"/>
    <w:rsid w:val="00336669"/>
    <w:rsid w:val="00336CEB"/>
    <w:rsid w:val="00337367"/>
    <w:rsid w:val="0033776C"/>
    <w:rsid w:val="00337B70"/>
    <w:rsid w:val="003404CF"/>
    <w:rsid w:val="00340A49"/>
    <w:rsid w:val="00341959"/>
    <w:rsid w:val="003431B5"/>
    <w:rsid w:val="00343817"/>
    <w:rsid w:val="003441DB"/>
    <w:rsid w:val="003444B6"/>
    <w:rsid w:val="003451E5"/>
    <w:rsid w:val="00345811"/>
    <w:rsid w:val="0034668E"/>
    <w:rsid w:val="00346968"/>
    <w:rsid w:val="00346B15"/>
    <w:rsid w:val="00347752"/>
    <w:rsid w:val="00347BDC"/>
    <w:rsid w:val="00351BF8"/>
    <w:rsid w:val="003528CA"/>
    <w:rsid w:val="00352960"/>
    <w:rsid w:val="00353888"/>
    <w:rsid w:val="0035470B"/>
    <w:rsid w:val="00355106"/>
    <w:rsid w:val="003558CB"/>
    <w:rsid w:val="00355F65"/>
    <w:rsid w:val="003565DF"/>
    <w:rsid w:val="00356644"/>
    <w:rsid w:val="00357A3A"/>
    <w:rsid w:val="0036001A"/>
    <w:rsid w:val="0036065C"/>
    <w:rsid w:val="00360BFF"/>
    <w:rsid w:val="00360F66"/>
    <w:rsid w:val="00361C1F"/>
    <w:rsid w:val="003622C0"/>
    <w:rsid w:val="00363631"/>
    <w:rsid w:val="00364449"/>
    <w:rsid w:val="003647D2"/>
    <w:rsid w:val="00364BFE"/>
    <w:rsid w:val="003654FC"/>
    <w:rsid w:val="003666B4"/>
    <w:rsid w:val="00366BDA"/>
    <w:rsid w:val="00367422"/>
    <w:rsid w:val="0036784E"/>
    <w:rsid w:val="0037050E"/>
    <w:rsid w:val="003708D3"/>
    <w:rsid w:val="00370B0A"/>
    <w:rsid w:val="00372133"/>
    <w:rsid w:val="00372220"/>
    <w:rsid w:val="00372368"/>
    <w:rsid w:val="003727FA"/>
    <w:rsid w:val="00372C2D"/>
    <w:rsid w:val="00373790"/>
    <w:rsid w:val="00373813"/>
    <w:rsid w:val="00374D31"/>
    <w:rsid w:val="003756D8"/>
    <w:rsid w:val="00375A82"/>
    <w:rsid w:val="00376019"/>
    <w:rsid w:val="00376D8E"/>
    <w:rsid w:val="003812B6"/>
    <w:rsid w:val="003812D8"/>
    <w:rsid w:val="003819A9"/>
    <w:rsid w:val="00381D19"/>
    <w:rsid w:val="0038288C"/>
    <w:rsid w:val="00382E27"/>
    <w:rsid w:val="00382F83"/>
    <w:rsid w:val="0038329D"/>
    <w:rsid w:val="00383A5E"/>
    <w:rsid w:val="00383AB7"/>
    <w:rsid w:val="00385A00"/>
    <w:rsid w:val="0038642F"/>
    <w:rsid w:val="0038687E"/>
    <w:rsid w:val="00386C6C"/>
    <w:rsid w:val="00387110"/>
    <w:rsid w:val="003876C0"/>
    <w:rsid w:val="00387952"/>
    <w:rsid w:val="003906E4"/>
    <w:rsid w:val="00390CF2"/>
    <w:rsid w:val="00390F43"/>
    <w:rsid w:val="0039216D"/>
    <w:rsid w:val="00392FA7"/>
    <w:rsid w:val="00393F49"/>
    <w:rsid w:val="003948F7"/>
    <w:rsid w:val="003953C9"/>
    <w:rsid w:val="00395867"/>
    <w:rsid w:val="003960CF"/>
    <w:rsid w:val="003972F3"/>
    <w:rsid w:val="003977B3"/>
    <w:rsid w:val="00397EA9"/>
    <w:rsid w:val="003A1B64"/>
    <w:rsid w:val="003A3E7A"/>
    <w:rsid w:val="003A5C90"/>
    <w:rsid w:val="003A5D47"/>
    <w:rsid w:val="003A7CD6"/>
    <w:rsid w:val="003B08E9"/>
    <w:rsid w:val="003B27B1"/>
    <w:rsid w:val="003B2CA6"/>
    <w:rsid w:val="003B2D7A"/>
    <w:rsid w:val="003B40FC"/>
    <w:rsid w:val="003B4E42"/>
    <w:rsid w:val="003B56D1"/>
    <w:rsid w:val="003B65BF"/>
    <w:rsid w:val="003B65EA"/>
    <w:rsid w:val="003B6630"/>
    <w:rsid w:val="003B6BAC"/>
    <w:rsid w:val="003B7261"/>
    <w:rsid w:val="003B76D9"/>
    <w:rsid w:val="003B7B9A"/>
    <w:rsid w:val="003C0C27"/>
    <w:rsid w:val="003C0CAD"/>
    <w:rsid w:val="003C19C9"/>
    <w:rsid w:val="003C2A9D"/>
    <w:rsid w:val="003C2F09"/>
    <w:rsid w:val="003C31D5"/>
    <w:rsid w:val="003C3F7D"/>
    <w:rsid w:val="003C468F"/>
    <w:rsid w:val="003C5505"/>
    <w:rsid w:val="003C6452"/>
    <w:rsid w:val="003C66FF"/>
    <w:rsid w:val="003C6E3D"/>
    <w:rsid w:val="003C749F"/>
    <w:rsid w:val="003D0994"/>
    <w:rsid w:val="003D17C8"/>
    <w:rsid w:val="003D238E"/>
    <w:rsid w:val="003D2E36"/>
    <w:rsid w:val="003D315A"/>
    <w:rsid w:val="003D3706"/>
    <w:rsid w:val="003D3E9B"/>
    <w:rsid w:val="003D46A7"/>
    <w:rsid w:val="003D54A6"/>
    <w:rsid w:val="003D5520"/>
    <w:rsid w:val="003D655B"/>
    <w:rsid w:val="003D668B"/>
    <w:rsid w:val="003D67DE"/>
    <w:rsid w:val="003D74B6"/>
    <w:rsid w:val="003D7A51"/>
    <w:rsid w:val="003E16EF"/>
    <w:rsid w:val="003E2124"/>
    <w:rsid w:val="003E4387"/>
    <w:rsid w:val="003E76DF"/>
    <w:rsid w:val="003E78C7"/>
    <w:rsid w:val="003E790A"/>
    <w:rsid w:val="003E7EF9"/>
    <w:rsid w:val="003E7F7C"/>
    <w:rsid w:val="003F0298"/>
    <w:rsid w:val="003F112D"/>
    <w:rsid w:val="003F118F"/>
    <w:rsid w:val="003F18D0"/>
    <w:rsid w:val="003F2039"/>
    <w:rsid w:val="003F218C"/>
    <w:rsid w:val="003F2246"/>
    <w:rsid w:val="003F24DB"/>
    <w:rsid w:val="003F2899"/>
    <w:rsid w:val="003F2B1D"/>
    <w:rsid w:val="003F2FB0"/>
    <w:rsid w:val="003F3364"/>
    <w:rsid w:val="003F354F"/>
    <w:rsid w:val="003F3790"/>
    <w:rsid w:val="003F541D"/>
    <w:rsid w:val="003F55F3"/>
    <w:rsid w:val="003F6052"/>
    <w:rsid w:val="003F6D4A"/>
    <w:rsid w:val="003F7BD6"/>
    <w:rsid w:val="003F7D73"/>
    <w:rsid w:val="003F7F00"/>
    <w:rsid w:val="00401035"/>
    <w:rsid w:val="004018FD"/>
    <w:rsid w:val="00401CC0"/>
    <w:rsid w:val="004021D0"/>
    <w:rsid w:val="00402527"/>
    <w:rsid w:val="0040400C"/>
    <w:rsid w:val="004049C5"/>
    <w:rsid w:val="004065EB"/>
    <w:rsid w:val="00406A3C"/>
    <w:rsid w:val="00407DC9"/>
    <w:rsid w:val="0041057C"/>
    <w:rsid w:val="00410652"/>
    <w:rsid w:val="00410EAC"/>
    <w:rsid w:val="004110D5"/>
    <w:rsid w:val="004110F4"/>
    <w:rsid w:val="004114DD"/>
    <w:rsid w:val="0041151E"/>
    <w:rsid w:val="00411718"/>
    <w:rsid w:val="004122BF"/>
    <w:rsid w:val="00412791"/>
    <w:rsid w:val="00412878"/>
    <w:rsid w:val="0041577D"/>
    <w:rsid w:val="00415ACE"/>
    <w:rsid w:val="00415EA2"/>
    <w:rsid w:val="00415FF4"/>
    <w:rsid w:val="00416475"/>
    <w:rsid w:val="00416548"/>
    <w:rsid w:val="00416FC8"/>
    <w:rsid w:val="00417787"/>
    <w:rsid w:val="00420BE8"/>
    <w:rsid w:val="00420CD9"/>
    <w:rsid w:val="00420FE8"/>
    <w:rsid w:val="00421268"/>
    <w:rsid w:val="00421D1C"/>
    <w:rsid w:val="004226B6"/>
    <w:rsid w:val="00423B21"/>
    <w:rsid w:val="004247AD"/>
    <w:rsid w:val="00424808"/>
    <w:rsid w:val="004252CF"/>
    <w:rsid w:val="00425D6B"/>
    <w:rsid w:val="0042664A"/>
    <w:rsid w:val="00427199"/>
    <w:rsid w:val="00427D6C"/>
    <w:rsid w:val="004312B7"/>
    <w:rsid w:val="00432512"/>
    <w:rsid w:val="004328F7"/>
    <w:rsid w:val="00432976"/>
    <w:rsid w:val="00432C93"/>
    <w:rsid w:val="00434FF1"/>
    <w:rsid w:val="004357EC"/>
    <w:rsid w:val="004372DE"/>
    <w:rsid w:val="00437D27"/>
    <w:rsid w:val="00440575"/>
    <w:rsid w:val="00440C1F"/>
    <w:rsid w:val="00441ADE"/>
    <w:rsid w:val="00442B23"/>
    <w:rsid w:val="00442DF5"/>
    <w:rsid w:val="004430DE"/>
    <w:rsid w:val="00443E33"/>
    <w:rsid w:val="004440D6"/>
    <w:rsid w:val="004443D5"/>
    <w:rsid w:val="00444691"/>
    <w:rsid w:val="004447D7"/>
    <w:rsid w:val="00444BF6"/>
    <w:rsid w:val="00444C66"/>
    <w:rsid w:val="004462CF"/>
    <w:rsid w:val="0044640E"/>
    <w:rsid w:val="004468EA"/>
    <w:rsid w:val="00447108"/>
    <w:rsid w:val="00447843"/>
    <w:rsid w:val="00447DF8"/>
    <w:rsid w:val="00451DB2"/>
    <w:rsid w:val="00452E79"/>
    <w:rsid w:val="00453023"/>
    <w:rsid w:val="00454D00"/>
    <w:rsid w:val="00454D15"/>
    <w:rsid w:val="00454D8F"/>
    <w:rsid w:val="00454FC0"/>
    <w:rsid w:val="004561D4"/>
    <w:rsid w:val="00457309"/>
    <w:rsid w:val="004601BD"/>
    <w:rsid w:val="00460268"/>
    <w:rsid w:val="00460612"/>
    <w:rsid w:val="004614ED"/>
    <w:rsid w:val="004623C5"/>
    <w:rsid w:val="0046267C"/>
    <w:rsid w:val="004635EE"/>
    <w:rsid w:val="00464AF9"/>
    <w:rsid w:val="00466434"/>
    <w:rsid w:val="00466F2F"/>
    <w:rsid w:val="0047028A"/>
    <w:rsid w:val="00470BB4"/>
    <w:rsid w:val="00471395"/>
    <w:rsid w:val="00471784"/>
    <w:rsid w:val="0047182D"/>
    <w:rsid w:val="00471F78"/>
    <w:rsid w:val="004723A8"/>
    <w:rsid w:val="004729F1"/>
    <w:rsid w:val="00472CAC"/>
    <w:rsid w:val="00472ECB"/>
    <w:rsid w:val="0047408B"/>
    <w:rsid w:val="0047549F"/>
    <w:rsid w:val="004754BF"/>
    <w:rsid w:val="0047704C"/>
    <w:rsid w:val="00477EA5"/>
    <w:rsid w:val="00480156"/>
    <w:rsid w:val="00480FAE"/>
    <w:rsid w:val="00482ED2"/>
    <w:rsid w:val="00483847"/>
    <w:rsid w:val="00483AB7"/>
    <w:rsid w:val="004857CF"/>
    <w:rsid w:val="00486600"/>
    <w:rsid w:val="004871E1"/>
    <w:rsid w:val="0048781A"/>
    <w:rsid w:val="00487ADA"/>
    <w:rsid w:val="004906A3"/>
    <w:rsid w:val="004910AC"/>
    <w:rsid w:val="004918ED"/>
    <w:rsid w:val="00492413"/>
    <w:rsid w:val="0049252D"/>
    <w:rsid w:val="00493310"/>
    <w:rsid w:val="00493BA2"/>
    <w:rsid w:val="00494735"/>
    <w:rsid w:val="004947CE"/>
    <w:rsid w:val="00494802"/>
    <w:rsid w:val="00494A07"/>
    <w:rsid w:val="00494A4A"/>
    <w:rsid w:val="00495405"/>
    <w:rsid w:val="0049598A"/>
    <w:rsid w:val="00495EBE"/>
    <w:rsid w:val="004975E4"/>
    <w:rsid w:val="00497F3F"/>
    <w:rsid w:val="004A0055"/>
    <w:rsid w:val="004A0CEE"/>
    <w:rsid w:val="004A1E4F"/>
    <w:rsid w:val="004A1F37"/>
    <w:rsid w:val="004A26E4"/>
    <w:rsid w:val="004A28B2"/>
    <w:rsid w:val="004A2E26"/>
    <w:rsid w:val="004A3D20"/>
    <w:rsid w:val="004A3E9C"/>
    <w:rsid w:val="004A41E0"/>
    <w:rsid w:val="004A629B"/>
    <w:rsid w:val="004A69C1"/>
    <w:rsid w:val="004A767D"/>
    <w:rsid w:val="004A79D5"/>
    <w:rsid w:val="004A7D61"/>
    <w:rsid w:val="004B07B8"/>
    <w:rsid w:val="004B08A4"/>
    <w:rsid w:val="004B2A02"/>
    <w:rsid w:val="004B2BD3"/>
    <w:rsid w:val="004B3697"/>
    <w:rsid w:val="004B3DAF"/>
    <w:rsid w:val="004B421E"/>
    <w:rsid w:val="004B5C31"/>
    <w:rsid w:val="004B6C08"/>
    <w:rsid w:val="004B7150"/>
    <w:rsid w:val="004B72F1"/>
    <w:rsid w:val="004B7910"/>
    <w:rsid w:val="004C02A3"/>
    <w:rsid w:val="004C08C5"/>
    <w:rsid w:val="004C0DA7"/>
    <w:rsid w:val="004C35E9"/>
    <w:rsid w:val="004C41EB"/>
    <w:rsid w:val="004C4263"/>
    <w:rsid w:val="004C43F8"/>
    <w:rsid w:val="004C456F"/>
    <w:rsid w:val="004C4B8C"/>
    <w:rsid w:val="004D00C7"/>
    <w:rsid w:val="004D2096"/>
    <w:rsid w:val="004D2603"/>
    <w:rsid w:val="004D2785"/>
    <w:rsid w:val="004D3586"/>
    <w:rsid w:val="004D4139"/>
    <w:rsid w:val="004D47F1"/>
    <w:rsid w:val="004D4C56"/>
    <w:rsid w:val="004D4E64"/>
    <w:rsid w:val="004D51C1"/>
    <w:rsid w:val="004D537D"/>
    <w:rsid w:val="004D54B0"/>
    <w:rsid w:val="004D649C"/>
    <w:rsid w:val="004D6BC0"/>
    <w:rsid w:val="004E0643"/>
    <w:rsid w:val="004E1044"/>
    <w:rsid w:val="004E13A8"/>
    <w:rsid w:val="004E1D5F"/>
    <w:rsid w:val="004E2842"/>
    <w:rsid w:val="004E2A55"/>
    <w:rsid w:val="004E3395"/>
    <w:rsid w:val="004E40F3"/>
    <w:rsid w:val="004E4912"/>
    <w:rsid w:val="004E7654"/>
    <w:rsid w:val="004F2449"/>
    <w:rsid w:val="004F2569"/>
    <w:rsid w:val="004F3BD9"/>
    <w:rsid w:val="004F3FC6"/>
    <w:rsid w:val="004F478A"/>
    <w:rsid w:val="004F4821"/>
    <w:rsid w:val="004F494E"/>
    <w:rsid w:val="004F4C1F"/>
    <w:rsid w:val="004F5CFF"/>
    <w:rsid w:val="004F6023"/>
    <w:rsid w:val="004F6658"/>
    <w:rsid w:val="004F6706"/>
    <w:rsid w:val="004F7474"/>
    <w:rsid w:val="004F7F03"/>
    <w:rsid w:val="005001C2"/>
    <w:rsid w:val="005006D3"/>
    <w:rsid w:val="0050080F"/>
    <w:rsid w:val="00500E95"/>
    <w:rsid w:val="005010BF"/>
    <w:rsid w:val="005015E9"/>
    <w:rsid w:val="00502050"/>
    <w:rsid w:val="00502AA7"/>
    <w:rsid w:val="00503F1E"/>
    <w:rsid w:val="00504135"/>
    <w:rsid w:val="00504D5E"/>
    <w:rsid w:val="00505E56"/>
    <w:rsid w:val="005078D7"/>
    <w:rsid w:val="00507A9F"/>
    <w:rsid w:val="00510C86"/>
    <w:rsid w:val="005111FE"/>
    <w:rsid w:val="005121EF"/>
    <w:rsid w:val="0051249B"/>
    <w:rsid w:val="0051371A"/>
    <w:rsid w:val="00513775"/>
    <w:rsid w:val="0051750D"/>
    <w:rsid w:val="00520146"/>
    <w:rsid w:val="00522587"/>
    <w:rsid w:val="00522BA9"/>
    <w:rsid w:val="00523019"/>
    <w:rsid w:val="005243A3"/>
    <w:rsid w:val="00524B21"/>
    <w:rsid w:val="00525685"/>
    <w:rsid w:val="005268C7"/>
    <w:rsid w:val="005278BF"/>
    <w:rsid w:val="00530141"/>
    <w:rsid w:val="00530F56"/>
    <w:rsid w:val="0053111B"/>
    <w:rsid w:val="00531924"/>
    <w:rsid w:val="00531B1E"/>
    <w:rsid w:val="00532D11"/>
    <w:rsid w:val="00532D5F"/>
    <w:rsid w:val="00532F28"/>
    <w:rsid w:val="00533132"/>
    <w:rsid w:val="00534256"/>
    <w:rsid w:val="00534550"/>
    <w:rsid w:val="0053550A"/>
    <w:rsid w:val="00536EA1"/>
    <w:rsid w:val="00536F1A"/>
    <w:rsid w:val="00537BD4"/>
    <w:rsid w:val="00540360"/>
    <w:rsid w:val="00540B95"/>
    <w:rsid w:val="00541138"/>
    <w:rsid w:val="005417CC"/>
    <w:rsid w:val="0054207E"/>
    <w:rsid w:val="005434D0"/>
    <w:rsid w:val="005436E9"/>
    <w:rsid w:val="0054470A"/>
    <w:rsid w:val="00544C08"/>
    <w:rsid w:val="00545398"/>
    <w:rsid w:val="005453D2"/>
    <w:rsid w:val="0054693A"/>
    <w:rsid w:val="00547BAC"/>
    <w:rsid w:val="0055075F"/>
    <w:rsid w:val="00550BFF"/>
    <w:rsid w:val="005516FA"/>
    <w:rsid w:val="005519A8"/>
    <w:rsid w:val="00551EBC"/>
    <w:rsid w:val="00552543"/>
    <w:rsid w:val="00552A46"/>
    <w:rsid w:val="00553B80"/>
    <w:rsid w:val="0055400A"/>
    <w:rsid w:val="0055533B"/>
    <w:rsid w:val="00555CDB"/>
    <w:rsid w:val="005564E1"/>
    <w:rsid w:val="00556F36"/>
    <w:rsid w:val="00557395"/>
    <w:rsid w:val="00560360"/>
    <w:rsid w:val="00560378"/>
    <w:rsid w:val="00560649"/>
    <w:rsid w:val="005607E6"/>
    <w:rsid w:val="0056088E"/>
    <w:rsid w:val="00561ABD"/>
    <w:rsid w:val="00561D64"/>
    <w:rsid w:val="005626D4"/>
    <w:rsid w:val="00563063"/>
    <w:rsid w:val="00563721"/>
    <w:rsid w:val="005637A8"/>
    <w:rsid w:val="00563A1E"/>
    <w:rsid w:val="00563DE5"/>
    <w:rsid w:val="00564229"/>
    <w:rsid w:val="0056468D"/>
    <w:rsid w:val="00564815"/>
    <w:rsid w:val="00564EDB"/>
    <w:rsid w:val="0056565C"/>
    <w:rsid w:val="0056584A"/>
    <w:rsid w:val="00566403"/>
    <w:rsid w:val="00566629"/>
    <w:rsid w:val="00570300"/>
    <w:rsid w:val="0057040E"/>
    <w:rsid w:val="00570B0D"/>
    <w:rsid w:val="005713C7"/>
    <w:rsid w:val="005714B9"/>
    <w:rsid w:val="0057199F"/>
    <w:rsid w:val="00572F25"/>
    <w:rsid w:val="00573716"/>
    <w:rsid w:val="00575867"/>
    <w:rsid w:val="0057651F"/>
    <w:rsid w:val="0057689E"/>
    <w:rsid w:val="00576F13"/>
    <w:rsid w:val="0058105F"/>
    <w:rsid w:val="00581B9E"/>
    <w:rsid w:val="00582DFF"/>
    <w:rsid w:val="00584365"/>
    <w:rsid w:val="005843D2"/>
    <w:rsid w:val="0058647D"/>
    <w:rsid w:val="00587328"/>
    <w:rsid w:val="00590274"/>
    <w:rsid w:val="005905BA"/>
    <w:rsid w:val="005908C3"/>
    <w:rsid w:val="00590EB9"/>
    <w:rsid w:val="00591D5C"/>
    <w:rsid w:val="00592446"/>
    <w:rsid w:val="00593A6F"/>
    <w:rsid w:val="0059441F"/>
    <w:rsid w:val="0059535D"/>
    <w:rsid w:val="00595C9B"/>
    <w:rsid w:val="00596BE6"/>
    <w:rsid w:val="00597D38"/>
    <w:rsid w:val="005A04A5"/>
    <w:rsid w:val="005A05E3"/>
    <w:rsid w:val="005A07B9"/>
    <w:rsid w:val="005A11D1"/>
    <w:rsid w:val="005A26E3"/>
    <w:rsid w:val="005A2B6C"/>
    <w:rsid w:val="005A342E"/>
    <w:rsid w:val="005A39A6"/>
    <w:rsid w:val="005A3CC5"/>
    <w:rsid w:val="005A49EE"/>
    <w:rsid w:val="005A4D2C"/>
    <w:rsid w:val="005A58C6"/>
    <w:rsid w:val="005A5E62"/>
    <w:rsid w:val="005A65CA"/>
    <w:rsid w:val="005A683A"/>
    <w:rsid w:val="005A6FB2"/>
    <w:rsid w:val="005B0386"/>
    <w:rsid w:val="005B0967"/>
    <w:rsid w:val="005B14B8"/>
    <w:rsid w:val="005B1F3D"/>
    <w:rsid w:val="005B249E"/>
    <w:rsid w:val="005B275D"/>
    <w:rsid w:val="005B30DF"/>
    <w:rsid w:val="005B39B4"/>
    <w:rsid w:val="005B3E8D"/>
    <w:rsid w:val="005B4EB6"/>
    <w:rsid w:val="005B5130"/>
    <w:rsid w:val="005B54F3"/>
    <w:rsid w:val="005B60F0"/>
    <w:rsid w:val="005B6145"/>
    <w:rsid w:val="005B6371"/>
    <w:rsid w:val="005B6384"/>
    <w:rsid w:val="005B6FED"/>
    <w:rsid w:val="005B78F9"/>
    <w:rsid w:val="005C04B4"/>
    <w:rsid w:val="005C0665"/>
    <w:rsid w:val="005C0842"/>
    <w:rsid w:val="005C0E6F"/>
    <w:rsid w:val="005C0F1C"/>
    <w:rsid w:val="005C1610"/>
    <w:rsid w:val="005C1CFA"/>
    <w:rsid w:val="005C24A2"/>
    <w:rsid w:val="005C2A9E"/>
    <w:rsid w:val="005C2DD7"/>
    <w:rsid w:val="005C36FA"/>
    <w:rsid w:val="005C3B4C"/>
    <w:rsid w:val="005C490F"/>
    <w:rsid w:val="005C502E"/>
    <w:rsid w:val="005C515D"/>
    <w:rsid w:val="005C51EC"/>
    <w:rsid w:val="005C59DA"/>
    <w:rsid w:val="005C5CAB"/>
    <w:rsid w:val="005C5DFF"/>
    <w:rsid w:val="005C7263"/>
    <w:rsid w:val="005C7397"/>
    <w:rsid w:val="005C752A"/>
    <w:rsid w:val="005C7DA4"/>
    <w:rsid w:val="005D104E"/>
    <w:rsid w:val="005D1081"/>
    <w:rsid w:val="005D1AA8"/>
    <w:rsid w:val="005D1B68"/>
    <w:rsid w:val="005D1C20"/>
    <w:rsid w:val="005D2477"/>
    <w:rsid w:val="005D297D"/>
    <w:rsid w:val="005D2AE9"/>
    <w:rsid w:val="005D3442"/>
    <w:rsid w:val="005D376A"/>
    <w:rsid w:val="005D41BE"/>
    <w:rsid w:val="005D4D14"/>
    <w:rsid w:val="005D4EBA"/>
    <w:rsid w:val="005D4F5E"/>
    <w:rsid w:val="005D5F28"/>
    <w:rsid w:val="005D5FB7"/>
    <w:rsid w:val="005E17C0"/>
    <w:rsid w:val="005E1D4E"/>
    <w:rsid w:val="005E1E2A"/>
    <w:rsid w:val="005E2A90"/>
    <w:rsid w:val="005E37EC"/>
    <w:rsid w:val="005E3F2E"/>
    <w:rsid w:val="005E4DB4"/>
    <w:rsid w:val="005E588A"/>
    <w:rsid w:val="005E5F8A"/>
    <w:rsid w:val="005E6DBA"/>
    <w:rsid w:val="005E7601"/>
    <w:rsid w:val="005E7CDD"/>
    <w:rsid w:val="005E7D02"/>
    <w:rsid w:val="005F01AB"/>
    <w:rsid w:val="005F137C"/>
    <w:rsid w:val="005F210C"/>
    <w:rsid w:val="005F364B"/>
    <w:rsid w:val="005F3785"/>
    <w:rsid w:val="005F3D06"/>
    <w:rsid w:val="005F4213"/>
    <w:rsid w:val="005F521E"/>
    <w:rsid w:val="005F5332"/>
    <w:rsid w:val="005F7E45"/>
    <w:rsid w:val="00600025"/>
    <w:rsid w:val="0060006A"/>
    <w:rsid w:val="0060025E"/>
    <w:rsid w:val="00601B67"/>
    <w:rsid w:val="00602B92"/>
    <w:rsid w:val="00602FDF"/>
    <w:rsid w:val="00603CE4"/>
    <w:rsid w:val="0060411A"/>
    <w:rsid w:val="00604A7D"/>
    <w:rsid w:val="00605C10"/>
    <w:rsid w:val="006066E0"/>
    <w:rsid w:val="00606724"/>
    <w:rsid w:val="006071C0"/>
    <w:rsid w:val="006074E2"/>
    <w:rsid w:val="00607DF0"/>
    <w:rsid w:val="00610483"/>
    <w:rsid w:val="00610E6B"/>
    <w:rsid w:val="00611057"/>
    <w:rsid w:val="0061182F"/>
    <w:rsid w:val="00612867"/>
    <w:rsid w:val="0061411D"/>
    <w:rsid w:val="0061498B"/>
    <w:rsid w:val="006152A2"/>
    <w:rsid w:val="00615514"/>
    <w:rsid w:val="00616665"/>
    <w:rsid w:val="00617951"/>
    <w:rsid w:val="006208C7"/>
    <w:rsid w:val="00621959"/>
    <w:rsid w:val="006225D6"/>
    <w:rsid w:val="00622B6E"/>
    <w:rsid w:val="00622DE1"/>
    <w:rsid w:val="00623903"/>
    <w:rsid w:val="0062472D"/>
    <w:rsid w:val="00624744"/>
    <w:rsid w:val="006249A2"/>
    <w:rsid w:val="006250D4"/>
    <w:rsid w:val="00625551"/>
    <w:rsid w:val="00625C0B"/>
    <w:rsid w:val="00627028"/>
    <w:rsid w:val="00627226"/>
    <w:rsid w:val="00631458"/>
    <w:rsid w:val="00631871"/>
    <w:rsid w:val="00632AB7"/>
    <w:rsid w:val="00632CC8"/>
    <w:rsid w:val="00632FAB"/>
    <w:rsid w:val="00633EE1"/>
    <w:rsid w:val="0063418C"/>
    <w:rsid w:val="00634359"/>
    <w:rsid w:val="0063474C"/>
    <w:rsid w:val="00634D28"/>
    <w:rsid w:val="00634D9C"/>
    <w:rsid w:val="006353EF"/>
    <w:rsid w:val="0063652A"/>
    <w:rsid w:val="00636A09"/>
    <w:rsid w:val="0063715E"/>
    <w:rsid w:val="00637C6E"/>
    <w:rsid w:val="00637E1A"/>
    <w:rsid w:val="00637E8D"/>
    <w:rsid w:val="00640567"/>
    <w:rsid w:val="00641641"/>
    <w:rsid w:val="00641F6A"/>
    <w:rsid w:val="00642904"/>
    <w:rsid w:val="00643015"/>
    <w:rsid w:val="0064340F"/>
    <w:rsid w:val="006435B8"/>
    <w:rsid w:val="00645076"/>
    <w:rsid w:val="00645A18"/>
    <w:rsid w:val="0064647F"/>
    <w:rsid w:val="00647EFB"/>
    <w:rsid w:val="00651419"/>
    <w:rsid w:val="00653772"/>
    <w:rsid w:val="006540E2"/>
    <w:rsid w:val="0065497C"/>
    <w:rsid w:val="006550AA"/>
    <w:rsid w:val="00655DC2"/>
    <w:rsid w:val="006567A2"/>
    <w:rsid w:val="00656E82"/>
    <w:rsid w:val="006571A8"/>
    <w:rsid w:val="00657367"/>
    <w:rsid w:val="00661214"/>
    <w:rsid w:val="00661D5F"/>
    <w:rsid w:val="00662E07"/>
    <w:rsid w:val="0066334B"/>
    <w:rsid w:val="00663BE5"/>
    <w:rsid w:val="00663C7F"/>
    <w:rsid w:val="006641FF"/>
    <w:rsid w:val="006644E2"/>
    <w:rsid w:val="0066508B"/>
    <w:rsid w:val="00665B34"/>
    <w:rsid w:val="00667976"/>
    <w:rsid w:val="00667FC9"/>
    <w:rsid w:val="0067029B"/>
    <w:rsid w:val="00670307"/>
    <w:rsid w:val="00671F06"/>
    <w:rsid w:val="006730AF"/>
    <w:rsid w:val="00673349"/>
    <w:rsid w:val="00675309"/>
    <w:rsid w:val="0067581E"/>
    <w:rsid w:val="00675A7C"/>
    <w:rsid w:val="006762FF"/>
    <w:rsid w:val="006764FA"/>
    <w:rsid w:val="00676882"/>
    <w:rsid w:val="00677FE3"/>
    <w:rsid w:val="00681A19"/>
    <w:rsid w:val="00681B20"/>
    <w:rsid w:val="00681B35"/>
    <w:rsid w:val="00681BA1"/>
    <w:rsid w:val="00683574"/>
    <w:rsid w:val="00683A6C"/>
    <w:rsid w:val="00683F36"/>
    <w:rsid w:val="00684211"/>
    <w:rsid w:val="00685978"/>
    <w:rsid w:val="00686529"/>
    <w:rsid w:val="00686A9C"/>
    <w:rsid w:val="00687CC3"/>
    <w:rsid w:val="00687D44"/>
    <w:rsid w:val="006906CB"/>
    <w:rsid w:val="0069097B"/>
    <w:rsid w:val="00691712"/>
    <w:rsid w:val="00691988"/>
    <w:rsid w:val="00691C8E"/>
    <w:rsid w:val="00692529"/>
    <w:rsid w:val="00692965"/>
    <w:rsid w:val="00692E95"/>
    <w:rsid w:val="006940F1"/>
    <w:rsid w:val="00694439"/>
    <w:rsid w:val="00695D0C"/>
    <w:rsid w:val="00695DE5"/>
    <w:rsid w:val="00696298"/>
    <w:rsid w:val="00696442"/>
    <w:rsid w:val="00696760"/>
    <w:rsid w:val="00696C41"/>
    <w:rsid w:val="00696D8A"/>
    <w:rsid w:val="00697488"/>
    <w:rsid w:val="0069794D"/>
    <w:rsid w:val="006A1464"/>
    <w:rsid w:val="006A1B00"/>
    <w:rsid w:val="006A1F23"/>
    <w:rsid w:val="006A1F73"/>
    <w:rsid w:val="006A22C7"/>
    <w:rsid w:val="006A2733"/>
    <w:rsid w:val="006A3B7E"/>
    <w:rsid w:val="006A3DB7"/>
    <w:rsid w:val="006A436D"/>
    <w:rsid w:val="006A474F"/>
    <w:rsid w:val="006A48D3"/>
    <w:rsid w:val="006A5922"/>
    <w:rsid w:val="006A71BA"/>
    <w:rsid w:val="006A7CA1"/>
    <w:rsid w:val="006A7E60"/>
    <w:rsid w:val="006B19C3"/>
    <w:rsid w:val="006B298B"/>
    <w:rsid w:val="006B33C3"/>
    <w:rsid w:val="006B3788"/>
    <w:rsid w:val="006B48FD"/>
    <w:rsid w:val="006B4D81"/>
    <w:rsid w:val="006B5053"/>
    <w:rsid w:val="006B5145"/>
    <w:rsid w:val="006B55C3"/>
    <w:rsid w:val="006B571C"/>
    <w:rsid w:val="006B5BA8"/>
    <w:rsid w:val="006B6E52"/>
    <w:rsid w:val="006B7228"/>
    <w:rsid w:val="006B726F"/>
    <w:rsid w:val="006B7292"/>
    <w:rsid w:val="006B7541"/>
    <w:rsid w:val="006B75A3"/>
    <w:rsid w:val="006B7AB5"/>
    <w:rsid w:val="006C2BA5"/>
    <w:rsid w:val="006C3147"/>
    <w:rsid w:val="006C4533"/>
    <w:rsid w:val="006C4D98"/>
    <w:rsid w:val="006C5659"/>
    <w:rsid w:val="006C56CE"/>
    <w:rsid w:val="006C6518"/>
    <w:rsid w:val="006C7D65"/>
    <w:rsid w:val="006D00EE"/>
    <w:rsid w:val="006D1469"/>
    <w:rsid w:val="006D1513"/>
    <w:rsid w:val="006D1923"/>
    <w:rsid w:val="006D1B33"/>
    <w:rsid w:val="006D221B"/>
    <w:rsid w:val="006D3A7C"/>
    <w:rsid w:val="006D4162"/>
    <w:rsid w:val="006D4240"/>
    <w:rsid w:val="006D42FB"/>
    <w:rsid w:val="006D4D4E"/>
    <w:rsid w:val="006D600B"/>
    <w:rsid w:val="006D63A9"/>
    <w:rsid w:val="006D6463"/>
    <w:rsid w:val="006D67C4"/>
    <w:rsid w:val="006D69AA"/>
    <w:rsid w:val="006D6C4C"/>
    <w:rsid w:val="006D6D02"/>
    <w:rsid w:val="006D739F"/>
    <w:rsid w:val="006D7A31"/>
    <w:rsid w:val="006D7BD9"/>
    <w:rsid w:val="006E02F1"/>
    <w:rsid w:val="006E050D"/>
    <w:rsid w:val="006E124A"/>
    <w:rsid w:val="006E15E0"/>
    <w:rsid w:val="006E184F"/>
    <w:rsid w:val="006E1F41"/>
    <w:rsid w:val="006E20D7"/>
    <w:rsid w:val="006E267D"/>
    <w:rsid w:val="006E26D2"/>
    <w:rsid w:val="006E2A47"/>
    <w:rsid w:val="006E307D"/>
    <w:rsid w:val="006E32ED"/>
    <w:rsid w:val="006E34BA"/>
    <w:rsid w:val="006E3D43"/>
    <w:rsid w:val="006F0C77"/>
    <w:rsid w:val="006F12D4"/>
    <w:rsid w:val="006F147C"/>
    <w:rsid w:val="006F1564"/>
    <w:rsid w:val="006F28CC"/>
    <w:rsid w:val="006F3AB4"/>
    <w:rsid w:val="006F3E37"/>
    <w:rsid w:val="006F4109"/>
    <w:rsid w:val="006F49A9"/>
    <w:rsid w:val="006F4CE6"/>
    <w:rsid w:val="006F5148"/>
    <w:rsid w:val="006F52EF"/>
    <w:rsid w:val="006F53CF"/>
    <w:rsid w:val="006F591D"/>
    <w:rsid w:val="006F6206"/>
    <w:rsid w:val="006F6FD4"/>
    <w:rsid w:val="006F7B54"/>
    <w:rsid w:val="0070159F"/>
    <w:rsid w:val="0070176D"/>
    <w:rsid w:val="00702C7D"/>
    <w:rsid w:val="0070506E"/>
    <w:rsid w:val="00705964"/>
    <w:rsid w:val="0070597C"/>
    <w:rsid w:val="00705CCE"/>
    <w:rsid w:val="0070612D"/>
    <w:rsid w:val="00706134"/>
    <w:rsid w:val="007063D4"/>
    <w:rsid w:val="00710AA8"/>
    <w:rsid w:val="00712051"/>
    <w:rsid w:val="0071235F"/>
    <w:rsid w:val="00712365"/>
    <w:rsid w:val="00712FE2"/>
    <w:rsid w:val="007130D0"/>
    <w:rsid w:val="00713D41"/>
    <w:rsid w:val="00713F3B"/>
    <w:rsid w:val="00715887"/>
    <w:rsid w:val="00715FD8"/>
    <w:rsid w:val="007172E7"/>
    <w:rsid w:val="0071748A"/>
    <w:rsid w:val="00717BEC"/>
    <w:rsid w:val="007200C6"/>
    <w:rsid w:val="0072048E"/>
    <w:rsid w:val="00720871"/>
    <w:rsid w:val="007215A7"/>
    <w:rsid w:val="0072196F"/>
    <w:rsid w:val="00722E5E"/>
    <w:rsid w:val="007249F9"/>
    <w:rsid w:val="007252B5"/>
    <w:rsid w:val="007257B3"/>
    <w:rsid w:val="00726816"/>
    <w:rsid w:val="00726D34"/>
    <w:rsid w:val="00730BA5"/>
    <w:rsid w:val="00731EEA"/>
    <w:rsid w:val="007322C0"/>
    <w:rsid w:val="00732334"/>
    <w:rsid w:val="007333BD"/>
    <w:rsid w:val="007335BF"/>
    <w:rsid w:val="00733895"/>
    <w:rsid w:val="0073461F"/>
    <w:rsid w:val="007352E1"/>
    <w:rsid w:val="007359E6"/>
    <w:rsid w:val="00737AD6"/>
    <w:rsid w:val="007406E7"/>
    <w:rsid w:val="00740C09"/>
    <w:rsid w:val="00740C8E"/>
    <w:rsid w:val="00741AC7"/>
    <w:rsid w:val="00742F8F"/>
    <w:rsid w:val="00743119"/>
    <w:rsid w:val="007442C6"/>
    <w:rsid w:val="00745F97"/>
    <w:rsid w:val="007466EA"/>
    <w:rsid w:val="00746CE0"/>
    <w:rsid w:val="00746FD5"/>
    <w:rsid w:val="007476E2"/>
    <w:rsid w:val="00747BE3"/>
    <w:rsid w:val="00747F07"/>
    <w:rsid w:val="00750F12"/>
    <w:rsid w:val="00751829"/>
    <w:rsid w:val="00751887"/>
    <w:rsid w:val="00752C35"/>
    <w:rsid w:val="00752DA8"/>
    <w:rsid w:val="007531A2"/>
    <w:rsid w:val="00754DC7"/>
    <w:rsid w:val="00755550"/>
    <w:rsid w:val="00755F3D"/>
    <w:rsid w:val="00756415"/>
    <w:rsid w:val="00756768"/>
    <w:rsid w:val="0075685F"/>
    <w:rsid w:val="00756A04"/>
    <w:rsid w:val="00756D85"/>
    <w:rsid w:val="00757945"/>
    <w:rsid w:val="0076042F"/>
    <w:rsid w:val="0076070F"/>
    <w:rsid w:val="00761301"/>
    <w:rsid w:val="00761C16"/>
    <w:rsid w:val="00762DA6"/>
    <w:rsid w:val="00763479"/>
    <w:rsid w:val="00764F21"/>
    <w:rsid w:val="0076514E"/>
    <w:rsid w:val="0076571F"/>
    <w:rsid w:val="00765A9E"/>
    <w:rsid w:val="007664E6"/>
    <w:rsid w:val="007665C8"/>
    <w:rsid w:val="00766E56"/>
    <w:rsid w:val="00766F81"/>
    <w:rsid w:val="0076730E"/>
    <w:rsid w:val="00767574"/>
    <w:rsid w:val="00767868"/>
    <w:rsid w:val="0077024E"/>
    <w:rsid w:val="007708DB"/>
    <w:rsid w:val="00770A3A"/>
    <w:rsid w:val="007726C4"/>
    <w:rsid w:val="00772C4C"/>
    <w:rsid w:val="00772F83"/>
    <w:rsid w:val="007730EE"/>
    <w:rsid w:val="00774D75"/>
    <w:rsid w:val="007752CC"/>
    <w:rsid w:val="0077549B"/>
    <w:rsid w:val="00775DF4"/>
    <w:rsid w:val="00775E01"/>
    <w:rsid w:val="007809E9"/>
    <w:rsid w:val="00780D4C"/>
    <w:rsid w:val="0078116A"/>
    <w:rsid w:val="0078176C"/>
    <w:rsid w:val="00782039"/>
    <w:rsid w:val="00782284"/>
    <w:rsid w:val="007830E7"/>
    <w:rsid w:val="00784A85"/>
    <w:rsid w:val="00785915"/>
    <w:rsid w:val="00785E6A"/>
    <w:rsid w:val="00786B5D"/>
    <w:rsid w:val="00786CC2"/>
    <w:rsid w:val="007871EB"/>
    <w:rsid w:val="00787B6C"/>
    <w:rsid w:val="00787E5E"/>
    <w:rsid w:val="00790B1A"/>
    <w:rsid w:val="00791067"/>
    <w:rsid w:val="00791304"/>
    <w:rsid w:val="00791402"/>
    <w:rsid w:val="00791791"/>
    <w:rsid w:val="00791B73"/>
    <w:rsid w:val="0079274F"/>
    <w:rsid w:val="00794C1F"/>
    <w:rsid w:val="00794CF9"/>
    <w:rsid w:val="00794FA4"/>
    <w:rsid w:val="007958A3"/>
    <w:rsid w:val="00796755"/>
    <w:rsid w:val="00796984"/>
    <w:rsid w:val="00797C8D"/>
    <w:rsid w:val="007A09C0"/>
    <w:rsid w:val="007A0D6B"/>
    <w:rsid w:val="007A1293"/>
    <w:rsid w:val="007A16CA"/>
    <w:rsid w:val="007A1DB2"/>
    <w:rsid w:val="007A27CD"/>
    <w:rsid w:val="007A2B59"/>
    <w:rsid w:val="007A2D35"/>
    <w:rsid w:val="007A3D36"/>
    <w:rsid w:val="007A3FEA"/>
    <w:rsid w:val="007A4DB5"/>
    <w:rsid w:val="007A4E4C"/>
    <w:rsid w:val="007A560A"/>
    <w:rsid w:val="007A5739"/>
    <w:rsid w:val="007A5C2D"/>
    <w:rsid w:val="007A649D"/>
    <w:rsid w:val="007A6B3F"/>
    <w:rsid w:val="007A6F4B"/>
    <w:rsid w:val="007A701D"/>
    <w:rsid w:val="007A73DA"/>
    <w:rsid w:val="007B0CAF"/>
    <w:rsid w:val="007B0DF8"/>
    <w:rsid w:val="007B0F37"/>
    <w:rsid w:val="007B0F51"/>
    <w:rsid w:val="007B2734"/>
    <w:rsid w:val="007B40BA"/>
    <w:rsid w:val="007B464D"/>
    <w:rsid w:val="007B5AF0"/>
    <w:rsid w:val="007B645D"/>
    <w:rsid w:val="007B64CE"/>
    <w:rsid w:val="007B7B68"/>
    <w:rsid w:val="007B7DA4"/>
    <w:rsid w:val="007B7E3C"/>
    <w:rsid w:val="007C1D47"/>
    <w:rsid w:val="007C275F"/>
    <w:rsid w:val="007C2832"/>
    <w:rsid w:val="007C290B"/>
    <w:rsid w:val="007C2BD4"/>
    <w:rsid w:val="007C3BFF"/>
    <w:rsid w:val="007C40C7"/>
    <w:rsid w:val="007C4562"/>
    <w:rsid w:val="007C492B"/>
    <w:rsid w:val="007C5900"/>
    <w:rsid w:val="007C66AB"/>
    <w:rsid w:val="007C67A9"/>
    <w:rsid w:val="007C6AAF"/>
    <w:rsid w:val="007C6D3D"/>
    <w:rsid w:val="007C7B72"/>
    <w:rsid w:val="007C7EC2"/>
    <w:rsid w:val="007D02B2"/>
    <w:rsid w:val="007D1F95"/>
    <w:rsid w:val="007D24AC"/>
    <w:rsid w:val="007D2562"/>
    <w:rsid w:val="007D2680"/>
    <w:rsid w:val="007D2982"/>
    <w:rsid w:val="007D2E41"/>
    <w:rsid w:val="007D4151"/>
    <w:rsid w:val="007D57DF"/>
    <w:rsid w:val="007D5837"/>
    <w:rsid w:val="007D5A44"/>
    <w:rsid w:val="007D6677"/>
    <w:rsid w:val="007D6C42"/>
    <w:rsid w:val="007D7F13"/>
    <w:rsid w:val="007E0F20"/>
    <w:rsid w:val="007E0F80"/>
    <w:rsid w:val="007E10DB"/>
    <w:rsid w:val="007E13A0"/>
    <w:rsid w:val="007E2547"/>
    <w:rsid w:val="007E301B"/>
    <w:rsid w:val="007E30B5"/>
    <w:rsid w:val="007E3988"/>
    <w:rsid w:val="007E3D65"/>
    <w:rsid w:val="007E4BFD"/>
    <w:rsid w:val="007E5CFD"/>
    <w:rsid w:val="007E5E9B"/>
    <w:rsid w:val="007E6D3E"/>
    <w:rsid w:val="007E6D90"/>
    <w:rsid w:val="007E7F1A"/>
    <w:rsid w:val="007E7F7B"/>
    <w:rsid w:val="007F0DA5"/>
    <w:rsid w:val="007F0E27"/>
    <w:rsid w:val="007F285C"/>
    <w:rsid w:val="007F28D3"/>
    <w:rsid w:val="007F2C57"/>
    <w:rsid w:val="007F367D"/>
    <w:rsid w:val="007F3C0B"/>
    <w:rsid w:val="007F3C66"/>
    <w:rsid w:val="007F59A3"/>
    <w:rsid w:val="007F5C55"/>
    <w:rsid w:val="007F6818"/>
    <w:rsid w:val="00800ACC"/>
    <w:rsid w:val="0080166B"/>
    <w:rsid w:val="00801AD9"/>
    <w:rsid w:val="00801B0A"/>
    <w:rsid w:val="0080298A"/>
    <w:rsid w:val="00802A3A"/>
    <w:rsid w:val="00802D8C"/>
    <w:rsid w:val="008034BF"/>
    <w:rsid w:val="00804730"/>
    <w:rsid w:val="0080475B"/>
    <w:rsid w:val="008049CE"/>
    <w:rsid w:val="00804D40"/>
    <w:rsid w:val="0080601A"/>
    <w:rsid w:val="00806D37"/>
    <w:rsid w:val="00806D7B"/>
    <w:rsid w:val="00807089"/>
    <w:rsid w:val="008071D5"/>
    <w:rsid w:val="00810C37"/>
    <w:rsid w:val="008113B0"/>
    <w:rsid w:val="008116D7"/>
    <w:rsid w:val="008118CB"/>
    <w:rsid w:val="00811A33"/>
    <w:rsid w:val="00811D51"/>
    <w:rsid w:val="00811E78"/>
    <w:rsid w:val="00813258"/>
    <w:rsid w:val="008133FC"/>
    <w:rsid w:val="00813DDA"/>
    <w:rsid w:val="008150C8"/>
    <w:rsid w:val="008150D3"/>
    <w:rsid w:val="008152B1"/>
    <w:rsid w:val="00816EC1"/>
    <w:rsid w:val="00816F68"/>
    <w:rsid w:val="00817C5C"/>
    <w:rsid w:val="0082016B"/>
    <w:rsid w:val="00820D85"/>
    <w:rsid w:val="00821328"/>
    <w:rsid w:val="00821EF5"/>
    <w:rsid w:val="008225E9"/>
    <w:rsid w:val="00822A81"/>
    <w:rsid w:val="00822E3D"/>
    <w:rsid w:val="008230CA"/>
    <w:rsid w:val="008235C6"/>
    <w:rsid w:val="00823898"/>
    <w:rsid w:val="008239EE"/>
    <w:rsid w:val="00823CD0"/>
    <w:rsid w:val="00824276"/>
    <w:rsid w:val="0082448A"/>
    <w:rsid w:val="00826B5A"/>
    <w:rsid w:val="00827223"/>
    <w:rsid w:val="008275AB"/>
    <w:rsid w:val="00827604"/>
    <w:rsid w:val="008308DE"/>
    <w:rsid w:val="00830B48"/>
    <w:rsid w:val="00831B64"/>
    <w:rsid w:val="0083214D"/>
    <w:rsid w:val="00832193"/>
    <w:rsid w:val="00832CE8"/>
    <w:rsid w:val="00833D64"/>
    <w:rsid w:val="0083428B"/>
    <w:rsid w:val="00834D5F"/>
    <w:rsid w:val="00834EE4"/>
    <w:rsid w:val="008357EE"/>
    <w:rsid w:val="00836764"/>
    <w:rsid w:val="0083726F"/>
    <w:rsid w:val="00840012"/>
    <w:rsid w:val="00840029"/>
    <w:rsid w:val="008401FA"/>
    <w:rsid w:val="00842BAC"/>
    <w:rsid w:val="00843281"/>
    <w:rsid w:val="00843449"/>
    <w:rsid w:val="00843727"/>
    <w:rsid w:val="0084415C"/>
    <w:rsid w:val="008456EF"/>
    <w:rsid w:val="00845A7E"/>
    <w:rsid w:val="00847712"/>
    <w:rsid w:val="00850C22"/>
    <w:rsid w:val="008529C2"/>
    <w:rsid w:val="00853164"/>
    <w:rsid w:val="0085323C"/>
    <w:rsid w:val="00854929"/>
    <w:rsid w:val="0085514C"/>
    <w:rsid w:val="0085579A"/>
    <w:rsid w:val="0085603D"/>
    <w:rsid w:val="0085613F"/>
    <w:rsid w:val="00856534"/>
    <w:rsid w:val="00856A5C"/>
    <w:rsid w:val="00860183"/>
    <w:rsid w:val="00860467"/>
    <w:rsid w:val="008613D7"/>
    <w:rsid w:val="008615B4"/>
    <w:rsid w:val="008615E8"/>
    <w:rsid w:val="008617FC"/>
    <w:rsid w:val="008619E0"/>
    <w:rsid w:val="00861A05"/>
    <w:rsid w:val="00862A46"/>
    <w:rsid w:val="00864AD5"/>
    <w:rsid w:val="00864E45"/>
    <w:rsid w:val="0086500A"/>
    <w:rsid w:val="00866609"/>
    <w:rsid w:val="00866AB4"/>
    <w:rsid w:val="0086732A"/>
    <w:rsid w:val="00867B42"/>
    <w:rsid w:val="00870806"/>
    <w:rsid w:val="00871E19"/>
    <w:rsid w:val="0087219E"/>
    <w:rsid w:val="00872EEC"/>
    <w:rsid w:val="00874FEE"/>
    <w:rsid w:val="0087626B"/>
    <w:rsid w:val="008762D9"/>
    <w:rsid w:val="008764F4"/>
    <w:rsid w:val="008766A7"/>
    <w:rsid w:val="00876809"/>
    <w:rsid w:val="008769A9"/>
    <w:rsid w:val="00877141"/>
    <w:rsid w:val="00877280"/>
    <w:rsid w:val="00880797"/>
    <w:rsid w:val="0088089F"/>
    <w:rsid w:val="00880F8E"/>
    <w:rsid w:val="0088368F"/>
    <w:rsid w:val="0088391A"/>
    <w:rsid w:val="00883C99"/>
    <w:rsid w:val="00884F13"/>
    <w:rsid w:val="00885833"/>
    <w:rsid w:val="00885A20"/>
    <w:rsid w:val="00885C52"/>
    <w:rsid w:val="00887243"/>
    <w:rsid w:val="008877B7"/>
    <w:rsid w:val="00887D36"/>
    <w:rsid w:val="00890C1B"/>
    <w:rsid w:val="00891A5F"/>
    <w:rsid w:val="00892083"/>
    <w:rsid w:val="0089217B"/>
    <w:rsid w:val="00892674"/>
    <w:rsid w:val="00894AD1"/>
    <w:rsid w:val="00895346"/>
    <w:rsid w:val="00896099"/>
    <w:rsid w:val="00896BA8"/>
    <w:rsid w:val="008A01DF"/>
    <w:rsid w:val="008A0478"/>
    <w:rsid w:val="008A0DAE"/>
    <w:rsid w:val="008A1BAA"/>
    <w:rsid w:val="008A31DA"/>
    <w:rsid w:val="008A3691"/>
    <w:rsid w:val="008A3F10"/>
    <w:rsid w:val="008A4128"/>
    <w:rsid w:val="008A42BC"/>
    <w:rsid w:val="008A4F2F"/>
    <w:rsid w:val="008A53E2"/>
    <w:rsid w:val="008A5794"/>
    <w:rsid w:val="008A59A0"/>
    <w:rsid w:val="008A5CB6"/>
    <w:rsid w:val="008A65A7"/>
    <w:rsid w:val="008A7D2E"/>
    <w:rsid w:val="008B004C"/>
    <w:rsid w:val="008B0351"/>
    <w:rsid w:val="008B0C7A"/>
    <w:rsid w:val="008B0D3C"/>
    <w:rsid w:val="008B1578"/>
    <w:rsid w:val="008B1AED"/>
    <w:rsid w:val="008B231D"/>
    <w:rsid w:val="008B23F6"/>
    <w:rsid w:val="008B30CA"/>
    <w:rsid w:val="008B370D"/>
    <w:rsid w:val="008B388B"/>
    <w:rsid w:val="008B3E6D"/>
    <w:rsid w:val="008B59C0"/>
    <w:rsid w:val="008B643F"/>
    <w:rsid w:val="008B768C"/>
    <w:rsid w:val="008B7693"/>
    <w:rsid w:val="008C14BC"/>
    <w:rsid w:val="008C22E4"/>
    <w:rsid w:val="008C2387"/>
    <w:rsid w:val="008C2531"/>
    <w:rsid w:val="008C27D6"/>
    <w:rsid w:val="008C4274"/>
    <w:rsid w:val="008C456E"/>
    <w:rsid w:val="008C4FAE"/>
    <w:rsid w:val="008C5DE8"/>
    <w:rsid w:val="008C5F46"/>
    <w:rsid w:val="008C6AF1"/>
    <w:rsid w:val="008C6B7B"/>
    <w:rsid w:val="008C6B9C"/>
    <w:rsid w:val="008C6D73"/>
    <w:rsid w:val="008D0FEA"/>
    <w:rsid w:val="008D194D"/>
    <w:rsid w:val="008D1D24"/>
    <w:rsid w:val="008D1F96"/>
    <w:rsid w:val="008D282F"/>
    <w:rsid w:val="008D3532"/>
    <w:rsid w:val="008D382F"/>
    <w:rsid w:val="008D396D"/>
    <w:rsid w:val="008D3BAC"/>
    <w:rsid w:val="008D3EA2"/>
    <w:rsid w:val="008D53BA"/>
    <w:rsid w:val="008D5552"/>
    <w:rsid w:val="008D5A7B"/>
    <w:rsid w:val="008D6E71"/>
    <w:rsid w:val="008E0B37"/>
    <w:rsid w:val="008E0DD7"/>
    <w:rsid w:val="008E0FB8"/>
    <w:rsid w:val="008E157B"/>
    <w:rsid w:val="008E1888"/>
    <w:rsid w:val="008E21E7"/>
    <w:rsid w:val="008E2EA8"/>
    <w:rsid w:val="008E3616"/>
    <w:rsid w:val="008E3BAD"/>
    <w:rsid w:val="008E4789"/>
    <w:rsid w:val="008E697C"/>
    <w:rsid w:val="008E7DE0"/>
    <w:rsid w:val="008F087B"/>
    <w:rsid w:val="008F1110"/>
    <w:rsid w:val="008F1498"/>
    <w:rsid w:val="008F27F9"/>
    <w:rsid w:val="008F358E"/>
    <w:rsid w:val="008F39BD"/>
    <w:rsid w:val="008F3A5D"/>
    <w:rsid w:val="008F4CBA"/>
    <w:rsid w:val="008F54B0"/>
    <w:rsid w:val="008F560B"/>
    <w:rsid w:val="008F581C"/>
    <w:rsid w:val="008F760E"/>
    <w:rsid w:val="0090034E"/>
    <w:rsid w:val="00900DDD"/>
    <w:rsid w:val="009015A4"/>
    <w:rsid w:val="0090200E"/>
    <w:rsid w:val="00903569"/>
    <w:rsid w:val="00903D7E"/>
    <w:rsid w:val="00903F85"/>
    <w:rsid w:val="0090405A"/>
    <w:rsid w:val="00904B48"/>
    <w:rsid w:val="00905028"/>
    <w:rsid w:val="00906039"/>
    <w:rsid w:val="00906129"/>
    <w:rsid w:val="0090669C"/>
    <w:rsid w:val="00910165"/>
    <w:rsid w:val="0091107C"/>
    <w:rsid w:val="009110D2"/>
    <w:rsid w:val="009110F2"/>
    <w:rsid w:val="009112DD"/>
    <w:rsid w:val="00911B47"/>
    <w:rsid w:val="00911CD7"/>
    <w:rsid w:val="009131D3"/>
    <w:rsid w:val="009133E5"/>
    <w:rsid w:val="009143B1"/>
    <w:rsid w:val="009143C9"/>
    <w:rsid w:val="0091448F"/>
    <w:rsid w:val="00914914"/>
    <w:rsid w:val="00915279"/>
    <w:rsid w:val="0091552F"/>
    <w:rsid w:val="00915E58"/>
    <w:rsid w:val="00915FB6"/>
    <w:rsid w:val="00916BBF"/>
    <w:rsid w:val="00916C73"/>
    <w:rsid w:val="00917DC9"/>
    <w:rsid w:val="00920040"/>
    <w:rsid w:val="00920EC6"/>
    <w:rsid w:val="00921686"/>
    <w:rsid w:val="00921906"/>
    <w:rsid w:val="009220B9"/>
    <w:rsid w:val="009245A5"/>
    <w:rsid w:val="009245C1"/>
    <w:rsid w:val="0092476A"/>
    <w:rsid w:val="00926ECF"/>
    <w:rsid w:val="009270AF"/>
    <w:rsid w:val="009304B0"/>
    <w:rsid w:val="00930CD3"/>
    <w:rsid w:val="009310A7"/>
    <w:rsid w:val="0093112D"/>
    <w:rsid w:val="009318AC"/>
    <w:rsid w:val="00931FC7"/>
    <w:rsid w:val="00932005"/>
    <w:rsid w:val="00933F7C"/>
    <w:rsid w:val="009353F1"/>
    <w:rsid w:val="009355AA"/>
    <w:rsid w:val="009362F7"/>
    <w:rsid w:val="00936564"/>
    <w:rsid w:val="0093668C"/>
    <w:rsid w:val="009371CF"/>
    <w:rsid w:val="00937236"/>
    <w:rsid w:val="00937630"/>
    <w:rsid w:val="00937E72"/>
    <w:rsid w:val="00940B18"/>
    <w:rsid w:val="0094126D"/>
    <w:rsid w:val="00941632"/>
    <w:rsid w:val="00941D9A"/>
    <w:rsid w:val="009428F2"/>
    <w:rsid w:val="0094451F"/>
    <w:rsid w:val="009446E8"/>
    <w:rsid w:val="00945413"/>
    <w:rsid w:val="00945A32"/>
    <w:rsid w:val="00946CAA"/>
    <w:rsid w:val="00946F3B"/>
    <w:rsid w:val="009475B6"/>
    <w:rsid w:val="0094780F"/>
    <w:rsid w:val="00950239"/>
    <w:rsid w:val="00950310"/>
    <w:rsid w:val="00950E17"/>
    <w:rsid w:val="00951D09"/>
    <w:rsid w:val="0095219F"/>
    <w:rsid w:val="009526FE"/>
    <w:rsid w:val="009529AB"/>
    <w:rsid w:val="009529C9"/>
    <w:rsid w:val="009537A0"/>
    <w:rsid w:val="009550BF"/>
    <w:rsid w:val="00956582"/>
    <w:rsid w:val="00956884"/>
    <w:rsid w:val="00956C0F"/>
    <w:rsid w:val="00957086"/>
    <w:rsid w:val="0095794E"/>
    <w:rsid w:val="00960965"/>
    <w:rsid w:val="00960EB4"/>
    <w:rsid w:val="0096111C"/>
    <w:rsid w:val="0096130D"/>
    <w:rsid w:val="009619D0"/>
    <w:rsid w:val="00963674"/>
    <w:rsid w:val="00963726"/>
    <w:rsid w:val="00963EC0"/>
    <w:rsid w:val="009645C3"/>
    <w:rsid w:val="00964AD1"/>
    <w:rsid w:val="00964BEF"/>
    <w:rsid w:val="00965F4F"/>
    <w:rsid w:val="00967301"/>
    <w:rsid w:val="0096775A"/>
    <w:rsid w:val="009678AB"/>
    <w:rsid w:val="00970AC1"/>
    <w:rsid w:val="00971B2C"/>
    <w:rsid w:val="0097203A"/>
    <w:rsid w:val="00972080"/>
    <w:rsid w:val="00972497"/>
    <w:rsid w:val="00972AF9"/>
    <w:rsid w:val="00974602"/>
    <w:rsid w:val="009748A6"/>
    <w:rsid w:val="0097593D"/>
    <w:rsid w:val="009759EC"/>
    <w:rsid w:val="00975E39"/>
    <w:rsid w:val="00976190"/>
    <w:rsid w:val="00976BCF"/>
    <w:rsid w:val="00976C05"/>
    <w:rsid w:val="00976DFC"/>
    <w:rsid w:val="00976E13"/>
    <w:rsid w:val="0097761B"/>
    <w:rsid w:val="00977A6D"/>
    <w:rsid w:val="00977A6E"/>
    <w:rsid w:val="00980637"/>
    <w:rsid w:val="0098078E"/>
    <w:rsid w:val="009810A4"/>
    <w:rsid w:val="00981213"/>
    <w:rsid w:val="0098153B"/>
    <w:rsid w:val="00981A19"/>
    <w:rsid w:val="00981B20"/>
    <w:rsid w:val="00982DA2"/>
    <w:rsid w:val="00982FB4"/>
    <w:rsid w:val="0098371F"/>
    <w:rsid w:val="00983768"/>
    <w:rsid w:val="00983A41"/>
    <w:rsid w:val="0098546E"/>
    <w:rsid w:val="00986BE6"/>
    <w:rsid w:val="00986CE7"/>
    <w:rsid w:val="00987305"/>
    <w:rsid w:val="00987C2D"/>
    <w:rsid w:val="00987F15"/>
    <w:rsid w:val="00990393"/>
    <w:rsid w:val="00990EBA"/>
    <w:rsid w:val="00990F94"/>
    <w:rsid w:val="00991587"/>
    <w:rsid w:val="0099183B"/>
    <w:rsid w:val="00991EBF"/>
    <w:rsid w:val="009932BE"/>
    <w:rsid w:val="009962EA"/>
    <w:rsid w:val="00996458"/>
    <w:rsid w:val="0099661C"/>
    <w:rsid w:val="00996629"/>
    <w:rsid w:val="009967D6"/>
    <w:rsid w:val="00997050"/>
    <w:rsid w:val="00997F91"/>
    <w:rsid w:val="009A02F2"/>
    <w:rsid w:val="009A0F27"/>
    <w:rsid w:val="009A1805"/>
    <w:rsid w:val="009A19C5"/>
    <w:rsid w:val="009A1C47"/>
    <w:rsid w:val="009A1E1B"/>
    <w:rsid w:val="009A2E38"/>
    <w:rsid w:val="009A2EE7"/>
    <w:rsid w:val="009A3704"/>
    <w:rsid w:val="009A3D07"/>
    <w:rsid w:val="009A3FF8"/>
    <w:rsid w:val="009A43BF"/>
    <w:rsid w:val="009A52FB"/>
    <w:rsid w:val="009A61CA"/>
    <w:rsid w:val="009A68E8"/>
    <w:rsid w:val="009A7C62"/>
    <w:rsid w:val="009B0086"/>
    <w:rsid w:val="009B07FE"/>
    <w:rsid w:val="009B08A8"/>
    <w:rsid w:val="009B10A5"/>
    <w:rsid w:val="009B10C2"/>
    <w:rsid w:val="009B1424"/>
    <w:rsid w:val="009B144A"/>
    <w:rsid w:val="009B2911"/>
    <w:rsid w:val="009B32B1"/>
    <w:rsid w:val="009B342D"/>
    <w:rsid w:val="009B3FB9"/>
    <w:rsid w:val="009B43E3"/>
    <w:rsid w:val="009B44F2"/>
    <w:rsid w:val="009B4A66"/>
    <w:rsid w:val="009B509D"/>
    <w:rsid w:val="009B51C0"/>
    <w:rsid w:val="009B65D6"/>
    <w:rsid w:val="009B70DF"/>
    <w:rsid w:val="009B7483"/>
    <w:rsid w:val="009B7D3A"/>
    <w:rsid w:val="009C00F9"/>
    <w:rsid w:val="009C0118"/>
    <w:rsid w:val="009C07EB"/>
    <w:rsid w:val="009C1014"/>
    <w:rsid w:val="009C1630"/>
    <w:rsid w:val="009C20B9"/>
    <w:rsid w:val="009C2853"/>
    <w:rsid w:val="009C3D6E"/>
    <w:rsid w:val="009C4FBF"/>
    <w:rsid w:val="009C558B"/>
    <w:rsid w:val="009C57B3"/>
    <w:rsid w:val="009C5E5F"/>
    <w:rsid w:val="009C64EB"/>
    <w:rsid w:val="009C67DC"/>
    <w:rsid w:val="009C6821"/>
    <w:rsid w:val="009C6EFF"/>
    <w:rsid w:val="009D09F3"/>
    <w:rsid w:val="009D0FB1"/>
    <w:rsid w:val="009D1F0C"/>
    <w:rsid w:val="009D313F"/>
    <w:rsid w:val="009D3A99"/>
    <w:rsid w:val="009D492B"/>
    <w:rsid w:val="009D4FAA"/>
    <w:rsid w:val="009D59DC"/>
    <w:rsid w:val="009D71A9"/>
    <w:rsid w:val="009D74E7"/>
    <w:rsid w:val="009E031D"/>
    <w:rsid w:val="009E055D"/>
    <w:rsid w:val="009E0621"/>
    <w:rsid w:val="009E2935"/>
    <w:rsid w:val="009E2FFE"/>
    <w:rsid w:val="009E3E51"/>
    <w:rsid w:val="009E421A"/>
    <w:rsid w:val="009E42D0"/>
    <w:rsid w:val="009E461F"/>
    <w:rsid w:val="009E4F9E"/>
    <w:rsid w:val="009E76C9"/>
    <w:rsid w:val="009F0542"/>
    <w:rsid w:val="009F14DD"/>
    <w:rsid w:val="009F202F"/>
    <w:rsid w:val="009F2491"/>
    <w:rsid w:val="009F2A51"/>
    <w:rsid w:val="009F30BC"/>
    <w:rsid w:val="009F3546"/>
    <w:rsid w:val="009F3A8D"/>
    <w:rsid w:val="009F4738"/>
    <w:rsid w:val="009F5ADD"/>
    <w:rsid w:val="009F5CB6"/>
    <w:rsid w:val="009F612B"/>
    <w:rsid w:val="009F6630"/>
    <w:rsid w:val="009F703F"/>
    <w:rsid w:val="009F7DA0"/>
    <w:rsid w:val="00A00F08"/>
    <w:rsid w:val="00A01692"/>
    <w:rsid w:val="00A01EA6"/>
    <w:rsid w:val="00A02261"/>
    <w:rsid w:val="00A025D8"/>
    <w:rsid w:val="00A03244"/>
    <w:rsid w:val="00A0347D"/>
    <w:rsid w:val="00A036FF"/>
    <w:rsid w:val="00A037C5"/>
    <w:rsid w:val="00A03842"/>
    <w:rsid w:val="00A03D0D"/>
    <w:rsid w:val="00A048ED"/>
    <w:rsid w:val="00A05347"/>
    <w:rsid w:val="00A05560"/>
    <w:rsid w:val="00A056F4"/>
    <w:rsid w:val="00A05C31"/>
    <w:rsid w:val="00A06459"/>
    <w:rsid w:val="00A0656B"/>
    <w:rsid w:val="00A0703F"/>
    <w:rsid w:val="00A07B92"/>
    <w:rsid w:val="00A07BE2"/>
    <w:rsid w:val="00A07D93"/>
    <w:rsid w:val="00A07ED3"/>
    <w:rsid w:val="00A105A8"/>
    <w:rsid w:val="00A106B8"/>
    <w:rsid w:val="00A10B82"/>
    <w:rsid w:val="00A11846"/>
    <w:rsid w:val="00A13553"/>
    <w:rsid w:val="00A13CD1"/>
    <w:rsid w:val="00A13DB5"/>
    <w:rsid w:val="00A1454A"/>
    <w:rsid w:val="00A14785"/>
    <w:rsid w:val="00A15056"/>
    <w:rsid w:val="00A15356"/>
    <w:rsid w:val="00A1646D"/>
    <w:rsid w:val="00A166EC"/>
    <w:rsid w:val="00A16D68"/>
    <w:rsid w:val="00A20D8C"/>
    <w:rsid w:val="00A214BD"/>
    <w:rsid w:val="00A214FF"/>
    <w:rsid w:val="00A21CA8"/>
    <w:rsid w:val="00A21F1D"/>
    <w:rsid w:val="00A21F5B"/>
    <w:rsid w:val="00A2241B"/>
    <w:rsid w:val="00A2242E"/>
    <w:rsid w:val="00A226A9"/>
    <w:rsid w:val="00A23F36"/>
    <w:rsid w:val="00A240CF"/>
    <w:rsid w:val="00A24578"/>
    <w:rsid w:val="00A25B24"/>
    <w:rsid w:val="00A25CA0"/>
    <w:rsid w:val="00A25E1D"/>
    <w:rsid w:val="00A264A4"/>
    <w:rsid w:val="00A266E9"/>
    <w:rsid w:val="00A26BCD"/>
    <w:rsid w:val="00A27519"/>
    <w:rsid w:val="00A317A6"/>
    <w:rsid w:val="00A3279F"/>
    <w:rsid w:val="00A329C2"/>
    <w:rsid w:val="00A32CDE"/>
    <w:rsid w:val="00A32E15"/>
    <w:rsid w:val="00A33DB0"/>
    <w:rsid w:val="00A343D9"/>
    <w:rsid w:val="00A34A61"/>
    <w:rsid w:val="00A3540F"/>
    <w:rsid w:val="00A356C0"/>
    <w:rsid w:val="00A35911"/>
    <w:rsid w:val="00A35CF8"/>
    <w:rsid w:val="00A3645A"/>
    <w:rsid w:val="00A36C39"/>
    <w:rsid w:val="00A4014C"/>
    <w:rsid w:val="00A40AF6"/>
    <w:rsid w:val="00A40E08"/>
    <w:rsid w:val="00A413C2"/>
    <w:rsid w:val="00A41D8E"/>
    <w:rsid w:val="00A423F1"/>
    <w:rsid w:val="00A43833"/>
    <w:rsid w:val="00A43C23"/>
    <w:rsid w:val="00A44217"/>
    <w:rsid w:val="00A44BD2"/>
    <w:rsid w:val="00A44E6C"/>
    <w:rsid w:val="00A45496"/>
    <w:rsid w:val="00A456AE"/>
    <w:rsid w:val="00A45976"/>
    <w:rsid w:val="00A525E3"/>
    <w:rsid w:val="00A52799"/>
    <w:rsid w:val="00A5305A"/>
    <w:rsid w:val="00A53063"/>
    <w:rsid w:val="00A53CFE"/>
    <w:rsid w:val="00A54564"/>
    <w:rsid w:val="00A56117"/>
    <w:rsid w:val="00A56615"/>
    <w:rsid w:val="00A56751"/>
    <w:rsid w:val="00A56A06"/>
    <w:rsid w:val="00A56E32"/>
    <w:rsid w:val="00A57018"/>
    <w:rsid w:val="00A6033C"/>
    <w:rsid w:val="00A603E1"/>
    <w:rsid w:val="00A60971"/>
    <w:rsid w:val="00A60CC2"/>
    <w:rsid w:val="00A61274"/>
    <w:rsid w:val="00A618C4"/>
    <w:rsid w:val="00A621B6"/>
    <w:rsid w:val="00A62E5A"/>
    <w:rsid w:val="00A6347C"/>
    <w:rsid w:val="00A637B2"/>
    <w:rsid w:val="00A643D3"/>
    <w:rsid w:val="00A64A4B"/>
    <w:rsid w:val="00A64D80"/>
    <w:rsid w:val="00A657B4"/>
    <w:rsid w:val="00A65A2F"/>
    <w:rsid w:val="00A67924"/>
    <w:rsid w:val="00A70548"/>
    <w:rsid w:val="00A70E2F"/>
    <w:rsid w:val="00A7162E"/>
    <w:rsid w:val="00A71922"/>
    <w:rsid w:val="00A71BFB"/>
    <w:rsid w:val="00A73901"/>
    <w:rsid w:val="00A75DBF"/>
    <w:rsid w:val="00A77086"/>
    <w:rsid w:val="00A80A95"/>
    <w:rsid w:val="00A810AF"/>
    <w:rsid w:val="00A81C1B"/>
    <w:rsid w:val="00A82222"/>
    <w:rsid w:val="00A82934"/>
    <w:rsid w:val="00A835A2"/>
    <w:rsid w:val="00A83F1F"/>
    <w:rsid w:val="00A8411B"/>
    <w:rsid w:val="00A90E4B"/>
    <w:rsid w:val="00A912F9"/>
    <w:rsid w:val="00A918BC"/>
    <w:rsid w:val="00A91ADF"/>
    <w:rsid w:val="00A92C38"/>
    <w:rsid w:val="00A92EAB"/>
    <w:rsid w:val="00A93120"/>
    <w:rsid w:val="00A9354C"/>
    <w:rsid w:val="00A93C89"/>
    <w:rsid w:val="00A93EE6"/>
    <w:rsid w:val="00A9424C"/>
    <w:rsid w:val="00A942B6"/>
    <w:rsid w:val="00A94C83"/>
    <w:rsid w:val="00A94DDA"/>
    <w:rsid w:val="00A958C8"/>
    <w:rsid w:val="00A959DF"/>
    <w:rsid w:val="00A9639D"/>
    <w:rsid w:val="00A96744"/>
    <w:rsid w:val="00A96AB5"/>
    <w:rsid w:val="00A96ACF"/>
    <w:rsid w:val="00A96CDF"/>
    <w:rsid w:val="00A974DC"/>
    <w:rsid w:val="00A97546"/>
    <w:rsid w:val="00AA01CC"/>
    <w:rsid w:val="00AA0457"/>
    <w:rsid w:val="00AA0CA6"/>
    <w:rsid w:val="00AA2CBB"/>
    <w:rsid w:val="00AA39F7"/>
    <w:rsid w:val="00AA54E1"/>
    <w:rsid w:val="00AA5A87"/>
    <w:rsid w:val="00AA5C2F"/>
    <w:rsid w:val="00AA60F8"/>
    <w:rsid w:val="00AA70CE"/>
    <w:rsid w:val="00AA7B6A"/>
    <w:rsid w:val="00AB0A5C"/>
    <w:rsid w:val="00AB1222"/>
    <w:rsid w:val="00AB1B15"/>
    <w:rsid w:val="00AB1D8C"/>
    <w:rsid w:val="00AB484E"/>
    <w:rsid w:val="00AB7100"/>
    <w:rsid w:val="00AB726D"/>
    <w:rsid w:val="00AB72A0"/>
    <w:rsid w:val="00AC01CB"/>
    <w:rsid w:val="00AC0949"/>
    <w:rsid w:val="00AC15A9"/>
    <w:rsid w:val="00AC1834"/>
    <w:rsid w:val="00AC1F8C"/>
    <w:rsid w:val="00AC22F8"/>
    <w:rsid w:val="00AC2601"/>
    <w:rsid w:val="00AC33C5"/>
    <w:rsid w:val="00AC34B6"/>
    <w:rsid w:val="00AC4432"/>
    <w:rsid w:val="00AC4FF6"/>
    <w:rsid w:val="00AC58D6"/>
    <w:rsid w:val="00AC5D95"/>
    <w:rsid w:val="00AC6152"/>
    <w:rsid w:val="00AC6892"/>
    <w:rsid w:val="00AC7D32"/>
    <w:rsid w:val="00AD1C2B"/>
    <w:rsid w:val="00AD2D49"/>
    <w:rsid w:val="00AD3704"/>
    <w:rsid w:val="00AD4B14"/>
    <w:rsid w:val="00AD5002"/>
    <w:rsid w:val="00AD53C1"/>
    <w:rsid w:val="00AD5593"/>
    <w:rsid w:val="00AD69BE"/>
    <w:rsid w:val="00AD6DC9"/>
    <w:rsid w:val="00AD707A"/>
    <w:rsid w:val="00AD7912"/>
    <w:rsid w:val="00AE0254"/>
    <w:rsid w:val="00AE0942"/>
    <w:rsid w:val="00AE09C1"/>
    <w:rsid w:val="00AE0DAA"/>
    <w:rsid w:val="00AE1975"/>
    <w:rsid w:val="00AE246C"/>
    <w:rsid w:val="00AE252A"/>
    <w:rsid w:val="00AE34C0"/>
    <w:rsid w:val="00AE467F"/>
    <w:rsid w:val="00AE4DA8"/>
    <w:rsid w:val="00AE5686"/>
    <w:rsid w:val="00AE60A1"/>
    <w:rsid w:val="00AE6E0B"/>
    <w:rsid w:val="00AE6F79"/>
    <w:rsid w:val="00AF18D5"/>
    <w:rsid w:val="00AF21E3"/>
    <w:rsid w:val="00AF4FDB"/>
    <w:rsid w:val="00AF5609"/>
    <w:rsid w:val="00AF7D64"/>
    <w:rsid w:val="00B00179"/>
    <w:rsid w:val="00B0047F"/>
    <w:rsid w:val="00B00B5E"/>
    <w:rsid w:val="00B01E1C"/>
    <w:rsid w:val="00B02BE5"/>
    <w:rsid w:val="00B0366E"/>
    <w:rsid w:val="00B03F41"/>
    <w:rsid w:val="00B04DFB"/>
    <w:rsid w:val="00B0503A"/>
    <w:rsid w:val="00B050EB"/>
    <w:rsid w:val="00B056DD"/>
    <w:rsid w:val="00B05BAA"/>
    <w:rsid w:val="00B063DA"/>
    <w:rsid w:val="00B06777"/>
    <w:rsid w:val="00B06D31"/>
    <w:rsid w:val="00B071CF"/>
    <w:rsid w:val="00B1047A"/>
    <w:rsid w:val="00B10B5D"/>
    <w:rsid w:val="00B114C6"/>
    <w:rsid w:val="00B11698"/>
    <w:rsid w:val="00B120D6"/>
    <w:rsid w:val="00B133E3"/>
    <w:rsid w:val="00B13F2B"/>
    <w:rsid w:val="00B14120"/>
    <w:rsid w:val="00B14654"/>
    <w:rsid w:val="00B14BFE"/>
    <w:rsid w:val="00B15EAA"/>
    <w:rsid w:val="00B16D29"/>
    <w:rsid w:val="00B16D92"/>
    <w:rsid w:val="00B170AC"/>
    <w:rsid w:val="00B178CD"/>
    <w:rsid w:val="00B17AAB"/>
    <w:rsid w:val="00B17F3B"/>
    <w:rsid w:val="00B20B30"/>
    <w:rsid w:val="00B210BD"/>
    <w:rsid w:val="00B2237D"/>
    <w:rsid w:val="00B234B0"/>
    <w:rsid w:val="00B24531"/>
    <w:rsid w:val="00B25746"/>
    <w:rsid w:val="00B25803"/>
    <w:rsid w:val="00B25BED"/>
    <w:rsid w:val="00B26098"/>
    <w:rsid w:val="00B26E5A"/>
    <w:rsid w:val="00B27910"/>
    <w:rsid w:val="00B27E7C"/>
    <w:rsid w:val="00B30857"/>
    <w:rsid w:val="00B308AC"/>
    <w:rsid w:val="00B30B6A"/>
    <w:rsid w:val="00B31E86"/>
    <w:rsid w:val="00B32089"/>
    <w:rsid w:val="00B32EDA"/>
    <w:rsid w:val="00B33704"/>
    <w:rsid w:val="00B34653"/>
    <w:rsid w:val="00B3563B"/>
    <w:rsid w:val="00B35B61"/>
    <w:rsid w:val="00B35B7B"/>
    <w:rsid w:val="00B369EB"/>
    <w:rsid w:val="00B37074"/>
    <w:rsid w:val="00B37DAE"/>
    <w:rsid w:val="00B40A9A"/>
    <w:rsid w:val="00B41FD2"/>
    <w:rsid w:val="00B44191"/>
    <w:rsid w:val="00B4449A"/>
    <w:rsid w:val="00B456D6"/>
    <w:rsid w:val="00B508AA"/>
    <w:rsid w:val="00B515A5"/>
    <w:rsid w:val="00B518EE"/>
    <w:rsid w:val="00B51B15"/>
    <w:rsid w:val="00B523CF"/>
    <w:rsid w:val="00B52ACD"/>
    <w:rsid w:val="00B5309A"/>
    <w:rsid w:val="00B53C83"/>
    <w:rsid w:val="00B54966"/>
    <w:rsid w:val="00B56117"/>
    <w:rsid w:val="00B56229"/>
    <w:rsid w:val="00B569A0"/>
    <w:rsid w:val="00B56C66"/>
    <w:rsid w:val="00B57001"/>
    <w:rsid w:val="00B57095"/>
    <w:rsid w:val="00B570F5"/>
    <w:rsid w:val="00B57B33"/>
    <w:rsid w:val="00B600ED"/>
    <w:rsid w:val="00B60189"/>
    <w:rsid w:val="00B604F7"/>
    <w:rsid w:val="00B6108C"/>
    <w:rsid w:val="00B612EE"/>
    <w:rsid w:val="00B61FFD"/>
    <w:rsid w:val="00B63183"/>
    <w:rsid w:val="00B652CF"/>
    <w:rsid w:val="00B655F1"/>
    <w:rsid w:val="00B65E49"/>
    <w:rsid w:val="00B67674"/>
    <w:rsid w:val="00B67811"/>
    <w:rsid w:val="00B67CB2"/>
    <w:rsid w:val="00B7044F"/>
    <w:rsid w:val="00B71343"/>
    <w:rsid w:val="00B7135A"/>
    <w:rsid w:val="00B713E0"/>
    <w:rsid w:val="00B72823"/>
    <w:rsid w:val="00B72DAA"/>
    <w:rsid w:val="00B73643"/>
    <w:rsid w:val="00B74D90"/>
    <w:rsid w:val="00B755C1"/>
    <w:rsid w:val="00B7657C"/>
    <w:rsid w:val="00B76D33"/>
    <w:rsid w:val="00B77517"/>
    <w:rsid w:val="00B77AE6"/>
    <w:rsid w:val="00B8122F"/>
    <w:rsid w:val="00B821DC"/>
    <w:rsid w:val="00B82A61"/>
    <w:rsid w:val="00B831C7"/>
    <w:rsid w:val="00B837FB"/>
    <w:rsid w:val="00B84926"/>
    <w:rsid w:val="00B84DDC"/>
    <w:rsid w:val="00B85A59"/>
    <w:rsid w:val="00B860C1"/>
    <w:rsid w:val="00B875DB"/>
    <w:rsid w:val="00B87D3B"/>
    <w:rsid w:val="00B9045B"/>
    <w:rsid w:val="00B926F8"/>
    <w:rsid w:val="00B92D70"/>
    <w:rsid w:val="00B931AC"/>
    <w:rsid w:val="00B931C7"/>
    <w:rsid w:val="00B93239"/>
    <w:rsid w:val="00B945F6"/>
    <w:rsid w:val="00B94D8D"/>
    <w:rsid w:val="00B960F8"/>
    <w:rsid w:val="00B9615F"/>
    <w:rsid w:val="00B96238"/>
    <w:rsid w:val="00B97374"/>
    <w:rsid w:val="00B976AC"/>
    <w:rsid w:val="00B97A66"/>
    <w:rsid w:val="00B97F73"/>
    <w:rsid w:val="00BA0FF9"/>
    <w:rsid w:val="00BA121E"/>
    <w:rsid w:val="00BA2377"/>
    <w:rsid w:val="00BA2DC4"/>
    <w:rsid w:val="00BA42C7"/>
    <w:rsid w:val="00BA42F5"/>
    <w:rsid w:val="00BA494C"/>
    <w:rsid w:val="00BA4C26"/>
    <w:rsid w:val="00BA4C44"/>
    <w:rsid w:val="00BA4E59"/>
    <w:rsid w:val="00BA5283"/>
    <w:rsid w:val="00BA552A"/>
    <w:rsid w:val="00BA576A"/>
    <w:rsid w:val="00BA59B2"/>
    <w:rsid w:val="00BA6970"/>
    <w:rsid w:val="00BA78A5"/>
    <w:rsid w:val="00BB02D6"/>
    <w:rsid w:val="00BB08E2"/>
    <w:rsid w:val="00BB0AC9"/>
    <w:rsid w:val="00BB2B9B"/>
    <w:rsid w:val="00BB2FD6"/>
    <w:rsid w:val="00BB3084"/>
    <w:rsid w:val="00BB3195"/>
    <w:rsid w:val="00BB32ED"/>
    <w:rsid w:val="00BB5593"/>
    <w:rsid w:val="00BB55BC"/>
    <w:rsid w:val="00BB5D2D"/>
    <w:rsid w:val="00BB60C6"/>
    <w:rsid w:val="00BB6149"/>
    <w:rsid w:val="00BB6506"/>
    <w:rsid w:val="00BB6A20"/>
    <w:rsid w:val="00BB7244"/>
    <w:rsid w:val="00BB7DF9"/>
    <w:rsid w:val="00BB7E15"/>
    <w:rsid w:val="00BC044D"/>
    <w:rsid w:val="00BC0A17"/>
    <w:rsid w:val="00BC14FF"/>
    <w:rsid w:val="00BC176A"/>
    <w:rsid w:val="00BC1870"/>
    <w:rsid w:val="00BC412F"/>
    <w:rsid w:val="00BC5C25"/>
    <w:rsid w:val="00BC63D4"/>
    <w:rsid w:val="00BC6E13"/>
    <w:rsid w:val="00BC723C"/>
    <w:rsid w:val="00BD013F"/>
    <w:rsid w:val="00BD10AE"/>
    <w:rsid w:val="00BD1E05"/>
    <w:rsid w:val="00BD294E"/>
    <w:rsid w:val="00BD2C41"/>
    <w:rsid w:val="00BD3014"/>
    <w:rsid w:val="00BD31CE"/>
    <w:rsid w:val="00BD32EF"/>
    <w:rsid w:val="00BD592E"/>
    <w:rsid w:val="00BD5986"/>
    <w:rsid w:val="00BD6163"/>
    <w:rsid w:val="00BD6C84"/>
    <w:rsid w:val="00BD6FA7"/>
    <w:rsid w:val="00BE1045"/>
    <w:rsid w:val="00BE157C"/>
    <w:rsid w:val="00BE16A4"/>
    <w:rsid w:val="00BE28F2"/>
    <w:rsid w:val="00BE5222"/>
    <w:rsid w:val="00BE52AD"/>
    <w:rsid w:val="00BE587E"/>
    <w:rsid w:val="00BE6798"/>
    <w:rsid w:val="00BE69A3"/>
    <w:rsid w:val="00BE6F8E"/>
    <w:rsid w:val="00BE721D"/>
    <w:rsid w:val="00BE7817"/>
    <w:rsid w:val="00BE7D67"/>
    <w:rsid w:val="00BF256F"/>
    <w:rsid w:val="00BF2907"/>
    <w:rsid w:val="00BF2C11"/>
    <w:rsid w:val="00BF2DE7"/>
    <w:rsid w:val="00BF38AF"/>
    <w:rsid w:val="00BF39F6"/>
    <w:rsid w:val="00BF49AE"/>
    <w:rsid w:val="00BF4FFB"/>
    <w:rsid w:val="00BF5293"/>
    <w:rsid w:val="00BF6003"/>
    <w:rsid w:val="00BF77CC"/>
    <w:rsid w:val="00BF7F3F"/>
    <w:rsid w:val="00BF7FC1"/>
    <w:rsid w:val="00C003B5"/>
    <w:rsid w:val="00C00AFE"/>
    <w:rsid w:val="00C01425"/>
    <w:rsid w:val="00C014A6"/>
    <w:rsid w:val="00C04BBE"/>
    <w:rsid w:val="00C051B4"/>
    <w:rsid w:val="00C056D7"/>
    <w:rsid w:val="00C05AD6"/>
    <w:rsid w:val="00C066E2"/>
    <w:rsid w:val="00C06E5D"/>
    <w:rsid w:val="00C0741D"/>
    <w:rsid w:val="00C07A0F"/>
    <w:rsid w:val="00C07A37"/>
    <w:rsid w:val="00C102BB"/>
    <w:rsid w:val="00C114CF"/>
    <w:rsid w:val="00C11AE3"/>
    <w:rsid w:val="00C12EFB"/>
    <w:rsid w:val="00C1317E"/>
    <w:rsid w:val="00C1318C"/>
    <w:rsid w:val="00C13D85"/>
    <w:rsid w:val="00C16AF7"/>
    <w:rsid w:val="00C17CE2"/>
    <w:rsid w:val="00C20512"/>
    <w:rsid w:val="00C21A21"/>
    <w:rsid w:val="00C23179"/>
    <w:rsid w:val="00C231A3"/>
    <w:rsid w:val="00C24F73"/>
    <w:rsid w:val="00C25104"/>
    <w:rsid w:val="00C25489"/>
    <w:rsid w:val="00C25B89"/>
    <w:rsid w:val="00C25ED6"/>
    <w:rsid w:val="00C25EEA"/>
    <w:rsid w:val="00C26E88"/>
    <w:rsid w:val="00C30581"/>
    <w:rsid w:val="00C30E3F"/>
    <w:rsid w:val="00C31077"/>
    <w:rsid w:val="00C31783"/>
    <w:rsid w:val="00C32532"/>
    <w:rsid w:val="00C3291D"/>
    <w:rsid w:val="00C32EDC"/>
    <w:rsid w:val="00C32EF2"/>
    <w:rsid w:val="00C32F16"/>
    <w:rsid w:val="00C33172"/>
    <w:rsid w:val="00C3430C"/>
    <w:rsid w:val="00C34BEF"/>
    <w:rsid w:val="00C34CE7"/>
    <w:rsid w:val="00C3533A"/>
    <w:rsid w:val="00C3542D"/>
    <w:rsid w:val="00C35C15"/>
    <w:rsid w:val="00C35E17"/>
    <w:rsid w:val="00C35E45"/>
    <w:rsid w:val="00C3777F"/>
    <w:rsid w:val="00C4156A"/>
    <w:rsid w:val="00C4163C"/>
    <w:rsid w:val="00C41788"/>
    <w:rsid w:val="00C42724"/>
    <w:rsid w:val="00C42E7A"/>
    <w:rsid w:val="00C43562"/>
    <w:rsid w:val="00C448C4"/>
    <w:rsid w:val="00C45173"/>
    <w:rsid w:val="00C4521E"/>
    <w:rsid w:val="00C45418"/>
    <w:rsid w:val="00C45EDC"/>
    <w:rsid w:val="00C46E74"/>
    <w:rsid w:val="00C47984"/>
    <w:rsid w:val="00C505C0"/>
    <w:rsid w:val="00C506BA"/>
    <w:rsid w:val="00C50E5E"/>
    <w:rsid w:val="00C513A5"/>
    <w:rsid w:val="00C513B2"/>
    <w:rsid w:val="00C5306B"/>
    <w:rsid w:val="00C53D00"/>
    <w:rsid w:val="00C53DCB"/>
    <w:rsid w:val="00C540DC"/>
    <w:rsid w:val="00C54843"/>
    <w:rsid w:val="00C55368"/>
    <w:rsid w:val="00C5626E"/>
    <w:rsid w:val="00C56B02"/>
    <w:rsid w:val="00C56BCE"/>
    <w:rsid w:val="00C5703C"/>
    <w:rsid w:val="00C573D3"/>
    <w:rsid w:val="00C6004E"/>
    <w:rsid w:val="00C60931"/>
    <w:rsid w:val="00C60A99"/>
    <w:rsid w:val="00C61683"/>
    <w:rsid w:val="00C6282E"/>
    <w:rsid w:val="00C62AEF"/>
    <w:rsid w:val="00C62D15"/>
    <w:rsid w:val="00C62D5B"/>
    <w:rsid w:val="00C6365D"/>
    <w:rsid w:val="00C63A52"/>
    <w:rsid w:val="00C64640"/>
    <w:rsid w:val="00C649B0"/>
    <w:rsid w:val="00C64D78"/>
    <w:rsid w:val="00C65BF9"/>
    <w:rsid w:val="00C66296"/>
    <w:rsid w:val="00C66518"/>
    <w:rsid w:val="00C66630"/>
    <w:rsid w:val="00C67352"/>
    <w:rsid w:val="00C676AB"/>
    <w:rsid w:val="00C67A2E"/>
    <w:rsid w:val="00C67A9C"/>
    <w:rsid w:val="00C70E3E"/>
    <w:rsid w:val="00C710EB"/>
    <w:rsid w:val="00C71110"/>
    <w:rsid w:val="00C72302"/>
    <w:rsid w:val="00C72634"/>
    <w:rsid w:val="00C72659"/>
    <w:rsid w:val="00C72746"/>
    <w:rsid w:val="00C727CB"/>
    <w:rsid w:val="00C72BE3"/>
    <w:rsid w:val="00C732D2"/>
    <w:rsid w:val="00C73397"/>
    <w:rsid w:val="00C73669"/>
    <w:rsid w:val="00C73D6A"/>
    <w:rsid w:val="00C745ED"/>
    <w:rsid w:val="00C74A4D"/>
    <w:rsid w:val="00C75E13"/>
    <w:rsid w:val="00C7644A"/>
    <w:rsid w:val="00C76A80"/>
    <w:rsid w:val="00C77577"/>
    <w:rsid w:val="00C77791"/>
    <w:rsid w:val="00C83683"/>
    <w:rsid w:val="00C84579"/>
    <w:rsid w:val="00C847EB"/>
    <w:rsid w:val="00C84BD0"/>
    <w:rsid w:val="00C85CC6"/>
    <w:rsid w:val="00C86788"/>
    <w:rsid w:val="00C875F3"/>
    <w:rsid w:val="00C87B9F"/>
    <w:rsid w:val="00C87F2E"/>
    <w:rsid w:val="00C9008B"/>
    <w:rsid w:val="00C91B08"/>
    <w:rsid w:val="00C91B51"/>
    <w:rsid w:val="00C92AEF"/>
    <w:rsid w:val="00C94D41"/>
    <w:rsid w:val="00C94D55"/>
    <w:rsid w:val="00C94E9F"/>
    <w:rsid w:val="00C957C9"/>
    <w:rsid w:val="00C961BF"/>
    <w:rsid w:val="00C961F5"/>
    <w:rsid w:val="00C96C6B"/>
    <w:rsid w:val="00C976A5"/>
    <w:rsid w:val="00C9786B"/>
    <w:rsid w:val="00C97A84"/>
    <w:rsid w:val="00C97D08"/>
    <w:rsid w:val="00CA018D"/>
    <w:rsid w:val="00CA092F"/>
    <w:rsid w:val="00CA095D"/>
    <w:rsid w:val="00CA1595"/>
    <w:rsid w:val="00CA464D"/>
    <w:rsid w:val="00CA547C"/>
    <w:rsid w:val="00CA553D"/>
    <w:rsid w:val="00CA5B59"/>
    <w:rsid w:val="00CA65FE"/>
    <w:rsid w:val="00CB1378"/>
    <w:rsid w:val="00CB20EA"/>
    <w:rsid w:val="00CB30E2"/>
    <w:rsid w:val="00CB3542"/>
    <w:rsid w:val="00CB3B30"/>
    <w:rsid w:val="00CB3C3E"/>
    <w:rsid w:val="00CB3FEF"/>
    <w:rsid w:val="00CB4BC4"/>
    <w:rsid w:val="00CB4FB2"/>
    <w:rsid w:val="00CB5446"/>
    <w:rsid w:val="00CB57AC"/>
    <w:rsid w:val="00CB5CD6"/>
    <w:rsid w:val="00CB644A"/>
    <w:rsid w:val="00CB6ADC"/>
    <w:rsid w:val="00CB7983"/>
    <w:rsid w:val="00CC080A"/>
    <w:rsid w:val="00CC206F"/>
    <w:rsid w:val="00CC46D4"/>
    <w:rsid w:val="00CC4B4A"/>
    <w:rsid w:val="00CC4BF8"/>
    <w:rsid w:val="00CC4E72"/>
    <w:rsid w:val="00CC5D2C"/>
    <w:rsid w:val="00CC6802"/>
    <w:rsid w:val="00CC6C9D"/>
    <w:rsid w:val="00CC70BE"/>
    <w:rsid w:val="00CC75DE"/>
    <w:rsid w:val="00CD047D"/>
    <w:rsid w:val="00CD1577"/>
    <w:rsid w:val="00CD174A"/>
    <w:rsid w:val="00CD1C93"/>
    <w:rsid w:val="00CD1CE7"/>
    <w:rsid w:val="00CD53B1"/>
    <w:rsid w:val="00CD5718"/>
    <w:rsid w:val="00CD6B1B"/>
    <w:rsid w:val="00CD7599"/>
    <w:rsid w:val="00CD7884"/>
    <w:rsid w:val="00CD7AF8"/>
    <w:rsid w:val="00CE1096"/>
    <w:rsid w:val="00CE2BBF"/>
    <w:rsid w:val="00CE34E2"/>
    <w:rsid w:val="00CE3712"/>
    <w:rsid w:val="00CE3A6E"/>
    <w:rsid w:val="00CE3AB0"/>
    <w:rsid w:val="00CE3F1D"/>
    <w:rsid w:val="00CE44E4"/>
    <w:rsid w:val="00CE4F3E"/>
    <w:rsid w:val="00CE510B"/>
    <w:rsid w:val="00CE5410"/>
    <w:rsid w:val="00CE5800"/>
    <w:rsid w:val="00CE67E6"/>
    <w:rsid w:val="00CE6AB6"/>
    <w:rsid w:val="00CE7548"/>
    <w:rsid w:val="00CE7628"/>
    <w:rsid w:val="00CF0133"/>
    <w:rsid w:val="00CF0A13"/>
    <w:rsid w:val="00CF0DDC"/>
    <w:rsid w:val="00CF1B84"/>
    <w:rsid w:val="00CF2469"/>
    <w:rsid w:val="00CF2E95"/>
    <w:rsid w:val="00CF3257"/>
    <w:rsid w:val="00CF341E"/>
    <w:rsid w:val="00CF3A26"/>
    <w:rsid w:val="00CF3A2C"/>
    <w:rsid w:val="00CF3C24"/>
    <w:rsid w:val="00CF3D05"/>
    <w:rsid w:val="00CF3FBA"/>
    <w:rsid w:val="00CF425C"/>
    <w:rsid w:val="00CF42ED"/>
    <w:rsid w:val="00CF489B"/>
    <w:rsid w:val="00CF64ED"/>
    <w:rsid w:val="00CF655B"/>
    <w:rsid w:val="00CF6F4A"/>
    <w:rsid w:val="00D01316"/>
    <w:rsid w:val="00D01817"/>
    <w:rsid w:val="00D037F0"/>
    <w:rsid w:val="00D03F1E"/>
    <w:rsid w:val="00D0400B"/>
    <w:rsid w:val="00D04C38"/>
    <w:rsid w:val="00D05605"/>
    <w:rsid w:val="00D05E2F"/>
    <w:rsid w:val="00D0608B"/>
    <w:rsid w:val="00D06747"/>
    <w:rsid w:val="00D06F44"/>
    <w:rsid w:val="00D070A5"/>
    <w:rsid w:val="00D07E83"/>
    <w:rsid w:val="00D1159A"/>
    <w:rsid w:val="00D11B64"/>
    <w:rsid w:val="00D11E8C"/>
    <w:rsid w:val="00D11F2D"/>
    <w:rsid w:val="00D14977"/>
    <w:rsid w:val="00D151D3"/>
    <w:rsid w:val="00D154AB"/>
    <w:rsid w:val="00D15F28"/>
    <w:rsid w:val="00D16B09"/>
    <w:rsid w:val="00D1743B"/>
    <w:rsid w:val="00D207C0"/>
    <w:rsid w:val="00D21E25"/>
    <w:rsid w:val="00D22004"/>
    <w:rsid w:val="00D23944"/>
    <w:rsid w:val="00D23A31"/>
    <w:rsid w:val="00D23B03"/>
    <w:rsid w:val="00D23C9B"/>
    <w:rsid w:val="00D241DD"/>
    <w:rsid w:val="00D242E7"/>
    <w:rsid w:val="00D24B8E"/>
    <w:rsid w:val="00D255BA"/>
    <w:rsid w:val="00D25F37"/>
    <w:rsid w:val="00D267E8"/>
    <w:rsid w:val="00D26FB7"/>
    <w:rsid w:val="00D274CB"/>
    <w:rsid w:val="00D31160"/>
    <w:rsid w:val="00D313E9"/>
    <w:rsid w:val="00D3141C"/>
    <w:rsid w:val="00D32E37"/>
    <w:rsid w:val="00D33742"/>
    <w:rsid w:val="00D34344"/>
    <w:rsid w:val="00D34790"/>
    <w:rsid w:val="00D352B7"/>
    <w:rsid w:val="00D3648F"/>
    <w:rsid w:val="00D364E5"/>
    <w:rsid w:val="00D36D57"/>
    <w:rsid w:val="00D370A8"/>
    <w:rsid w:val="00D37F59"/>
    <w:rsid w:val="00D4018B"/>
    <w:rsid w:val="00D407A6"/>
    <w:rsid w:val="00D40C28"/>
    <w:rsid w:val="00D41587"/>
    <w:rsid w:val="00D42E05"/>
    <w:rsid w:val="00D430D1"/>
    <w:rsid w:val="00D432D1"/>
    <w:rsid w:val="00D44D41"/>
    <w:rsid w:val="00D455AF"/>
    <w:rsid w:val="00D4567D"/>
    <w:rsid w:val="00D456E9"/>
    <w:rsid w:val="00D45F64"/>
    <w:rsid w:val="00D463A4"/>
    <w:rsid w:val="00D46595"/>
    <w:rsid w:val="00D4697E"/>
    <w:rsid w:val="00D46D13"/>
    <w:rsid w:val="00D474A4"/>
    <w:rsid w:val="00D47FC2"/>
    <w:rsid w:val="00D505FB"/>
    <w:rsid w:val="00D507C2"/>
    <w:rsid w:val="00D510B3"/>
    <w:rsid w:val="00D51318"/>
    <w:rsid w:val="00D5220D"/>
    <w:rsid w:val="00D5242B"/>
    <w:rsid w:val="00D53320"/>
    <w:rsid w:val="00D53A4B"/>
    <w:rsid w:val="00D53EA0"/>
    <w:rsid w:val="00D540C2"/>
    <w:rsid w:val="00D55C08"/>
    <w:rsid w:val="00D55E36"/>
    <w:rsid w:val="00D568BB"/>
    <w:rsid w:val="00D56ABA"/>
    <w:rsid w:val="00D57894"/>
    <w:rsid w:val="00D60021"/>
    <w:rsid w:val="00D60066"/>
    <w:rsid w:val="00D604D4"/>
    <w:rsid w:val="00D611EB"/>
    <w:rsid w:val="00D61C9F"/>
    <w:rsid w:val="00D628A5"/>
    <w:rsid w:val="00D62E2A"/>
    <w:rsid w:val="00D62E9D"/>
    <w:rsid w:val="00D6352D"/>
    <w:rsid w:val="00D63AD2"/>
    <w:rsid w:val="00D64186"/>
    <w:rsid w:val="00D64216"/>
    <w:rsid w:val="00D64A5C"/>
    <w:rsid w:val="00D64F83"/>
    <w:rsid w:val="00D65258"/>
    <w:rsid w:val="00D65448"/>
    <w:rsid w:val="00D6583B"/>
    <w:rsid w:val="00D715EC"/>
    <w:rsid w:val="00D736F9"/>
    <w:rsid w:val="00D74BBB"/>
    <w:rsid w:val="00D75584"/>
    <w:rsid w:val="00D75663"/>
    <w:rsid w:val="00D75786"/>
    <w:rsid w:val="00D7611D"/>
    <w:rsid w:val="00D76470"/>
    <w:rsid w:val="00D771AB"/>
    <w:rsid w:val="00D7735C"/>
    <w:rsid w:val="00D77491"/>
    <w:rsid w:val="00D80E90"/>
    <w:rsid w:val="00D811F1"/>
    <w:rsid w:val="00D8160D"/>
    <w:rsid w:val="00D81D2B"/>
    <w:rsid w:val="00D83226"/>
    <w:rsid w:val="00D83643"/>
    <w:rsid w:val="00D8373E"/>
    <w:rsid w:val="00D83824"/>
    <w:rsid w:val="00D83C2D"/>
    <w:rsid w:val="00D83DD7"/>
    <w:rsid w:val="00D83EC5"/>
    <w:rsid w:val="00D842EC"/>
    <w:rsid w:val="00D84415"/>
    <w:rsid w:val="00D84A68"/>
    <w:rsid w:val="00D851F1"/>
    <w:rsid w:val="00D852BB"/>
    <w:rsid w:val="00D852E7"/>
    <w:rsid w:val="00D8599C"/>
    <w:rsid w:val="00D85AA3"/>
    <w:rsid w:val="00D85F0A"/>
    <w:rsid w:val="00D85FD8"/>
    <w:rsid w:val="00D86827"/>
    <w:rsid w:val="00D87075"/>
    <w:rsid w:val="00D87B36"/>
    <w:rsid w:val="00D90896"/>
    <w:rsid w:val="00D90D12"/>
    <w:rsid w:val="00D91F63"/>
    <w:rsid w:val="00D923B8"/>
    <w:rsid w:val="00D92ECB"/>
    <w:rsid w:val="00D9368B"/>
    <w:rsid w:val="00D93F54"/>
    <w:rsid w:val="00D940C4"/>
    <w:rsid w:val="00D9489F"/>
    <w:rsid w:val="00D95315"/>
    <w:rsid w:val="00D95636"/>
    <w:rsid w:val="00D960FB"/>
    <w:rsid w:val="00D9677A"/>
    <w:rsid w:val="00D968D3"/>
    <w:rsid w:val="00D96BDE"/>
    <w:rsid w:val="00D973FE"/>
    <w:rsid w:val="00D977E6"/>
    <w:rsid w:val="00D97F44"/>
    <w:rsid w:val="00D97FAD"/>
    <w:rsid w:val="00DA0253"/>
    <w:rsid w:val="00DA02A0"/>
    <w:rsid w:val="00DA0AE1"/>
    <w:rsid w:val="00DA0C09"/>
    <w:rsid w:val="00DA1140"/>
    <w:rsid w:val="00DA1C1F"/>
    <w:rsid w:val="00DA3CB9"/>
    <w:rsid w:val="00DA3E98"/>
    <w:rsid w:val="00DA4DF0"/>
    <w:rsid w:val="00DA5468"/>
    <w:rsid w:val="00DA5DC5"/>
    <w:rsid w:val="00DA602E"/>
    <w:rsid w:val="00DA641E"/>
    <w:rsid w:val="00DA65C7"/>
    <w:rsid w:val="00DA6875"/>
    <w:rsid w:val="00DA6D01"/>
    <w:rsid w:val="00DA715F"/>
    <w:rsid w:val="00DA7946"/>
    <w:rsid w:val="00DB06F6"/>
    <w:rsid w:val="00DB321B"/>
    <w:rsid w:val="00DB3418"/>
    <w:rsid w:val="00DB3A64"/>
    <w:rsid w:val="00DB4578"/>
    <w:rsid w:val="00DB4A7C"/>
    <w:rsid w:val="00DB4BC0"/>
    <w:rsid w:val="00DB4E20"/>
    <w:rsid w:val="00DB50CC"/>
    <w:rsid w:val="00DB5F13"/>
    <w:rsid w:val="00DB5F67"/>
    <w:rsid w:val="00DB7F64"/>
    <w:rsid w:val="00DC0C23"/>
    <w:rsid w:val="00DC0FF5"/>
    <w:rsid w:val="00DC1898"/>
    <w:rsid w:val="00DC2A20"/>
    <w:rsid w:val="00DC2C85"/>
    <w:rsid w:val="00DC3652"/>
    <w:rsid w:val="00DC4492"/>
    <w:rsid w:val="00DC529A"/>
    <w:rsid w:val="00DC5C5D"/>
    <w:rsid w:val="00DC6BE3"/>
    <w:rsid w:val="00DC6EC7"/>
    <w:rsid w:val="00DC7D3C"/>
    <w:rsid w:val="00DD0C72"/>
    <w:rsid w:val="00DD1015"/>
    <w:rsid w:val="00DD3163"/>
    <w:rsid w:val="00DD3BAC"/>
    <w:rsid w:val="00DD4AC8"/>
    <w:rsid w:val="00DD51F4"/>
    <w:rsid w:val="00DD61B0"/>
    <w:rsid w:val="00DD622E"/>
    <w:rsid w:val="00DD6856"/>
    <w:rsid w:val="00DD77FB"/>
    <w:rsid w:val="00DD7C73"/>
    <w:rsid w:val="00DE0CCC"/>
    <w:rsid w:val="00DE0EA5"/>
    <w:rsid w:val="00DE17BB"/>
    <w:rsid w:val="00DE33E1"/>
    <w:rsid w:val="00DE3B75"/>
    <w:rsid w:val="00DE4BEB"/>
    <w:rsid w:val="00DE4D2C"/>
    <w:rsid w:val="00DE4ECD"/>
    <w:rsid w:val="00DE4F7D"/>
    <w:rsid w:val="00DE53DE"/>
    <w:rsid w:val="00DE5F09"/>
    <w:rsid w:val="00DE629D"/>
    <w:rsid w:val="00DE70F8"/>
    <w:rsid w:val="00DE7237"/>
    <w:rsid w:val="00DE7439"/>
    <w:rsid w:val="00DF1BDF"/>
    <w:rsid w:val="00DF1E7F"/>
    <w:rsid w:val="00DF2A1E"/>
    <w:rsid w:val="00DF2D51"/>
    <w:rsid w:val="00DF40E5"/>
    <w:rsid w:val="00DF4182"/>
    <w:rsid w:val="00DF4638"/>
    <w:rsid w:val="00DF5535"/>
    <w:rsid w:val="00DF5596"/>
    <w:rsid w:val="00DF581C"/>
    <w:rsid w:val="00DF762E"/>
    <w:rsid w:val="00E003D0"/>
    <w:rsid w:val="00E00893"/>
    <w:rsid w:val="00E00E4A"/>
    <w:rsid w:val="00E01B05"/>
    <w:rsid w:val="00E01BCD"/>
    <w:rsid w:val="00E01CFB"/>
    <w:rsid w:val="00E01D32"/>
    <w:rsid w:val="00E0387F"/>
    <w:rsid w:val="00E04973"/>
    <w:rsid w:val="00E056EE"/>
    <w:rsid w:val="00E057E3"/>
    <w:rsid w:val="00E05E82"/>
    <w:rsid w:val="00E0673B"/>
    <w:rsid w:val="00E0770A"/>
    <w:rsid w:val="00E1098A"/>
    <w:rsid w:val="00E10F9D"/>
    <w:rsid w:val="00E11C94"/>
    <w:rsid w:val="00E11CF6"/>
    <w:rsid w:val="00E11D2C"/>
    <w:rsid w:val="00E125AB"/>
    <w:rsid w:val="00E1288C"/>
    <w:rsid w:val="00E137E0"/>
    <w:rsid w:val="00E13F94"/>
    <w:rsid w:val="00E14212"/>
    <w:rsid w:val="00E156D1"/>
    <w:rsid w:val="00E15FA2"/>
    <w:rsid w:val="00E16066"/>
    <w:rsid w:val="00E163B4"/>
    <w:rsid w:val="00E17AC5"/>
    <w:rsid w:val="00E17BC8"/>
    <w:rsid w:val="00E2080E"/>
    <w:rsid w:val="00E215B6"/>
    <w:rsid w:val="00E2193D"/>
    <w:rsid w:val="00E21B40"/>
    <w:rsid w:val="00E22160"/>
    <w:rsid w:val="00E22694"/>
    <w:rsid w:val="00E22AE5"/>
    <w:rsid w:val="00E22FA9"/>
    <w:rsid w:val="00E23066"/>
    <w:rsid w:val="00E234F8"/>
    <w:rsid w:val="00E23F0D"/>
    <w:rsid w:val="00E244F9"/>
    <w:rsid w:val="00E24E4E"/>
    <w:rsid w:val="00E25EE4"/>
    <w:rsid w:val="00E2600A"/>
    <w:rsid w:val="00E2601E"/>
    <w:rsid w:val="00E26483"/>
    <w:rsid w:val="00E26CE2"/>
    <w:rsid w:val="00E272DF"/>
    <w:rsid w:val="00E27D34"/>
    <w:rsid w:val="00E30103"/>
    <w:rsid w:val="00E30FF5"/>
    <w:rsid w:val="00E32506"/>
    <w:rsid w:val="00E337F7"/>
    <w:rsid w:val="00E33A06"/>
    <w:rsid w:val="00E33A67"/>
    <w:rsid w:val="00E3423E"/>
    <w:rsid w:val="00E346E3"/>
    <w:rsid w:val="00E35CB2"/>
    <w:rsid w:val="00E36C05"/>
    <w:rsid w:val="00E36C31"/>
    <w:rsid w:val="00E37B8A"/>
    <w:rsid w:val="00E37CDB"/>
    <w:rsid w:val="00E40442"/>
    <w:rsid w:val="00E41C6D"/>
    <w:rsid w:val="00E42928"/>
    <w:rsid w:val="00E4292E"/>
    <w:rsid w:val="00E43277"/>
    <w:rsid w:val="00E43462"/>
    <w:rsid w:val="00E43881"/>
    <w:rsid w:val="00E44187"/>
    <w:rsid w:val="00E4451E"/>
    <w:rsid w:val="00E45126"/>
    <w:rsid w:val="00E456B5"/>
    <w:rsid w:val="00E45896"/>
    <w:rsid w:val="00E46963"/>
    <w:rsid w:val="00E501FA"/>
    <w:rsid w:val="00E5103F"/>
    <w:rsid w:val="00E52346"/>
    <w:rsid w:val="00E53E65"/>
    <w:rsid w:val="00E545F2"/>
    <w:rsid w:val="00E54677"/>
    <w:rsid w:val="00E552DB"/>
    <w:rsid w:val="00E55339"/>
    <w:rsid w:val="00E56553"/>
    <w:rsid w:val="00E56DA8"/>
    <w:rsid w:val="00E570E4"/>
    <w:rsid w:val="00E60045"/>
    <w:rsid w:val="00E62151"/>
    <w:rsid w:val="00E62B69"/>
    <w:rsid w:val="00E62E37"/>
    <w:rsid w:val="00E63126"/>
    <w:rsid w:val="00E632E1"/>
    <w:rsid w:val="00E63B4F"/>
    <w:rsid w:val="00E64432"/>
    <w:rsid w:val="00E6478E"/>
    <w:rsid w:val="00E65991"/>
    <w:rsid w:val="00E65DA5"/>
    <w:rsid w:val="00E6609E"/>
    <w:rsid w:val="00E662C8"/>
    <w:rsid w:val="00E66BEA"/>
    <w:rsid w:val="00E700B2"/>
    <w:rsid w:val="00E70EE8"/>
    <w:rsid w:val="00E7136B"/>
    <w:rsid w:val="00E71F91"/>
    <w:rsid w:val="00E72BDC"/>
    <w:rsid w:val="00E74354"/>
    <w:rsid w:val="00E74BA0"/>
    <w:rsid w:val="00E74EDF"/>
    <w:rsid w:val="00E7511B"/>
    <w:rsid w:val="00E75A2D"/>
    <w:rsid w:val="00E76CB6"/>
    <w:rsid w:val="00E804C6"/>
    <w:rsid w:val="00E810AC"/>
    <w:rsid w:val="00E81175"/>
    <w:rsid w:val="00E813DA"/>
    <w:rsid w:val="00E819D6"/>
    <w:rsid w:val="00E81AF4"/>
    <w:rsid w:val="00E82F36"/>
    <w:rsid w:val="00E831F0"/>
    <w:rsid w:val="00E838A5"/>
    <w:rsid w:val="00E838D7"/>
    <w:rsid w:val="00E85312"/>
    <w:rsid w:val="00E85639"/>
    <w:rsid w:val="00E85870"/>
    <w:rsid w:val="00E85A34"/>
    <w:rsid w:val="00E8754A"/>
    <w:rsid w:val="00E90300"/>
    <w:rsid w:val="00E91685"/>
    <w:rsid w:val="00E917E2"/>
    <w:rsid w:val="00E919FB"/>
    <w:rsid w:val="00E91BCE"/>
    <w:rsid w:val="00E92005"/>
    <w:rsid w:val="00E92564"/>
    <w:rsid w:val="00E925EA"/>
    <w:rsid w:val="00E92A4B"/>
    <w:rsid w:val="00E92D07"/>
    <w:rsid w:val="00E94097"/>
    <w:rsid w:val="00E94776"/>
    <w:rsid w:val="00E95C60"/>
    <w:rsid w:val="00E95FB6"/>
    <w:rsid w:val="00E967AC"/>
    <w:rsid w:val="00E96D60"/>
    <w:rsid w:val="00EA05F3"/>
    <w:rsid w:val="00EA17C1"/>
    <w:rsid w:val="00EA3B04"/>
    <w:rsid w:val="00EA4680"/>
    <w:rsid w:val="00EA497E"/>
    <w:rsid w:val="00EA674A"/>
    <w:rsid w:val="00EB0146"/>
    <w:rsid w:val="00EB032C"/>
    <w:rsid w:val="00EB0D26"/>
    <w:rsid w:val="00EB157E"/>
    <w:rsid w:val="00EB2548"/>
    <w:rsid w:val="00EB3E98"/>
    <w:rsid w:val="00EB40D3"/>
    <w:rsid w:val="00EB467B"/>
    <w:rsid w:val="00EB7A0F"/>
    <w:rsid w:val="00EB7F3C"/>
    <w:rsid w:val="00EC161A"/>
    <w:rsid w:val="00EC29A9"/>
    <w:rsid w:val="00EC2C3B"/>
    <w:rsid w:val="00EC2DE2"/>
    <w:rsid w:val="00EC32E1"/>
    <w:rsid w:val="00EC35F2"/>
    <w:rsid w:val="00EC3D04"/>
    <w:rsid w:val="00EC44D4"/>
    <w:rsid w:val="00EC4624"/>
    <w:rsid w:val="00EC60D5"/>
    <w:rsid w:val="00EC6492"/>
    <w:rsid w:val="00EC6F47"/>
    <w:rsid w:val="00EC729C"/>
    <w:rsid w:val="00EC7313"/>
    <w:rsid w:val="00EC7E0E"/>
    <w:rsid w:val="00EC7E6C"/>
    <w:rsid w:val="00ED00B3"/>
    <w:rsid w:val="00ED08F3"/>
    <w:rsid w:val="00ED0F4C"/>
    <w:rsid w:val="00ED10C9"/>
    <w:rsid w:val="00ED25D7"/>
    <w:rsid w:val="00ED44A2"/>
    <w:rsid w:val="00ED48BD"/>
    <w:rsid w:val="00ED5408"/>
    <w:rsid w:val="00ED5954"/>
    <w:rsid w:val="00ED5BE3"/>
    <w:rsid w:val="00ED670F"/>
    <w:rsid w:val="00ED6C7F"/>
    <w:rsid w:val="00ED7343"/>
    <w:rsid w:val="00ED75BB"/>
    <w:rsid w:val="00ED75D0"/>
    <w:rsid w:val="00EE18B3"/>
    <w:rsid w:val="00EE2EA7"/>
    <w:rsid w:val="00EE34D6"/>
    <w:rsid w:val="00EE3647"/>
    <w:rsid w:val="00EE4689"/>
    <w:rsid w:val="00EE4C29"/>
    <w:rsid w:val="00EE4D9F"/>
    <w:rsid w:val="00EE5234"/>
    <w:rsid w:val="00EE545A"/>
    <w:rsid w:val="00EE55FF"/>
    <w:rsid w:val="00EE5A9B"/>
    <w:rsid w:val="00EE5FF2"/>
    <w:rsid w:val="00EE6A87"/>
    <w:rsid w:val="00EE6E21"/>
    <w:rsid w:val="00EE7901"/>
    <w:rsid w:val="00EE7E5F"/>
    <w:rsid w:val="00EF04AF"/>
    <w:rsid w:val="00EF05DF"/>
    <w:rsid w:val="00EF0744"/>
    <w:rsid w:val="00EF1B46"/>
    <w:rsid w:val="00EF21A6"/>
    <w:rsid w:val="00EF2627"/>
    <w:rsid w:val="00EF2EDA"/>
    <w:rsid w:val="00EF2F5D"/>
    <w:rsid w:val="00EF539F"/>
    <w:rsid w:val="00EF542F"/>
    <w:rsid w:val="00EF5440"/>
    <w:rsid w:val="00EF6B30"/>
    <w:rsid w:val="00EF733F"/>
    <w:rsid w:val="00EF790B"/>
    <w:rsid w:val="00F0167F"/>
    <w:rsid w:val="00F0178D"/>
    <w:rsid w:val="00F01CDB"/>
    <w:rsid w:val="00F01D09"/>
    <w:rsid w:val="00F01FF2"/>
    <w:rsid w:val="00F02D43"/>
    <w:rsid w:val="00F0320B"/>
    <w:rsid w:val="00F033C4"/>
    <w:rsid w:val="00F0352A"/>
    <w:rsid w:val="00F03B00"/>
    <w:rsid w:val="00F03E16"/>
    <w:rsid w:val="00F04846"/>
    <w:rsid w:val="00F048CE"/>
    <w:rsid w:val="00F04965"/>
    <w:rsid w:val="00F056C1"/>
    <w:rsid w:val="00F06168"/>
    <w:rsid w:val="00F06AE0"/>
    <w:rsid w:val="00F0737D"/>
    <w:rsid w:val="00F07434"/>
    <w:rsid w:val="00F075D9"/>
    <w:rsid w:val="00F07DF8"/>
    <w:rsid w:val="00F10932"/>
    <w:rsid w:val="00F116BD"/>
    <w:rsid w:val="00F11A06"/>
    <w:rsid w:val="00F11DE2"/>
    <w:rsid w:val="00F11FF9"/>
    <w:rsid w:val="00F158AF"/>
    <w:rsid w:val="00F15E4D"/>
    <w:rsid w:val="00F16F1C"/>
    <w:rsid w:val="00F171E6"/>
    <w:rsid w:val="00F2068B"/>
    <w:rsid w:val="00F219CD"/>
    <w:rsid w:val="00F21F1F"/>
    <w:rsid w:val="00F2242C"/>
    <w:rsid w:val="00F22C93"/>
    <w:rsid w:val="00F22F3B"/>
    <w:rsid w:val="00F22F68"/>
    <w:rsid w:val="00F25E95"/>
    <w:rsid w:val="00F26197"/>
    <w:rsid w:val="00F261CD"/>
    <w:rsid w:val="00F26298"/>
    <w:rsid w:val="00F26625"/>
    <w:rsid w:val="00F26741"/>
    <w:rsid w:val="00F26747"/>
    <w:rsid w:val="00F272C6"/>
    <w:rsid w:val="00F27377"/>
    <w:rsid w:val="00F30382"/>
    <w:rsid w:val="00F30CDA"/>
    <w:rsid w:val="00F30CE0"/>
    <w:rsid w:val="00F3128F"/>
    <w:rsid w:val="00F3244F"/>
    <w:rsid w:val="00F32C6F"/>
    <w:rsid w:val="00F32F3B"/>
    <w:rsid w:val="00F335E2"/>
    <w:rsid w:val="00F33E77"/>
    <w:rsid w:val="00F34039"/>
    <w:rsid w:val="00F3420B"/>
    <w:rsid w:val="00F35E7E"/>
    <w:rsid w:val="00F363C1"/>
    <w:rsid w:val="00F36E75"/>
    <w:rsid w:val="00F36FED"/>
    <w:rsid w:val="00F37E60"/>
    <w:rsid w:val="00F40C64"/>
    <w:rsid w:val="00F40E86"/>
    <w:rsid w:val="00F4225F"/>
    <w:rsid w:val="00F43D2F"/>
    <w:rsid w:val="00F456A7"/>
    <w:rsid w:val="00F45A25"/>
    <w:rsid w:val="00F466E5"/>
    <w:rsid w:val="00F474B6"/>
    <w:rsid w:val="00F47BC3"/>
    <w:rsid w:val="00F47DCB"/>
    <w:rsid w:val="00F50ABB"/>
    <w:rsid w:val="00F51B9D"/>
    <w:rsid w:val="00F51C84"/>
    <w:rsid w:val="00F52B1D"/>
    <w:rsid w:val="00F52E6A"/>
    <w:rsid w:val="00F53E65"/>
    <w:rsid w:val="00F53E75"/>
    <w:rsid w:val="00F54346"/>
    <w:rsid w:val="00F554FE"/>
    <w:rsid w:val="00F5555E"/>
    <w:rsid w:val="00F5760C"/>
    <w:rsid w:val="00F6040E"/>
    <w:rsid w:val="00F60F8E"/>
    <w:rsid w:val="00F61080"/>
    <w:rsid w:val="00F611CF"/>
    <w:rsid w:val="00F6149A"/>
    <w:rsid w:val="00F61540"/>
    <w:rsid w:val="00F61A9E"/>
    <w:rsid w:val="00F6209A"/>
    <w:rsid w:val="00F62F58"/>
    <w:rsid w:val="00F646DE"/>
    <w:rsid w:val="00F654DE"/>
    <w:rsid w:val="00F655F2"/>
    <w:rsid w:val="00F656DB"/>
    <w:rsid w:val="00F65F96"/>
    <w:rsid w:val="00F70450"/>
    <w:rsid w:val="00F713C5"/>
    <w:rsid w:val="00F71B73"/>
    <w:rsid w:val="00F72A14"/>
    <w:rsid w:val="00F72DE3"/>
    <w:rsid w:val="00F73A97"/>
    <w:rsid w:val="00F7414A"/>
    <w:rsid w:val="00F7415A"/>
    <w:rsid w:val="00F747F4"/>
    <w:rsid w:val="00F74D15"/>
    <w:rsid w:val="00F75188"/>
    <w:rsid w:val="00F7548B"/>
    <w:rsid w:val="00F755A0"/>
    <w:rsid w:val="00F76AA6"/>
    <w:rsid w:val="00F80C5E"/>
    <w:rsid w:val="00F80F25"/>
    <w:rsid w:val="00F811DA"/>
    <w:rsid w:val="00F81900"/>
    <w:rsid w:val="00F81C7F"/>
    <w:rsid w:val="00F852F1"/>
    <w:rsid w:val="00F858AF"/>
    <w:rsid w:val="00F87278"/>
    <w:rsid w:val="00F87E18"/>
    <w:rsid w:val="00F9010D"/>
    <w:rsid w:val="00F90797"/>
    <w:rsid w:val="00F907D9"/>
    <w:rsid w:val="00F90AA6"/>
    <w:rsid w:val="00F90FCD"/>
    <w:rsid w:val="00F911BF"/>
    <w:rsid w:val="00F913F2"/>
    <w:rsid w:val="00F92F19"/>
    <w:rsid w:val="00F936EE"/>
    <w:rsid w:val="00F9400E"/>
    <w:rsid w:val="00F9401D"/>
    <w:rsid w:val="00F94324"/>
    <w:rsid w:val="00F9438A"/>
    <w:rsid w:val="00F9667F"/>
    <w:rsid w:val="00F9706E"/>
    <w:rsid w:val="00F9748B"/>
    <w:rsid w:val="00F97D5B"/>
    <w:rsid w:val="00F97F64"/>
    <w:rsid w:val="00FA0059"/>
    <w:rsid w:val="00FA1596"/>
    <w:rsid w:val="00FA1E8B"/>
    <w:rsid w:val="00FA2A2D"/>
    <w:rsid w:val="00FA2AD7"/>
    <w:rsid w:val="00FA2E84"/>
    <w:rsid w:val="00FA38AB"/>
    <w:rsid w:val="00FA42CE"/>
    <w:rsid w:val="00FA4675"/>
    <w:rsid w:val="00FA481F"/>
    <w:rsid w:val="00FA4DC7"/>
    <w:rsid w:val="00FA6FAE"/>
    <w:rsid w:val="00FA7740"/>
    <w:rsid w:val="00FA7B7A"/>
    <w:rsid w:val="00FA7BBC"/>
    <w:rsid w:val="00FB026D"/>
    <w:rsid w:val="00FB06BF"/>
    <w:rsid w:val="00FB1F03"/>
    <w:rsid w:val="00FB2543"/>
    <w:rsid w:val="00FB2723"/>
    <w:rsid w:val="00FB4248"/>
    <w:rsid w:val="00FB4330"/>
    <w:rsid w:val="00FB4397"/>
    <w:rsid w:val="00FB4451"/>
    <w:rsid w:val="00FB4762"/>
    <w:rsid w:val="00FB5EAE"/>
    <w:rsid w:val="00FB75AE"/>
    <w:rsid w:val="00FC04C2"/>
    <w:rsid w:val="00FC08A7"/>
    <w:rsid w:val="00FC2714"/>
    <w:rsid w:val="00FC28E0"/>
    <w:rsid w:val="00FC4067"/>
    <w:rsid w:val="00FC6151"/>
    <w:rsid w:val="00FC6818"/>
    <w:rsid w:val="00FC7CBC"/>
    <w:rsid w:val="00FC7D46"/>
    <w:rsid w:val="00FD012E"/>
    <w:rsid w:val="00FD03F4"/>
    <w:rsid w:val="00FD0913"/>
    <w:rsid w:val="00FD0DB8"/>
    <w:rsid w:val="00FD17A9"/>
    <w:rsid w:val="00FD203B"/>
    <w:rsid w:val="00FD2603"/>
    <w:rsid w:val="00FD2A5B"/>
    <w:rsid w:val="00FD2C66"/>
    <w:rsid w:val="00FD3C37"/>
    <w:rsid w:val="00FD47C7"/>
    <w:rsid w:val="00FD49D5"/>
    <w:rsid w:val="00FD52E4"/>
    <w:rsid w:val="00FD52F6"/>
    <w:rsid w:val="00FD684A"/>
    <w:rsid w:val="00FD6E83"/>
    <w:rsid w:val="00FE0048"/>
    <w:rsid w:val="00FE016B"/>
    <w:rsid w:val="00FE1863"/>
    <w:rsid w:val="00FE1A47"/>
    <w:rsid w:val="00FE26A1"/>
    <w:rsid w:val="00FE2723"/>
    <w:rsid w:val="00FE3A9C"/>
    <w:rsid w:val="00FE3C1C"/>
    <w:rsid w:val="00FE3E7F"/>
    <w:rsid w:val="00FE40E5"/>
    <w:rsid w:val="00FE62EB"/>
    <w:rsid w:val="00FE6C4A"/>
    <w:rsid w:val="00FE75FA"/>
    <w:rsid w:val="00FE7E80"/>
    <w:rsid w:val="00FF0973"/>
    <w:rsid w:val="00FF1572"/>
    <w:rsid w:val="00FF15E2"/>
    <w:rsid w:val="00FF1F27"/>
    <w:rsid w:val="00FF2CF6"/>
    <w:rsid w:val="00FF3426"/>
    <w:rsid w:val="00FF374C"/>
    <w:rsid w:val="00FF42E3"/>
    <w:rsid w:val="00FF48DE"/>
    <w:rsid w:val="00FF5424"/>
    <w:rsid w:val="00FF5531"/>
    <w:rsid w:val="00FF55F1"/>
    <w:rsid w:val="00FF6E57"/>
    <w:rsid w:val="00FF7387"/>
    <w:rsid w:val="00FF7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C13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B56117"/>
    <w:pPr>
      <w:autoSpaceDE w:val="0"/>
      <w:autoSpaceDN w:val="0"/>
      <w:adjustRightInd w:val="0"/>
      <w:spacing w:after="0" w:line="240" w:lineRule="auto"/>
      <w:outlineLvl w:val="0"/>
    </w:pPr>
    <w:rPr>
      <w:rFonts w:ascii="Times New Roman" w:eastAsia="Times New Roman" w:hAnsi="Times New Roman" w:cs="Times New Roman"/>
      <w:sz w:val="24"/>
      <w:szCs w:val="24"/>
      <w:lang w:eastAsia="lt-LT"/>
    </w:rPr>
  </w:style>
  <w:style w:type="paragraph" w:styleId="Antrat3">
    <w:name w:val="heading 3"/>
    <w:basedOn w:val="prastasis"/>
    <w:next w:val="prastasis"/>
    <w:link w:val="Antrat3Diagrama"/>
    <w:uiPriority w:val="99"/>
    <w:qFormat/>
    <w:rsid w:val="00B56117"/>
    <w:pPr>
      <w:keepNext/>
      <w:spacing w:after="0" w:line="240" w:lineRule="auto"/>
      <w:jc w:val="both"/>
      <w:outlineLvl w:val="2"/>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56117"/>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uiPriority w:val="99"/>
    <w:rsid w:val="00B56117"/>
    <w:rPr>
      <w:rFonts w:ascii="Times New Roman" w:eastAsia="Times New Roman" w:hAnsi="Times New Roman" w:cs="Times New Roman"/>
      <w:sz w:val="24"/>
      <w:szCs w:val="24"/>
      <w:lang w:eastAsia="lt-LT"/>
    </w:rPr>
  </w:style>
  <w:style w:type="numbering" w:customStyle="1" w:styleId="NoList1">
    <w:name w:val="No List1"/>
    <w:next w:val="Sraonra"/>
    <w:uiPriority w:val="99"/>
    <w:semiHidden/>
    <w:unhideWhenUsed/>
    <w:rsid w:val="00B56117"/>
  </w:style>
  <w:style w:type="character" w:customStyle="1" w:styleId="BodyTextIndent2Char">
    <w:name w:val="Body Text Indent 2 Char"/>
    <w:uiPriority w:val="99"/>
    <w:locked/>
    <w:rsid w:val="00B56117"/>
    <w:rPr>
      <w:rFonts w:ascii="Calibri" w:hAnsi="Calibri"/>
      <w:lang w:val="lt-LT" w:eastAsia="en-US"/>
    </w:rPr>
  </w:style>
  <w:style w:type="paragraph" w:styleId="Pagrindiniotekstotrauka2">
    <w:name w:val="Body Text Indent 2"/>
    <w:basedOn w:val="prastasis"/>
    <w:link w:val="Pagrindiniotekstotrauka2Diagrama"/>
    <w:uiPriority w:val="99"/>
    <w:rsid w:val="00B56117"/>
    <w:pPr>
      <w:spacing w:after="120" w:line="480" w:lineRule="auto"/>
      <w:ind w:left="283"/>
    </w:pPr>
    <w:rPr>
      <w:rFonts w:ascii="Calibri" w:eastAsia="Times New Roman" w:hAnsi="Calibri" w:cs="Times New Roman"/>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56117"/>
    <w:rPr>
      <w:rFonts w:ascii="Calibri" w:eastAsia="Times New Roman" w:hAnsi="Calibri" w:cs="Times New Roman"/>
      <w:sz w:val="20"/>
      <w:szCs w:val="20"/>
      <w:lang w:val="lt-LT"/>
    </w:rPr>
  </w:style>
  <w:style w:type="paragraph" w:styleId="Antrats">
    <w:name w:val="header"/>
    <w:basedOn w:val="prastasis"/>
    <w:link w:val="AntratsDiagrama"/>
    <w:uiPriority w:val="99"/>
    <w:rsid w:val="00B56117"/>
    <w:pPr>
      <w:tabs>
        <w:tab w:val="center" w:pos="4819"/>
        <w:tab w:val="right" w:pos="9638"/>
      </w:tabs>
      <w:spacing w:after="200" w:line="276" w:lineRule="auto"/>
    </w:pPr>
    <w:rPr>
      <w:rFonts w:ascii="Calibri" w:eastAsia="Times New Roman" w:hAnsi="Calibri" w:cs="Times New Roman"/>
      <w:lang w:val="lt-LT"/>
    </w:rPr>
  </w:style>
  <w:style w:type="character" w:customStyle="1" w:styleId="AntratsDiagrama">
    <w:name w:val="Antraštės Diagrama"/>
    <w:basedOn w:val="Numatytasispastraiposriftas"/>
    <w:link w:val="Antrats"/>
    <w:uiPriority w:val="99"/>
    <w:rsid w:val="00B56117"/>
    <w:rPr>
      <w:rFonts w:ascii="Calibri" w:eastAsia="Times New Roman" w:hAnsi="Calibri" w:cs="Times New Roman"/>
      <w:lang w:val="lt-LT"/>
    </w:rPr>
  </w:style>
  <w:style w:type="character" w:styleId="Puslapionumeris">
    <w:name w:val="page number"/>
    <w:basedOn w:val="Numatytasispastraiposriftas"/>
    <w:uiPriority w:val="99"/>
    <w:rsid w:val="00B56117"/>
    <w:rPr>
      <w:rFonts w:cs="Times New Roman"/>
    </w:rPr>
  </w:style>
  <w:style w:type="paragraph" w:styleId="Porat">
    <w:name w:val="footer"/>
    <w:basedOn w:val="prastasis"/>
    <w:link w:val="PoratDiagrama"/>
    <w:uiPriority w:val="99"/>
    <w:rsid w:val="00B56117"/>
    <w:pPr>
      <w:tabs>
        <w:tab w:val="center" w:pos="4819"/>
        <w:tab w:val="right" w:pos="9638"/>
      </w:tabs>
      <w:spacing w:after="200" w:line="276" w:lineRule="auto"/>
    </w:pPr>
    <w:rPr>
      <w:rFonts w:ascii="Calibri" w:eastAsia="Times New Roman" w:hAnsi="Calibri" w:cs="Times New Roman"/>
      <w:lang w:val="lt-LT"/>
    </w:rPr>
  </w:style>
  <w:style w:type="character" w:customStyle="1" w:styleId="PoratDiagrama">
    <w:name w:val="Poraštė Diagrama"/>
    <w:basedOn w:val="Numatytasispastraiposriftas"/>
    <w:link w:val="Porat"/>
    <w:uiPriority w:val="99"/>
    <w:rsid w:val="00B56117"/>
    <w:rPr>
      <w:rFonts w:ascii="Calibri" w:eastAsia="Times New Roman" w:hAnsi="Calibri" w:cs="Times New Roman"/>
      <w:lang w:val="lt-LT"/>
    </w:rPr>
  </w:style>
  <w:style w:type="character" w:customStyle="1" w:styleId="apple-converted-space">
    <w:name w:val="apple-converted-space"/>
    <w:rsid w:val="00B56117"/>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56117"/>
    <w:pPr>
      <w:snapToGrid w:val="0"/>
      <w:spacing w:before="120" w:after="120" w:line="240" w:lineRule="auto"/>
      <w:jc w:val="center"/>
    </w:pPr>
    <w:rPr>
      <w:rFonts w:ascii="Times New Roman" w:eastAsia="Times New Roman" w:hAnsi="Times New Roman" w:cs="Times New Roman"/>
      <w:b/>
      <w:bCs/>
      <w:sz w:val="24"/>
      <w:szCs w:val="24"/>
      <w:u w:val="single"/>
      <w:lang w:val="lt-LT" w:eastAsia="en-GB"/>
    </w:rPr>
  </w:style>
  <w:style w:type="paragraph" w:customStyle="1" w:styleId="Style22">
    <w:name w:val="Style22"/>
    <w:basedOn w:val="prastasis"/>
    <w:uiPriority w:val="99"/>
    <w:rsid w:val="00B56117"/>
    <w:pPr>
      <w:widowControl w:val="0"/>
      <w:autoSpaceDE w:val="0"/>
      <w:autoSpaceDN w:val="0"/>
      <w:adjustRightInd w:val="0"/>
      <w:spacing w:after="0" w:line="274" w:lineRule="exact"/>
    </w:pPr>
    <w:rPr>
      <w:rFonts w:ascii="Arial" w:eastAsia="Times New Roman" w:hAnsi="Arial" w:cs="Arial"/>
      <w:sz w:val="24"/>
      <w:szCs w:val="24"/>
      <w:lang w:val="lt-LT" w:eastAsia="lt-LT"/>
    </w:rPr>
  </w:style>
  <w:style w:type="character" w:customStyle="1" w:styleId="FontStyle12">
    <w:name w:val="Font Style12"/>
    <w:basedOn w:val="Numatytasispastraiposriftas"/>
    <w:uiPriority w:val="99"/>
    <w:rsid w:val="00B56117"/>
    <w:rPr>
      <w:rFonts w:ascii="Times New Roman" w:hAnsi="Times New Roman" w:cs="Times New Roman"/>
      <w:sz w:val="22"/>
      <w:szCs w:val="22"/>
    </w:rPr>
  </w:style>
  <w:style w:type="character" w:customStyle="1" w:styleId="quatationtext">
    <w:name w:val="quatation_text"/>
    <w:basedOn w:val="Numatytasispastraiposriftas"/>
    <w:uiPriority w:val="99"/>
    <w:rsid w:val="00B56117"/>
    <w:rPr>
      <w:rFonts w:ascii="Arial" w:hAnsi="Arial" w:cs="Arial"/>
      <w:b/>
      <w:bCs/>
      <w:color w:val="4A473C"/>
      <w:sz w:val="11"/>
      <w:szCs w:val="11"/>
    </w:rPr>
  </w:style>
  <w:style w:type="character" w:customStyle="1" w:styleId="Pagrindinistekstas3">
    <w:name w:val="Pagrindinis tekstas (3)"/>
    <w:basedOn w:val="Numatytasispastraiposriftas"/>
    <w:uiPriority w:val="99"/>
    <w:rsid w:val="00B56117"/>
    <w:rPr>
      <w:rFonts w:ascii="Times New Roman" w:hAnsi="Times New Roman" w:cs="Times New Roman"/>
      <w:b/>
      <w:bCs/>
      <w:i/>
      <w:iCs/>
      <w:sz w:val="22"/>
      <w:szCs w:val="22"/>
      <w:u w:val="single"/>
    </w:rPr>
  </w:style>
  <w:style w:type="character" w:customStyle="1" w:styleId="Pagrindinistekstas3Nepusjuodis4">
    <w:name w:val="Pagrindinis tekstas (3) + Ne pusjuodis4"/>
    <w:aliases w:val="Ne kursyvas5"/>
    <w:basedOn w:val="Numatytasispastraiposriftas"/>
    <w:uiPriority w:val="99"/>
    <w:rsid w:val="00B56117"/>
    <w:rPr>
      <w:rFonts w:ascii="Times New Roman" w:hAnsi="Times New Roman" w:cs="Times New Roman"/>
      <w:b/>
      <w:bCs/>
      <w:i/>
      <w:iCs/>
      <w:sz w:val="22"/>
      <w:szCs w:val="22"/>
    </w:rPr>
  </w:style>
  <w:style w:type="character" w:customStyle="1" w:styleId="Pagrindinistekstas2">
    <w:name w:val="Pagrindinis tekstas2"/>
    <w:basedOn w:val="Numatytasispastraiposriftas"/>
    <w:uiPriority w:val="99"/>
    <w:rsid w:val="00B56117"/>
    <w:rPr>
      <w:rFonts w:ascii="Times New Roman" w:hAnsi="Times New Roman" w:cs="Times New Roman"/>
      <w:spacing w:val="-4"/>
      <w:sz w:val="22"/>
      <w:szCs w:val="22"/>
    </w:rPr>
  </w:style>
  <w:style w:type="character" w:customStyle="1" w:styleId="PagrindinistekstasKursyvas7">
    <w:name w:val="Pagrindinis tekstas + Kursyvas7"/>
    <w:basedOn w:val="Numatytasispastraiposriftas"/>
    <w:uiPriority w:val="99"/>
    <w:rsid w:val="00B56117"/>
    <w:rPr>
      <w:rFonts w:ascii="Times New Roman" w:hAnsi="Times New Roman" w:cs="Times New Roman"/>
      <w:i/>
      <w:iCs/>
      <w:spacing w:val="-3"/>
      <w:sz w:val="22"/>
      <w:szCs w:val="22"/>
    </w:rPr>
  </w:style>
  <w:style w:type="character" w:customStyle="1" w:styleId="Pagrindinistekstas32">
    <w:name w:val="Pagrindinis tekstas (3)2"/>
    <w:basedOn w:val="Numatytasispastraiposriftas"/>
    <w:uiPriority w:val="99"/>
    <w:rsid w:val="00B56117"/>
    <w:rPr>
      <w:rFonts w:ascii="Times New Roman" w:hAnsi="Times New Roman" w:cs="Times New Roman"/>
      <w:b/>
      <w:bCs/>
      <w:i/>
      <w:iCs/>
      <w:sz w:val="22"/>
      <w:szCs w:val="22"/>
      <w:u w:val="single"/>
    </w:rPr>
  </w:style>
  <w:style w:type="character" w:customStyle="1" w:styleId="PagrindinistekstasKursyvas4">
    <w:name w:val="Pagrindinis tekstas + Kursyvas4"/>
    <w:basedOn w:val="Numatytasispastraiposriftas"/>
    <w:uiPriority w:val="99"/>
    <w:rsid w:val="00B56117"/>
    <w:rPr>
      <w:rFonts w:ascii="Times New Roman" w:hAnsi="Times New Roman" w:cs="Times New Roman"/>
      <w:i/>
      <w:iCs/>
      <w:spacing w:val="-3"/>
      <w:sz w:val="22"/>
      <w:szCs w:val="22"/>
    </w:rPr>
  </w:style>
  <w:style w:type="character" w:customStyle="1" w:styleId="PagrindinistekstasArial">
    <w:name w:val="Pagrindinis tekstas + Arial"/>
    <w:aliases w:val="10,5 tšk.2,Pusjuodis2,Kursyvas6"/>
    <w:basedOn w:val="Numatytasispastraiposriftas"/>
    <w:uiPriority w:val="99"/>
    <w:rsid w:val="00B56117"/>
    <w:rPr>
      <w:rFonts w:ascii="Arial" w:hAnsi="Arial" w:cs="Arial"/>
      <w:b/>
      <w:bCs/>
      <w:i/>
      <w:iCs/>
      <w:noProof/>
      <w:spacing w:val="0"/>
      <w:sz w:val="19"/>
      <w:szCs w:val="19"/>
    </w:rPr>
  </w:style>
  <w:style w:type="character" w:customStyle="1" w:styleId="PagrindinistekstasArial4">
    <w:name w:val="Pagrindinis tekstas + Arial4"/>
    <w:aliases w:val="101,5 tšk.1,Pusjuodis1,Kursyvas5"/>
    <w:basedOn w:val="Numatytasispastraiposriftas"/>
    <w:uiPriority w:val="99"/>
    <w:rsid w:val="00B56117"/>
    <w:rPr>
      <w:rFonts w:ascii="Arial" w:hAnsi="Arial" w:cs="Arial"/>
      <w:b/>
      <w:bCs/>
      <w:i/>
      <w:iCs/>
      <w:spacing w:val="0"/>
      <w:sz w:val="19"/>
      <w:szCs w:val="19"/>
      <w:u w:val="single"/>
    </w:rPr>
  </w:style>
  <w:style w:type="character" w:customStyle="1" w:styleId="PagrindinistekstasPusjuodis7">
    <w:name w:val="Pagrindinis tekstas + Pusjuodis7"/>
    <w:basedOn w:val="Numatytasispastraiposriftas"/>
    <w:uiPriority w:val="99"/>
    <w:rsid w:val="00B56117"/>
    <w:rPr>
      <w:rFonts w:ascii="Times New Roman" w:hAnsi="Times New Roman" w:cs="Times New Roman"/>
      <w:b/>
      <w:bCs/>
      <w:sz w:val="22"/>
      <w:szCs w:val="22"/>
      <w:u w:val="single"/>
    </w:rPr>
  </w:style>
  <w:style w:type="character" w:customStyle="1" w:styleId="PagrindinistekstasArial3">
    <w:name w:val="Pagrindinis tekstas + Arial3"/>
    <w:aliases w:val="11 tšk.,Kursyvas4"/>
    <w:basedOn w:val="Numatytasispastraiposriftas"/>
    <w:uiPriority w:val="99"/>
    <w:rsid w:val="00B56117"/>
    <w:rPr>
      <w:rFonts w:ascii="Arial" w:hAnsi="Arial" w:cs="Arial"/>
      <w:i/>
      <w:iCs/>
      <w:sz w:val="20"/>
      <w:szCs w:val="20"/>
    </w:rPr>
  </w:style>
  <w:style w:type="character" w:customStyle="1" w:styleId="PagrindinistekstasPusjuodis6">
    <w:name w:val="Pagrindinis tekstas + Pusjuodis6"/>
    <w:basedOn w:val="Numatytasispastraiposriftas"/>
    <w:uiPriority w:val="99"/>
    <w:rsid w:val="00B56117"/>
    <w:rPr>
      <w:rFonts w:ascii="Times New Roman" w:hAnsi="Times New Roman" w:cs="Times New Roman"/>
      <w:b/>
      <w:bCs/>
      <w:sz w:val="22"/>
      <w:szCs w:val="22"/>
    </w:rPr>
  </w:style>
  <w:style w:type="character" w:customStyle="1" w:styleId="PagrindinistekstasArial2">
    <w:name w:val="Pagrindinis tekstas + Arial2"/>
    <w:aliases w:val="11 tšk.2,Kursyvas3"/>
    <w:basedOn w:val="Numatytasispastraiposriftas"/>
    <w:uiPriority w:val="99"/>
    <w:rsid w:val="00B56117"/>
    <w:rPr>
      <w:rFonts w:ascii="Arial" w:hAnsi="Arial" w:cs="Arial"/>
      <w:i/>
      <w:iCs/>
      <w:sz w:val="20"/>
      <w:szCs w:val="20"/>
      <w:u w:val="single"/>
    </w:rPr>
  </w:style>
  <w:style w:type="character" w:customStyle="1" w:styleId="Pagrindinistekstas30">
    <w:name w:val="Pagrindinis tekstas3"/>
    <w:basedOn w:val="Numatytasispastraiposriftas"/>
    <w:uiPriority w:val="99"/>
    <w:rsid w:val="00B56117"/>
    <w:rPr>
      <w:rFonts w:ascii="Times New Roman" w:hAnsi="Times New Roman" w:cs="Times New Roman"/>
      <w:sz w:val="22"/>
      <w:szCs w:val="22"/>
      <w:u w:val="single"/>
    </w:rPr>
  </w:style>
  <w:style w:type="character" w:customStyle="1" w:styleId="Pagrindinistekstas20">
    <w:name w:val="Pagrindinis tekstas (2)_"/>
    <w:basedOn w:val="Numatytasispastraiposriftas"/>
    <w:link w:val="Pagrindinistekstas21"/>
    <w:uiPriority w:val="99"/>
    <w:locked/>
    <w:rsid w:val="00B56117"/>
    <w:rPr>
      <w:i/>
      <w:iCs/>
      <w:spacing w:val="-3"/>
      <w:shd w:val="clear" w:color="auto" w:fill="FFFFFF"/>
    </w:rPr>
  </w:style>
  <w:style w:type="paragraph" w:customStyle="1" w:styleId="Pagrindinistekstas21">
    <w:name w:val="Pagrindinis tekstas (2)1"/>
    <w:basedOn w:val="prastasis"/>
    <w:link w:val="Pagrindinistekstas20"/>
    <w:uiPriority w:val="99"/>
    <w:rsid w:val="00B56117"/>
    <w:pPr>
      <w:shd w:val="clear" w:color="auto" w:fill="FFFFFF"/>
      <w:spacing w:before="180" w:after="180" w:line="281" w:lineRule="exact"/>
      <w:ind w:hanging="340"/>
    </w:pPr>
    <w:rPr>
      <w:i/>
      <w:iCs/>
      <w:spacing w:val="-3"/>
    </w:rPr>
  </w:style>
  <w:style w:type="character" w:customStyle="1" w:styleId="Pagrindinistekstas">
    <w:name w:val="Pagrindinis tekstas_"/>
    <w:basedOn w:val="Numatytasispastraiposriftas"/>
    <w:link w:val="Pagrindinistekstas1"/>
    <w:uiPriority w:val="99"/>
    <w:locked/>
    <w:rsid w:val="00B56117"/>
    <w:rPr>
      <w:shd w:val="clear" w:color="auto" w:fill="FFFFFF"/>
    </w:rPr>
  </w:style>
  <w:style w:type="character" w:customStyle="1" w:styleId="PagrindinistekstasKursyvas2">
    <w:name w:val="Pagrindinis tekstas + Kursyvas2"/>
    <w:basedOn w:val="Pagrindinistekstas"/>
    <w:uiPriority w:val="99"/>
    <w:rsid w:val="00B56117"/>
    <w:rPr>
      <w:i/>
      <w:iCs/>
      <w:spacing w:val="-3"/>
      <w:shd w:val="clear" w:color="auto" w:fill="FFFFFF"/>
    </w:rPr>
  </w:style>
  <w:style w:type="character" w:customStyle="1" w:styleId="PagrindinistekstasKursyvas1">
    <w:name w:val="Pagrindinis tekstas + Kursyvas1"/>
    <w:basedOn w:val="Pagrindinistekstas"/>
    <w:uiPriority w:val="99"/>
    <w:rsid w:val="00B56117"/>
    <w:rPr>
      <w:i/>
      <w:iCs/>
      <w:spacing w:val="-3"/>
      <w:u w:val="single"/>
      <w:shd w:val="clear" w:color="auto" w:fill="FFFFFF"/>
    </w:rPr>
  </w:style>
  <w:style w:type="paragraph" w:customStyle="1" w:styleId="Pagrindinistekstas1">
    <w:name w:val="Pagrindinis tekstas1"/>
    <w:basedOn w:val="prastasis"/>
    <w:link w:val="Pagrindinistekstas"/>
    <w:uiPriority w:val="99"/>
    <w:rsid w:val="00B56117"/>
    <w:pPr>
      <w:shd w:val="clear" w:color="auto" w:fill="FFFFFF"/>
      <w:spacing w:after="240" w:line="278" w:lineRule="exact"/>
      <w:ind w:hanging="340"/>
    </w:pPr>
  </w:style>
  <w:style w:type="character" w:customStyle="1" w:styleId="Temosantrat1">
    <w:name w:val="Temos antraštė #1_"/>
    <w:basedOn w:val="Numatytasispastraiposriftas"/>
    <w:link w:val="Temosantrat10"/>
    <w:uiPriority w:val="99"/>
    <w:locked/>
    <w:rsid w:val="00B56117"/>
    <w:rPr>
      <w:rFonts w:ascii="Arial" w:hAnsi="Arial"/>
      <w:b/>
      <w:bCs/>
      <w:spacing w:val="-2"/>
      <w:shd w:val="clear" w:color="auto" w:fill="FFFFFF"/>
    </w:rPr>
  </w:style>
  <w:style w:type="paragraph" w:customStyle="1" w:styleId="Temosantrat10">
    <w:name w:val="Temos antraštė #1"/>
    <w:basedOn w:val="prastasis"/>
    <w:link w:val="Temosantrat1"/>
    <w:uiPriority w:val="99"/>
    <w:rsid w:val="00B56117"/>
    <w:pPr>
      <w:shd w:val="clear" w:color="auto" w:fill="FFFFFF"/>
      <w:spacing w:before="180" w:after="180" w:line="254" w:lineRule="exact"/>
      <w:ind w:hanging="320"/>
      <w:jc w:val="both"/>
      <w:outlineLvl w:val="0"/>
    </w:pPr>
    <w:rPr>
      <w:rFonts w:ascii="Arial" w:hAnsi="Arial"/>
      <w:b/>
      <w:bCs/>
      <w:spacing w:val="-2"/>
    </w:rPr>
  </w:style>
  <w:style w:type="character" w:customStyle="1" w:styleId="Pagrindinistekstas5">
    <w:name w:val="Pagrindinis tekstas (5)"/>
    <w:basedOn w:val="Numatytasispastraiposriftas"/>
    <w:uiPriority w:val="99"/>
    <w:rsid w:val="00B56117"/>
    <w:rPr>
      <w:rFonts w:ascii="Arial" w:hAnsi="Arial" w:cs="Arial"/>
      <w:spacing w:val="-2"/>
      <w:sz w:val="20"/>
      <w:szCs w:val="20"/>
      <w:u w:val="single"/>
    </w:rPr>
  </w:style>
  <w:style w:type="character" w:customStyle="1" w:styleId="Pagrindinistekstas50">
    <w:name w:val="Pagrindinis tekstas (5)_"/>
    <w:basedOn w:val="Numatytasispastraiposriftas"/>
    <w:link w:val="Pagrindinistekstas51"/>
    <w:uiPriority w:val="99"/>
    <w:locked/>
    <w:rsid w:val="00B56117"/>
    <w:rPr>
      <w:rFonts w:ascii="Arial" w:hAnsi="Arial"/>
      <w:spacing w:val="-2"/>
      <w:shd w:val="clear" w:color="auto" w:fill="FFFFFF"/>
    </w:rPr>
  </w:style>
  <w:style w:type="paragraph" w:customStyle="1" w:styleId="Pagrindinistekstas51">
    <w:name w:val="Pagrindinis tekstas (5)1"/>
    <w:basedOn w:val="prastasis"/>
    <w:link w:val="Pagrindinistekstas50"/>
    <w:uiPriority w:val="99"/>
    <w:rsid w:val="00B56117"/>
    <w:pPr>
      <w:shd w:val="clear" w:color="auto" w:fill="FFFFFF"/>
      <w:spacing w:before="180" w:after="0" w:line="257" w:lineRule="exact"/>
      <w:ind w:hanging="740"/>
      <w:jc w:val="both"/>
    </w:pPr>
    <w:rPr>
      <w:rFonts w:ascii="Arial" w:hAnsi="Arial"/>
      <w:spacing w:val="-2"/>
    </w:rPr>
  </w:style>
  <w:style w:type="character" w:customStyle="1" w:styleId="FontStyle51">
    <w:name w:val="Font Style51"/>
    <w:basedOn w:val="Numatytasispastraiposriftas"/>
    <w:uiPriority w:val="99"/>
    <w:rsid w:val="00B56117"/>
    <w:rPr>
      <w:rFonts w:ascii="Times New Roman" w:hAnsi="Times New Roman" w:cs="Times New Roman"/>
      <w:i/>
      <w:iCs/>
      <w:sz w:val="20"/>
      <w:szCs w:val="20"/>
    </w:rPr>
  </w:style>
  <w:style w:type="character" w:customStyle="1" w:styleId="FontStyle31">
    <w:name w:val="Font Style31"/>
    <w:basedOn w:val="Numatytasispastraiposriftas"/>
    <w:uiPriority w:val="99"/>
    <w:rsid w:val="00B56117"/>
    <w:rPr>
      <w:rFonts w:ascii="Times New Roman" w:hAnsi="Times New Roman" w:cs="Times New Roman"/>
      <w:sz w:val="22"/>
      <w:szCs w:val="22"/>
    </w:rPr>
  </w:style>
  <w:style w:type="character" w:customStyle="1" w:styleId="FontStyle33">
    <w:name w:val="Font Style33"/>
    <w:basedOn w:val="Numatytasispastraiposriftas"/>
    <w:uiPriority w:val="99"/>
    <w:rsid w:val="00B56117"/>
    <w:rPr>
      <w:rFonts w:ascii="Times New Roman" w:hAnsi="Times New Roman" w:cs="Times New Roman"/>
      <w:sz w:val="22"/>
      <w:szCs w:val="22"/>
    </w:rPr>
  </w:style>
  <w:style w:type="paragraph" w:styleId="Pagrindinistekstas0">
    <w:name w:val="Body Text"/>
    <w:basedOn w:val="prastasis"/>
    <w:link w:val="PagrindinistekstasDiagrama"/>
    <w:uiPriority w:val="99"/>
    <w:rsid w:val="00B56117"/>
    <w:pPr>
      <w:spacing w:after="120" w:line="276" w:lineRule="auto"/>
    </w:pPr>
    <w:rPr>
      <w:rFonts w:ascii="Calibri" w:eastAsia="Times New Roman" w:hAnsi="Calibri" w:cs="Times New Roman"/>
      <w:lang w:val="lt-LT"/>
    </w:rPr>
  </w:style>
  <w:style w:type="character" w:customStyle="1" w:styleId="PagrindinistekstasDiagrama">
    <w:name w:val="Pagrindinis tekstas Diagrama"/>
    <w:basedOn w:val="Numatytasispastraiposriftas"/>
    <w:link w:val="Pagrindinistekstas0"/>
    <w:uiPriority w:val="99"/>
    <w:rsid w:val="00B56117"/>
    <w:rPr>
      <w:rFonts w:ascii="Calibri" w:eastAsia="Times New Roman" w:hAnsi="Calibri" w:cs="Times New Roman"/>
      <w:lang w:val="lt-LT"/>
    </w:rPr>
  </w:style>
  <w:style w:type="paragraph" w:styleId="Sraopastraipa">
    <w:name w:val="List Paragraph"/>
    <w:basedOn w:val="prastasis"/>
    <w:uiPriority w:val="34"/>
    <w:qFormat/>
    <w:rsid w:val="00B56117"/>
    <w:pPr>
      <w:spacing w:after="0" w:line="240" w:lineRule="auto"/>
      <w:ind w:left="720"/>
      <w:contextualSpacing/>
    </w:pPr>
    <w:rPr>
      <w:rFonts w:ascii="Times New Roman" w:eastAsia="Times New Roman" w:hAnsi="Times New Roman" w:cs="Times New Roman"/>
      <w:sz w:val="20"/>
      <w:szCs w:val="20"/>
      <w:lang w:val="lt-LT"/>
    </w:rPr>
  </w:style>
  <w:style w:type="character" w:customStyle="1" w:styleId="PagrindinistekstasPusjuodis2">
    <w:name w:val="Pagrindinis tekstas + Pusjuodis2"/>
    <w:basedOn w:val="Numatytasispastraiposriftas"/>
    <w:uiPriority w:val="99"/>
    <w:rsid w:val="00B56117"/>
    <w:rPr>
      <w:rFonts w:ascii="Times New Roman" w:hAnsi="Times New Roman" w:cs="Times New Roman"/>
      <w:b/>
      <w:bCs/>
      <w:spacing w:val="4"/>
      <w:sz w:val="20"/>
      <w:szCs w:val="20"/>
    </w:rPr>
  </w:style>
  <w:style w:type="paragraph" w:styleId="Pagrindiniotekstotrauka">
    <w:name w:val="Body Text Indent"/>
    <w:basedOn w:val="prastasis"/>
    <w:link w:val="PagrindiniotekstotraukaDiagrama"/>
    <w:uiPriority w:val="99"/>
    <w:rsid w:val="00B56117"/>
    <w:pPr>
      <w:spacing w:after="120" w:line="276" w:lineRule="auto"/>
      <w:ind w:left="283"/>
    </w:pPr>
    <w:rPr>
      <w:rFonts w:ascii="Calibri" w:eastAsia="Times New Roman" w:hAnsi="Calibri" w:cs="Times New Roman"/>
      <w:lang w:val="lt-LT"/>
    </w:rPr>
  </w:style>
  <w:style w:type="character" w:customStyle="1" w:styleId="PagrindiniotekstotraukaDiagrama">
    <w:name w:val="Pagrindinio teksto įtrauka Diagrama"/>
    <w:basedOn w:val="Numatytasispastraiposriftas"/>
    <w:link w:val="Pagrindiniotekstotrauka"/>
    <w:uiPriority w:val="99"/>
    <w:rsid w:val="00B56117"/>
    <w:rPr>
      <w:rFonts w:ascii="Calibri" w:eastAsia="Times New Roman" w:hAnsi="Calibri" w:cs="Times New Roman"/>
      <w:lang w:val="lt-LT"/>
    </w:rPr>
  </w:style>
  <w:style w:type="character" w:styleId="Hipersaitas">
    <w:name w:val="Hyperlink"/>
    <w:basedOn w:val="Numatytasispastraiposriftas"/>
    <w:uiPriority w:val="99"/>
    <w:rsid w:val="00B56117"/>
    <w:rPr>
      <w:rFonts w:cs="Times New Roman"/>
      <w:color w:val="0000FF"/>
      <w:u w:val="single"/>
    </w:rPr>
  </w:style>
  <w:style w:type="paragraph" w:styleId="Debesliotekstas">
    <w:name w:val="Balloon Text"/>
    <w:basedOn w:val="prastasis"/>
    <w:link w:val="DebesliotekstasDiagrama"/>
    <w:uiPriority w:val="99"/>
    <w:rsid w:val="00B56117"/>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rsid w:val="00B56117"/>
    <w:rPr>
      <w:rFonts w:ascii="Tahoma" w:eastAsia="Times New Roman" w:hAnsi="Tahoma" w:cs="Tahoma"/>
      <w:sz w:val="16"/>
      <w:szCs w:val="16"/>
      <w:lang w:val="lt-LT"/>
    </w:rPr>
  </w:style>
  <w:style w:type="character" w:customStyle="1" w:styleId="CharAttribute0">
    <w:name w:val="CharAttribute0"/>
    <w:uiPriority w:val="99"/>
    <w:rsid w:val="00B56117"/>
    <w:rPr>
      <w:rFonts w:ascii="Calibri" w:hAnsi="Calibri"/>
      <w:sz w:val="22"/>
    </w:rPr>
  </w:style>
  <w:style w:type="paragraph" w:styleId="Pagrindinistekstas22">
    <w:name w:val="Body Text 2"/>
    <w:basedOn w:val="prastasis"/>
    <w:link w:val="Pagrindinistekstas2Diagrama"/>
    <w:uiPriority w:val="99"/>
    <w:rsid w:val="00B56117"/>
    <w:pPr>
      <w:spacing w:after="120" w:line="480" w:lineRule="auto"/>
    </w:pPr>
    <w:rPr>
      <w:rFonts w:ascii="Calibri" w:eastAsia="Times New Roman" w:hAnsi="Calibri" w:cs="Times New Roman"/>
      <w:lang w:val="lt-LT"/>
    </w:rPr>
  </w:style>
  <w:style w:type="character" w:customStyle="1" w:styleId="Pagrindinistekstas2Diagrama">
    <w:name w:val="Pagrindinis tekstas 2 Diagrama"/>
    <w:basedOn w:val="Numatytasispastraiposriftas"/>
    <w:link w:val="Pagrindinistekstas22"/>
    <w:uiPriority w:val="99"/>
    <w:rsid w:val="00B56117"/>
    <w:rPr>
      <w:rFonts w:ascii="Calibri" w:eastAsia="Times New Roman" w:hAnsi="Calibri" w:cs="Times New Roman"/>
      <w:lang w:val="lt-LT"/>
    </w:rPr>
  </w:style>
  <w:style w:type="paragraph" w:styleId="prastasiniatinklio">
    <w:name w:val="Normal (Web)"/>
    <w:basedOn w:val="prastasis"/>
    <w:link w:val="prastasiniatinklioDiagrama"/>
    <w:uiPriority w:val="99"/>
    <w:rsid w:val="00B56117"/>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FontStyle19">
    <w:name w:val="Font Style19"/>
    <w:basedOn w:val="Numatytasispastraiposriftas"/>
    <w:uiPriority w:val="99"/>
    <w:rsid w:val="00B56117"/>
    <w:rPr>
      <w:rFonts w:ascii="Times New Roman" w:hAnsi="Times New Roman" w:cs="Times New Roman"/>
      <w:sz w:val="22"/>
      <w:szCs w:val="22"/>
    </w:rPr>
  </w:style>
  <w:style w:type="character" w:customStyle="1" w:styleId="FontStyle13">
    <w:name w:val="Font Style13"/>
    <w:basedOn w:val="Numatytasispastraiposriftas"/>
    <w:uiPriority w:val="99"/>
    <w:rsid w:val="00B56117"/>
    <w:rPr>
      <w:rFonts w:ascii="Times New Roman" w:hAnsi="Times New Roman" w:cs="Times New Roman"/>
      <w:sz w:val="20"/>
      <w:szCs w:val="20"/>
    </w:rPr>
  </w:style>
  <w:style w:type="character" w:customStyle="1" w:styleId="typewriter">
    <w:name w:val="typewriter"/>
    <w:basedOn w:val="Numatytasispastraiposriftas"/>
    <w:uiPriority w:val="99"/>
    <w:rsid w:val="00B56117"/>
    <w:rPr>
      <w:rFonts w:cs="Times New Roman"/>
    </w:rPr>
  </w:style>
  <w:style w:type="character" w:customStyle="1" w:styleId="s6b621b36">
    <w:name w:val="s6b621b36"/>
    <w:basedOn w:val="Numatytasispastraiposriftas"/>
    <w:uiPriority w:val="99"/>
    <w:rsid w:val="00B56117"/>
    <w:rPr>
      <w:rFonts w:cs="Times New Roman"/>
    </w:rPr>
  </w:style>
  <w:style w:type="paragraph" w:customStyle="1" w:styleId="centrbold">
    <w:name w:val="centrbold"/>
    <w:basedOn w:val="prastasis"/>
    <w:uiPriority w:val="99"/>
    <w:rsid w:val="00B56117"/>
    <w:pPr>
      <w:autoSpaceDE w:val="0"/>
      <w:autoSpaceDN w:val="0"/>
      <w:spacing w:after="0" w:line="240" w:lineRule="auto"/>
      <w:ind w:firstLine="720"/>
      <w:jc w:val="center"/>
    </w:pPr>
    <w:rPr>
      <w:rFonts w:ascii="TimesLT" w:eastAsia="Times New Roman" w:hAnsi="TimesLT" w:cs="Arial"/>
      <w:b/>
      <w:bCs/>
      <w:caps/>
      <w:sz w:val="20"/>
      <w:szCs w:val="20"/>
      <w:lang w:val="lt-LT" w:eastAsia="lt-LT"/>
    </w:rPr>
  </w:style>
  <w:style w:type="character" w:customStyle="1" w:styleId="boldblocktext-centermargin-top-28margin-bottom-30">
    <w:name w:val="bold block text-center margin-top-28 margin-bottom-30"/>
    <w:basedOn w:val="Numatytasispastraiposriftas"/>
    <w:uiPriority w:val="99"/>
    <w:rsid w:val="00B56117"/>
    <w:rPr>
      <w:rFonts w:cs="Times New Roman"/>
    </w:rPr>
  </w:style>
  <w:style w:type="paragraph" w:customStyle="1" w:styleId="tin">
    <w:name w:val="tin"/>
    <w:basedOn w:val="prastasis"/>
    <w:uiPriority w:val="99"/>
    <w:rsid w:val="00B56117"/>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ajtip">
    <w:name w:val="tajtip"/>
    <w:basedOn w:val="prastasis"/>
    <w:uiPriority w:val="99"/>
    <w:rsid w:val="00B56117"/>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Betarp">
    <w:name w:val="No Spacing"/>
    <w:uiPriority w:val="99"/>
    <w:qFormat/>
    <w:rsid w:val="00B56117"/>
    <w:pPr>
      <w:spacing w:after="0" w:line="240" w:lineRule="auto"/>
    </w:pPr>
    <w:rPr>
      <w:rFonts w:ascii="Times New Roman" w:eastAsia="Times New Roman" w:hAnsi="Times New Roman" w:cs="Times New Roman"/>
      <w:sz w:val="20"/>
      <w:szCs w:val="20"/>
      <w:lang w:val="lt-LT"/>
    </w:rPr>
  </w:style>
  <w:style w:type="paragraph" w:customStyle="1" w:styleId="tactin">
    <w:name w:val="tactin"/>
    <w:basedOn w:val="prastasis"/>
    <w:uiPriority w:val="99"/>
    <w:rsid w:val="00B56117"/>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harChar4">
    <w:name w:val="Char Char4"/>
    <w:uiPriority w:val="99"/>
    <w:rsid w:val="00B56117"/>
    <w:rPr>
      <w:rFonts w:eastAsia="Times New Roman"/>
      <w:sz w:val="24"/>
      <w:lang w:val="en-GB"/>
    </w:rPr>
  </w:style>
  <w:style w:type="character" w:customStyle="1" w:styleId="st">
    <w:name w:val="st"/>
    <w:basedOn w:val="Numatytasispastraiposriftas"/>
    <w:uiPriority w:val="99"/>
    <w:rsid w:val="00B56117"/>
    <w:rPr>
      <w:rFonts w:cs="Times New Roman"/>
    </w:rPr>
  </w:style>
  <w:style w:type="character" w:customStyle="1" w:styleId="CharChar6">
    <w:name w:val="Char Char6"/>
    <w:basedOn w:val="Numatytasispastraiposriftas"/>
    <w:uiPriority w:val="99"/>
    <w:rsid w:val="00B56117"/>
    <w:rPr>
      <w:rFonts w:eastAsia="Times New Roman" w:cs="Times New Roman"/>
      <w:sz w:val="20"/>
      <w:szCs w:val="20"/>
      <w:lang w:eastAsia="ar-SA" w:bidi="ar-SA"/>
    </w:rPr>
  </w:style>
  <w:style w:type="paragraph" w:customStyle="1" w:styleId="Style1">
    <w:name w:val="Style1"/>
    <w:basedOn w:val="prastasis"/>
    <w:uiPriority w:val="99"/>
    <w:rsid w:val="00B56117"/>
    <w:pPr>
      <w:shd w:val="clear" w:color="auto" w:fill="FFFFFF"/>
      <w:suppressAutoHyphens/>
      <w:spacing w:before="7" w:after="0" w:line="274" w:lineRule="exact"/>
      <w:ind w:left="29" w:right="65" w:firstLine="713"/>
      <w:jc w:val="both"/>
    </w:pPr>
    <w:rPr>
      <w:rFonts w:ascii="Times New Roman" w:eastAsia="Times New Roman" w:hAnsi="Times New Roman" w:cs="Times New Roman"/>
      <w:sz w:val="24"/>
      <w:szCs w:val="24"/>
      <w:lang w:val="lt-LT" w:eastAsia="ar-SA"/>
    </w:rPr>
  </w:style>
  <w:style w:type="character" w:customStyle="1" w:styleId="CharChar61">
    <w:name w:val="Char Char61"/>
    <w:basedOn w:val="Numatytasispastraiposriftas"/>
    <w:uiPriority w:val="99"/>
    <w:rsid w:val="00B56117"/>
    <w:rPr>
      <w:rFonts w:eastAsia="Times New Roman" w:cs="Times New Roman"/>
      <w:sz w:val="20"/>
      <w:szCs w:val="20"/>
      <w:lang w:eastAsia="ar-SA" w:bidi="ar-SA"/>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B56117"/>
    <w:pPr>
      <w:snapToGrid w:val="0"/>
      <w:spacing w:before="120" w:after="120" w:line="240" w:lineRule="auto"/>
      <w:jc w:val="center"/>
    </w:pPr>
    <w:rPr>
      <w:rFonts w:ascii="Times New Roman" w:eastAsia="Times New Roman" w:hAnsi="Times New Roman" w:cs="Times New Roman"/>
      <w:b/>
      <w:bCs/>
      <w:sz w:val="24"/>
      <w:szCs w:val="24"/>
      <w:u w:val="single"/>
      <w:lang w:val="lt-LT" w:eastAsia="en-GB"/>
    </w:rPr>
  </w:style>
  <w:style w:type="paragraph" w:customStyle="1" w:styleId="Betarp1">
    <w:name w:val="Be tarpų1"/>
    <w:uiPriority w:val="99"/>
    <w:rsid w:val="00B56117"/>
    <w:pPr>
      <w:spacing w:after="0" w:line="240" w:lineRule="auto"/>
    </w:pPr>
    <w:rPr>
      <w:rFonts w:ascii="Calibri" w:eastAsia="Times New Roman" w:hAnsi="Calibri" w:cs="Calibri"/>
      <w:lang w:val="lt-LT"/>
    </w:rPr>
  </w:style>
  <w:style w:type="character" w:customStyle="1" w:styleId="plaintext">
    <w:name w:val="plain_text"/>
    <w:basedOn w:val="Numatytasispastraiposriftas"/>
    <w:uiPriority w:val="99"/>
    <w:rsid w:val="00B56117"/>
    <w:rPr>
      <w:rFonts w:cs="Times New Roman"/>
    </w:rPr>
  </w:style>
  <w:style w:type="character" w:customStyle="1" w:styleId="clearfont-17font-black">
    <w:name w:val="clear font-17 font-black"/>
    <w:basedOn w:val="Numatytasispastraiposriftas"/>
    <w:uiPriority w:val="99"/>
    <w:rsid w:val="00B56117"/>
    <w:rPr>
      <w:rFonts w:cs="Times New Roman"/>
    </w:rPr>
  </w:style>
  <w:style w:type="character" w:customStyle="1" w:styleId="FontStyle22">
    <w:name w:val="Font Style22"/>
    <w:basedOn w:val="Numatytasispastraiposriftas"/>
    <w:uiPriority w:val="99"/>
    <w:rsid w:val="00B56117"/>
    <w:rPr>
      <w:rFonts w:ascii="Times New Roman" w:hAnsi="Times New Roman" w:cs="Times New Roman"/>
      <w:b/>
      <w:bCs/>
      <w:i/>
      <w:iCs/>
      <w:sz w:val="20"/>
      <w:szCs w:val="20"/>
    </w:rPr>
  </w:style>
  <w:style w:type="character" w:customStyle="1" w:styleId="FontStyle20">
    <w:name w:val="Font Style20"/>
    <w:basedOn w:val="Numatytasispastraiposriftas"/>
    <w:uiPriority w:val="99"/>
    <w:rsid w:val="00B56117"/>
    <w:rPr>
      <w:rFonts w:ascii="Times New Roman" w:hAnsi="Times New Roman" w:cs="Times New Roman"/>
      <w:sz w:val="22"/>
      <w:szCs w:val="22"/>
    </w:rPr>
  </w:style>
  <w:style w:type="character" w:customStyle="1" w:styleId="FontStyle24">
    <w:name w:val="Font Style24"/>
    <w:basedOn w:val="Numatytasispastraiposriftas"/>
    <w:uiPriority w:val="99"/>
    <w:rsid w:val="00B56117"/>
    <w:rPr>
      <w:rFonts w:ascii="Times New Roman" w:hAnsi="Times New Roman" w:cs="Times New Roman" w:hint="default"/>
      <w:sz w:val="22"/>
      <w:szCs w:val="22"/>
    </w:rPr>
  </w:style>
  <w:style w:type="character" w:customStyle="1" w:styleId="FontStyle14">
    <w:name w:val="Font Style14"/>
    <w:basedOn w:val="Numatytasispastraiposriftas"/>
    <w:rsid w:val="00B56117"/>
    <w:rPr>
      <w:rFonts w:ascii="Times New Roman" w:hAnsi="Times New Roman" w:cs="Times New Roman"/>
      <w:sz w:val="22"/>
      <w:szCs w:val="22"/>
    </w:rPr>
  </w:style>
  <w:style w:type="character" w:styleId="Grietas">
    <w:name w:val="Strong"/>
    <w:basedOn w:val="Numatytasispastraiposriftas"/>
    <w:uiPriority w:val="22"/>
    <w:qFormat/>
    <w:rsid w:val="00B56117"/>
    <w:rPr>
      <w:b/>
      <w:bCs/>
    </w:rPr>
  </w:style>
  <w:style w:type="character" w:customStyle="1" w:styleId="Bodytext2">
    <w:name w:val="Body text (2)"/>
    <w:basedOn w:val="Numatytasispastraiposriftas"/>
    <w:rsid w:val="00B5611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0">
    <w:name w:val="Body text (2)_"/>
    <w:basedOn w:val="Numatytasispastraiposriftas"/>
    <w:rsid w:val="00B56117"/>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0"/>
    <w:rsid w:val="00B56117"/>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Italic">
    <w:name w:val="Body text (2) + Italic"/>
    <w:basedOn w:val="Bodytext20"/>
    <w:rsid w:val="00B56117"/>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paragraph" w:customStyle="1" w:styleId="taltipfb">
    <w:name w:val="taltipfb"/>
    <w:basedOn w:val="prastasis"/>
    <w:uiPriority w:val="99"/>
    <w:rsid w:val="00B56117"/>
    <w:pPr>
      <w:spacing w:after="150" w:line="240" w:lineRule="auto"/>
    </w:pPr>
    <w:rPr>
      <w:rFonts w:ascii="Times New Roman" w:eastAsia="Times New Roman" w:hAnsi="Times New Roman" w:cs="Times New Roman"/>
      <w:sz w:val="24"/>
      <w:szCs w:val="24"/>
      <w:lang w:val="lt-LT" w:eastAsia="lt-LT"/>
    </w:rPr>
  </w:style>
  <w:style w:type="character" w:customStyle="1" w:styleId="Bodytext3">
    <w:name w:val="Body text (3)_"/>
    <w:basedOn w:val="Numatytasispastraiposriftas"/>
    <w:rsid w:val="00B56117"/>
    <w:rPr>
      <w:rFonts w:ascii="Arial" w:eastAsia="Arial" w:hAnsi="Arial" w:cs="Arial"/>
      <w:b/>
      <w:bCs/>
      <w:i w:val="0"/>
      <w:iCs w:val="0"/>
      <w:smallCaps w:val="0"/>
      <w:strike w:val="0"/>
      <w:sz w:val="20"/>
      <w:szCs w:val="20"/>
      <w:u w:val="none"/>
    </w:rPr>
  </w:style>
  <w:style w:type="character" w:customStyle="1" w:styleId="Bodytext30">
    <w:name w:val="Body text (3)"/>
    <w:basedOn w:val="Bodytext3"/>
    <w:rsid w:val="00B56117"/>
    <w:rPr>
      <w:rFonts w:ascii="Arial" w:eastAsia="Arial" w:hAnsi="Arial" w:cs="Arial"/>
      <w:b w:val="0"/>
      <w:bCs w:val="0"/>
      <w:i w:val="0"/>
      <w:iCs w:val="0"/>
      <w:smallCaps w:val="0"/>
      <w:strike w:val="0"/>
      <w:color w:val="000000"/>
      <w:spacing w:val="0"/>
      <w:w w:val="100"/>
      <w:position w:val="0"/>
      <w:sz w:val="20"/>
      <w:szCs w:val="20"/>
      <w:u w:val="none"/>
      <w:lang w:val="lt-LT" w:eastAsia="lt-LT" w:bidi="lt-LT"/>
    </w:rPr>
  </w:style>
  <w:style w:type="character" w:customStyle="1" w:styleId="Bodytext3NotBold">
    <w:name w:val="Body text (3) + Not Bold"/>
    <w:basedOn w:val="Bodytext3"/>
    <w:rsid w:val="00B56117"/>
    <w:rPr>
      <w:rFonts w:ascii="Arial" w:eastAsia="Arial" w:hAnsi="Arial" w:cs="Arial"/>
      <w:b w:val="0"/>
      <w:bCs w:val="0"/>
      <w:i w:val="0"/>
      <w:iCs w:val="0"/>
      <w:smallCaps w:val="0"/>
      <w:strike w:val="0"/>
      <w:color w:val="000000"/>
      <w:spacing w:val="0"/>
      <w:w w:val="100"/>
      <w:position w:val="0"/>
      <w:sz w:val="20"/>
      <w:szCs w:val="20"/>
      <w:u w:val="none"/>
      <w:lang w:val="lt-LT" w:eastAsia="lt-LT" w:bidi="lt-LT"/>
    </w:rPr>
  </w:style>
  <w:style w:type="character" w:customStyle="1" w:styleId="Heading1">
    <w:name w:val="Heading #1_"/>
    <w:basedOn w:val="Numatytasispastraiposriftas"/>
    <w:rsid w:val="00B56117"/>
    <w:rPr>
      <w:rFonts w:ascii="Arial" w:eastAsia="Arial" w:hAnsi="Arial" w:cs="Arial"/>
      <w:b/>
      <w:bCs/>
      <w:i w:val="0"/>
      <w:iCs w:val="0"/>
      <w:smallCaps w:val="0"/>
      <w:strike w:val="0"/>
      <w:sz w:val="20"/>
      <w:szCs w:val="20"/>
      <w:u w:val="none"/>
    </w:rPr>
  </w:style>
  <w:style w:type="character" w:customStyle="1" w:styleId="Heading10">
    <w:name w:val="Heading #1"/>
    <w:basedOn w:val="Heading1"/>
    <w:rsid w:val="00B56117"/>
    <w:rPr>
      <w:rFonts w:ascii="Arial" w:eastAsia="Arial" w:hAnsi="Arial" w:cs="Arial"/>
      <w:b w:val="0"/>
      <w:bCs w:val="0"/>
      <w:i w:val="0"/>
      <w:iCs w:val="0"/>
      <w:smallCaps w:val="0"/>
      <w:strike w:val="0"/>
      <w:color w:val="000000"/>
      <w:spacing w:val="0"/>
      <w:w w:val="100"/>
      <w:position w:val="0"/>
      <w:sz w:val="20"/>
      <w:szCs w:val="20"/>
      <w:u w:val="none"/>
      <w:lang w:val="lt-LT" w:eastAsia="lt-LT" w:bidi="lt-LT"/>
    </w:rPr>
  </w:style>
  <w:style w:type="character" w:customStyle="1" w:styleId="Heading1NotBold">
    <w:name w:val="Heading #1 + Not Bold"/>
    <w:basedOn w:val="Heading1"/>
    <w:rsid w:val="00B56117"/>
    <w:rPr>
      <w:rFonts w:ascii="Arial" w:eastAsia="Arial" w:hAnsi="Arial" w:cs="Arial"/>
      <w:b w:val="0"/>
      <w:bCs w:val="0"/>
      <w:i w:val="0"/>
      <w:iCs w:val="0"/>
      <w:smallCaps w:val="0"/>
      <w:strike w:val="0"/>
      <w:color w:val="000000"/>
      <w:spacing w:val="0"/>
      <w:w w:val="100"/>
      <w:position w:val="0"/>
      <w:sz w:val="20"/>
      <w:szCs w:val="20"/>
      <w:u w:val="none"/>
      <w:lang w:val="lt-LT" w:eastAsia="lt-LT" w:bidi="lt-LT"/>
    </w:rPr>
  </w:style>
  <w:style w:type="character" w:styleId="Komentaronuoroda">
    <w:name w:val="annotation reference"/>
    <w:basedOn w:val="Numatytasispastraiposriftas"/>
    <w:uiPriority w:val="99"/>
    <w:semiHidden/>
    <w:unhideWhenUsed/>
    <w:rsid w:val="00B56117"/>
    <w:rPr>
      <w:sz w:val="16"/>
      <w:szCs w:val="16"/>
    </w:rPr>
  </w:style>
  <w:style w:type="paragraph" w:styleId="Komentarotekstas">
    <w:name w:val="annotation text"/>
    <w:basedOn w:val="prastasis"/>
    <w:link w:val="KomentarotekstasDiagrama"/>
    <w:uiPriority w:val="99"/>
    <w:unhideWhenUsed/>
    <w:rsid w:val="00B56117"/>
    <w:pPr>
      <w:spacing w:after="200" w:line="276" w:lineRule="auto"/>
    </w:pPr>
    <w:rPr>
      <w:rFonts w:ascii="Calibri" w:eastAsia="Times New Roman" w:hAnsi="Calibri" w:cs="Times New Roman"/>
      <w:sz w:val="20"/>
      <w:szCs w:val="20"/>
      <w:lang w:val="lt-LT"/>
    </w:rPr>
  </w:style>
  <w:style w:type="character" w:customStyle="1" w:styleId="KomentarotekstasDiagrama">
    <w:name w:val="Komentaro tekstas Diagrama"/>
    <w:basedOn w:val="Numatytasispastraiposriftas"/>
    <w:link w:val="Komentarotekstas"/>
    <w:uiPriority w:val="99"/>
    <w:rsid w:val="00B56117"/>
    <w:rPr>
      <w:rFonts w:ascii="Calibri" w:eastAsia="Times New Roman"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56117"/>
    <w:rPr>
      <w:b/>
      <w:bCs/>
    </w:rPr>
  </w:style>
  <w:style w:type="character" w:customStyle="1" w:styleId="KomentarotemaDiagrama">
    <w:name w:val="Komentaro tema Diagrama"/>
    <w:basedOn w:val="KomentarotekstasDiagrama"/>
    <w:link w:val="Komentarotema"/>
    <w:uiPriority w:val="99"/>
    <w:semiHidden/>
    <w:rsid w:val="00B56117"/>
    <w:rPr>
      <w:rFonts w:ascii="Calibri" w:eastAsia="Times New Roman" w:hAnsi="Calibri" w:cs="Times New Roman"/>
      <w:b/>
      <w:bCs/>
      <w:sz w:val="20"/>
      <w:szCs w:val="20"/>
      <w:lang w:val="lt-LT"/>
    </w:rPr>
  </w:style>
  <w:style w:type="character" w:customStyle="1" w:styleId="prastasiniatinklioDiagrama">
    <w:name w:val="Įprastas (žiniatinklio) Diagrama"/>
    <w:link w:val="prastasiniatinklio"/>
    <w:uiPriority w:val="99"/>
    <w:rsid w:val="00B56117"/>
    <w:rPr>
      <w:rFonts w:ascii="Times New Roman" w:eastAsia="Times New Roman" w:hAnsi="Times New Roman" w:cs="Times New Roman"/>
      <w:sz w:val="24"/>
      <w:szCs w:val="24"/>
      <w:lang w:val="lt-LT" w:eastAsia="lt-LT"/>
    </w:rPr>
  </w:style>
  <w:style w:type="paragraph" w:styleId="Tekstoblokas">
    <w:name w:val="Block Text"/>
    <w:basedOn w:val="prastasis"/>
    <w:rsid w:val="00B56117"/>
    <w:pPr>
      <w:spacing w:after="0" w:line="240" w:lineRule="auto"/>
      <w:ind w:left="-1134" w:right="-766"/>
    </w:pPr>
    <w:rPr>
      <w:rFonts w:ascii="Times New Roman" w:eastAsia="Times New Roman" w:hAnsi="Times New Roman" w:cs="Times New Roman"/>
      <w:sz w:val="24"/>
      <w:szCs w:val="20"/>
      <w:lang w:val="lt-LT" w:eastAsia="zh-CN"/>
    </w:rPr>
  </w:style>
  <w:style w:type="character" w:styleId="Perirtashipersaitas">
    <w:name w:val="FollowedHyperlink"/>
    <w:basedOn w:val="Numatytasispastraiposriftas"/>
    <w:uiPriority w:val="99"/>
    <w:semiHidden/>
    <w:unhideWhenUsed/>
    <w:rsid w:val="00B56117"/>
    <w:rPr>
      <w:color w:val="954F72" w:themeColor="followedHyperlink"/>
      <w:u w:val="single"/>
    </w:rPr>
  </w:style>
  <w:style w:type="paragraph" w:styleId="Sraassuenkleliais">
    <w:name w:val="List Bullet"/>
    <w:basedOn w:val="prastasis"/>
    <w:uiPriority w:val="99"/>
    <w:unhideWhenUsed/>
    <w:rsid w:val="00B56117"/>
    <w:pPr>
      <w:numPr>
        <w:numId w:val="12"/>
      </w:numPr>
      <w:spacing w:after="200" w:line="276" w:lineRule="auto"/>
      <w:contextualSpacing/>
    </w:pPr>
    <w:rPr>
      <w:rFonts w:ascii="Calibri" w:eastAsia="Times New Roman" w:hAnsi="Calibri" w:cs="Times New Roman"/>
      <w:lang w:val="lt-LT"/>
    </w:rPr>
  </w:style>
  <w:style w:type="paragraph" w:styleId="Pagrindiniotekstotrauka3">
    <w:name w:val="Body Text Indent 3"/>
    <w:basedOn w:val="prastasis"/>
    <w:link w:val="Pagrindiniotekstotrauka3Diagrama"/>
    <w:uiPriority w:val="99"/>
    <w:semiHidden/>
    <w:unhideWhenUsed/>
    <w:rsid w:val="00B56117"/>
    <w:pPr>
      <w:spacing w:after="120" w:line="276" w:lineRule="auto"/>
      <w:ind w:left="283"/>
    </w:pPr>
    <w:rPr>
      <w:rFonts w:ascii="Calibri" w:eastAsia="Times New Roman" w:hAnsi="Calibri"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B56117"/>
    <w:rPr>
      <w:rFonts w:ascii="Calibri" w:eastAsia="Times New Roman" w:hAnsi="Calibri" w:cs="Times New Roman"/>
      <w:sz w:val="16"/>
      <w:szCs w:val="16"/>
      <w:lang w:val="lt-LT"/>
    </w:rPr>
  </w:style>
  <w:style w:type="paragraph" w:customStyle="1" w:styleId="Style6">
    <w:name w:val="Style6"/>
    <w:basedOn w:val="prastasis"/>
    <w:uiPriority w:val="99"/>
    <w:rsid w:val="00B56117"/>
    <w:pPr>
      <w:widowControl w:val="0"/>
      <w:autoSpaceDE w:val="0"/>
      <w:autoSpaceDN w:val="0"/>
      <w:adjustRightInd w:val="0"/>
      <w:spacing w:after="0" w:line="278" w:lineRule="exact"/>
      <w:ind w:firstLine="710"/>
      <w:jc w:val="both"/>
    </w:pPr>
    <w:rPr>
      <w:rFonts w:ascii="Cordia New" w:eastAsia="Times New Roman" w:hAnsi="Cordia New" w:cs="Times New Roman"/>
      <w:sz w:val="24"/>
      <w:szCs w:val="24"/>
      <w:lang w:val="lt-LT" w:eastAsia="lt-LT" w:bidi="th-TH"/>
    </w:rPr>
  </w:style>
  <w:style w:type="character" w:styleId="Vietosrezervavimoenklotekstas">
    <w:name w:val="Placeholder Text"/>
    <w:basedOn w:val="Numatytasispastraiposriftas"/>
    <w:uiPriority w:val="99"/>
    <w:semiHidden/>
    <w:rsid w:val="00B56117"/>
    <w:rPr>
      <w:color w:val="808080"/>
    </w:rPr>
  </w:style>
  <w:style w:type="character" w:customStyle="1" w:styleId="FontStyle11">
    <w:name w:val="Font Style11"/>
    <w:basedOn w:val="Numatytasispastraiposriftas"/>
    <w:uiPriority w:val="99"/>
    <w:rsid w:val="00B56117"/>
    <w:rPr>
      <w:rFonts w:ascii="Times New Roman" w:hAnsi="Times New Roman" w:cs="Times New Roman"/>
      <w:sz w:val="22"/>
      <w:szCs w:val="22"/>
    </w:rPr>
  </w:style>
  <w:style w:type="character" w:customStyle="1" w:styleId="Headerorfooter">
    <w:name w:val="Header or footer_"/>
    <w:basedOn w:val="Numatytasispastraiposriftas"/>
    <w:rsid w:val="00B56117"/>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Headerorfooter0">
    <w:name w:val="Header or footer"/>
    <w:basedOn w:val="Headerorfooter"/>
    <w:rsid w:val="00B5611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Bodytext3Exact">
    <w:name w:val="Body text (3) Exact"/>
    <w:basedOn w:val="Numatytasispastraiposriftas"/>
    <w:rsid w:val="00B56117"/>
    <w:rPr>
      <w:rFonts w:ascii="Arial" w:eastAsia="Arial" w:hAnsi="Arial" w:cs="Arial"/>
      <w:b w:val="0"/>
      <w:bCs w:val="0"/>
      <w:i w:val="0"/>
      <w:iCs w:val="0"/>
      <w:smallCaps w:val="0"/>
      <w:strike w:val="0"/>
      <w:sz w:val="16"/>
      <w:szCs w:val="16"/>
      <w:u w:val="none"/>
    </w:rPr>
  </w:style>
  <w:style w:type="character" w:customStyle="1" w:styleId="Bodytext212pt">
    <w:name w:val="Body text (2) + 12 pt"/>
    <w:basedOn w:val="Bodytext20"/>
    <w:rsid w:val="00B5611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115pt">
    <w:name w:val="Body text (2) + 11.5 pt"/>
    <w:aliases w:val="Italic,Bold"/>
    <w:basedOn w:val="Bodytext20"/>
    <w:rsid w:val="00B56117"/>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511pt">
    <w:name w:val="Body text (5) + 11 pt"/>
    <w:basedOn w:val="Numatytasispastraiposriftas"/>
    <w:rsid w:val="00B5611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styleId="Neapdorotaspaminjimas">
    <w:name w:val="Unresolved Mention"/>
    <w:basedOn w:val="Numatytasispastraiposriftas"/>
    <w:uiPriority w:val="99"/>
    <w:semiHidden/>
    <w:unhideWhenUsed/>
    <w:rsid w:val="00B56117"/>
    <w:rPr>
      <w:color w:val="605E5C"/>
      <w:shd w:val="clear" w:color="auto" w:fill="E1DFDD"/>
    </w:rPr>
  </w:style>
  <w:style w:type="paragraph" w:styleId="Puslapioinaostekstas">
    <w:name w:val="footnote text"/>
    <w:basedOn w:val="prastasis"/>
    <w:link w:val="PuslapioinaostekstasDiagrama"/>
    <w:uiPriority w:val="99"/>
    <w:semiHidden/>
    <w:unhideWhenUsed/>
    <w:rsid w:val="0091552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1552F"/>
    <w:rPr>
      <w:sz w:val="20"/>
      <w:szCs w:val="20"/>
    </w:rPr>
  </w:style>
  <w:style w:type="character" w:styleId="Puslapioinaosnuoroda">
    <w:name w:val="footnote reference"/>
    <w:aliases w:val="Ref,de nota al pie,fr,(NECG) Footnote Reference,o,Style 4,Footnote symbol,FR,Style 6,Style 3,Appel note de bas de p,Style 12,Style 124"/>
    <w:basedOn w:val="Numatytasispastraiposriftas"/>
    <w:unhideWhenUsed/>
    <w:rsid w:val="0091552F"/>
    <w:rPr>
      <w:vertAlign w:val="superscript"/>
    </w:rPr>
  </w:style>
  <w:style w:type="paragraph" w:customStyle="1" w:styleId="c01pointnumerotealtn">
    <w:name w:val="c01pointnumerotealtn"/>
    <w:basedOn w:val="prastasis"/>
    <w:rsid w:val="00D851F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DE7237"/>
    <w:pPr>
      <w:autoSpaceDE w:val="0"/>
      <w:autoSpaceDN w:val="0"/>
      <w:adjustRightInd w:val="0"/>
      <w:spacing w:after="0" w:line="240" w:lineRule="auto"/>
    </w:pPr>
    <w:rPr>
      <w:rFonts w:ascii="Arial" w:hAnsi="Arial" w:cs="Arial"/>
      <w:color w:val="000000"/>
      <w:sz w:val="24"/>
      <w:szCs w:val="24"/>
      <w:lang w:val="lt-LT"/>
    </w:rPr>
  </w:style>
  <w:style w:type="paragraph" w:styleId="Pataisymai">
    <w:name w:val="Revision"/>
    <w:hidden/>
    <w:uiPriority w:val="99"/>
    <w:semiHidden/>
    <w:rsid w:val="00C53D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255">
      <w:bodyDiv w:val="1"/>
      <w:marLeft w:val="0"/>
      <w:marRight w:val="0"/>
      <w:marTop w:val="0"/>
      <w:marBottom w:val="0"/>
      <w:divBdr>
        <w:top w:val="none" w:sz="0" w:space="0" w:color="auto"/>
        <w:left w:val="none" w:sz="0" w:space="0" w:color="auto"/>
        <w:bottom w:val="none" w:sz="0" w:space="0" w:color="auto"/>
        <w:right w:val="none" w:sz="0" w:space="0" w:color="auto"/>
      </w:divBdr>
    </w:div>
    <w:div w:id="45221925">
      <w:bodyDiv w:val="1"/>
      <w:marLeft w:val="0"/>
      <w:marRight w:val="0"/>
      <w:marTop w:val="0"/>
      <w:marBottom w:val="0"/>
      <w:divBdr>
        <w:top w:val="none" w:sz="0" w:space="0" w:color="auto"/>
        <w:left w:val="none" w:sz="0" w:space="0" w:color="auto"/>
        <w:bottom w:val="none" w:sz="0" w:space="0" w:color="auto"/>
        <w:right w:val="none" w:sz="0" w:space="0" w:color="auto"/>
      </w:divBdr>
      <w:divsChild>
        <w:div w:id="1655793458">
          <w:marLeft w:val="0"/>
          <w:marRight w:val="0"/>
          <w:marTop w:val="0"/>
          <w:marBottom w:val="0"/>
          <w:divBdr>
            <w:top w:val="none" w:sz="0" w:space="0" w:color="auto"/>
            <w:left w:val="none" w:sz="0" w:space="0" w:color="auto"/>
            <w:bottom w:val="none" w:sz="0" w:space="0" w:color="auto"/>
            <w:right w:val="none" w:sz="0" w:space="0" w:color="auto"/>
          </w:divBdr>
        </w:div>
        <w:div w:id="127667212">
          <w:marLeft w:val="0"/>
          <w:marRight w:val="0"/>
          <w:marTop w:val="0"/>
          <w:marBottom w:val="0"/>
          <w:divBdr>
            <w:top w:val="none" w:sz="0" w:space="0" w:color="auto"/>
            <w:left w:val="none" w:sz="0" w:space="0" w:color="auto"/>
            <w:bottom w:val="none" w:sz="0" w:space="0" w:color="auto"/>
            <w:right w:val="none" w:sz="0" w:space="0" w:color="auto"/>
          </w:divBdr>
        </w:div>
        <w:div w:id="718019777">
          <w:marLeft w:val="0"/>
          <w:marRight w:val="0"/>
          <w:marTop w:val="0"/>
          <w:marBottom w:val="0"/>
          <w:divBdr>
            <w:top w:val="none" w:sz="0" w:space="0" w:color="auto"/>
            <w:left w:val="none" w:sz="0" w:space="0" w:color="auto"/>
            <w:bottom w:val="none" w:sz="0" w:space="0" w:color="auto"/>
            <w:right w:val="none" w:sz="0" w:space="0" w:color="auto"/>
          </w:divBdr>
        </w:div>
        <w:div w:id="654382675">
          <w:marLeft w:val="0"/>
          <w:marRight w:val="0"/>
          <w:marTop w:val="0"/>
          <w:marBottom w:val="0"/>
          <w:divBdr>
            <w:top w:val="none" w:sz="0" w:space="0" w:color="auto"/>
            <w:left w:val="none" w:sz="0" w:space="0" w:color="auto"/>
            <w:bottom w:val="none" w:sz="0" w:space="0" w:color="auto"/>
            <w:right w:val="none" w:sz="0" w:space="0" w:color="auto"/>
          </w:divBdr>
        </w:div>
        <w:div w:id="235286985">
          <w:marLeft w:val="0"/>
          <w:marRight w:val="0"/>
          <w:marTop w:val="0"/>
          <w:marBottom w:val="0"/>
          <w:divBdr>
            <w:top w:val="none" w:sz="0" w:space="0" w:color="auto"/>
            <w:left w:val="none" w:sz="0" w:space="0" w:color="auto"/>
            <w:bottom w:val="none" w:sz="0" w:space="0" w:color="auto"/>
            <w:right w:val="none" w:sz="0" w:space="0" w:color="auto"/>
          </w:divBdr>
        </w:div>
        <w:div w:id="2050446896">
          <w:marLeft w:val="0"/>
          <w:marRight w:val="0"/>
          <w:marTop w:val="0"/>
          <w:marBottom w:val="0"/>
          <w:divBdr>
            <w:top w:val="none" w:sz="0" w:space="0" w:color="auto"/>
            <w:left w:val="none" w:sz="0" w:space="0" w:color="auto"/>
            <w:bottom w:val="none" w:sz="0" w:space="0" w:color="auto"/>
            <w:right w:val="none" w:sz="0" w:space="0" w:color="auto"/>
          </w:divBdr>
        </w:div>
      </w:divsChild>
    </w:div>
    <w:div w:id="72700552">
      <w:bodyDiv w:val="1"/>
      <w:marLeft w:val="0"/>
      <w:marRight w:val="0"/>
      <w:marTop w:val="0"/>
      <w:marBottom w:val="0"/>
      <w:divBdr>
        <w:top w:val="none" w:sz="0" w:space="0" w:color="auto"/>
        <w:left w:val="none" w:sz="0" w:space="0" w:color="auto"/>
        <w:bottom w:val="none" w:sz="0" w:space="0" w:color="auto"/>
        <w:right w:val="none" w:sz="0" w:space="0" w:color="auto"/>
      </w:divBdr>
      <w:divsChild>
        <w:div w:id="1464883578">
          <w:marLeft w:val="0"/>
          <w:marRight w:val="0"/>
          <w:marTop w:val="0"/>
          <w:marBottom w:val="0"/>
          <w:divBdr>
            <w:top w:val="none" w:sz="0" w:space="0" w:color="auto"/>
            <w:left w:val="none" w:sz="0" w:space="0" w:color="auto"/>
            <w:bottom w:val="none" w:sz="0" w:space="0" w:color="auto"/>
            <w:right w:val="none" w:sz="0" w:space="0" w:color="auto"/>
          </w:divBdr>
        </w:div>
        <w:div w:id="990257134">
          <w:marLeft w:val="0"/>
          <w:marRight w:val="0"/>
          <w:marTop w:val="0"/>
          <w:marBottom w:val="0"/>
          <w:divBdr>
            <w:top w:val="none" w:sz="0" w:space="0" w:color="auto"/>
            <w:left w:val="none" w:sz="0" w:space="0" w:color="auto"/>
            <w:bottom w:val="none" w:sz="0" w:space="0" w:color="auto"/>
            <w:right w:val="none" w:sz="0" w:space="0" w:color="auto"/>
          </w:divBdr>
        </w:div>
      </w:divsChild>
    </w:div>
    <w:div w:id="97915474">
      <w:bodyDiv w:val="1"/>
      <w:marLeft w:val="0"/>
      <w:marRight w:val="0"/>
      <w:marTop w:val="0"/>
      <w:marBottom w:val="0"/>
      <w:divBdr>
        <w:top w:val="none" w:sz="0" w:space="0" w:color="auto"/>
        <w:left w:val="none" w:sz="0" w:space="0" w:color="auto"/>
        <w:bottom w:val="none" w:sz="0" w:space="0" w:color="auto"/>
        <w:right w:val="none" w:sz="0" w:space="0" w:color="auto"/>
      </w:divBdr>
      <w:divsChild>
        <w:div w:id="677267745">
          <w:marLeft w:val="0"/>
          <w:marRight w:val="0"/>
          <w:marTop w:val="0"/>
          <w:marBottom w:val="0"/>
          <w:divBdr>
            <w:top w:val="none" w:sz="0" w:space="0" w:color="auto"/>
            <w:left w:val="none" w:sz="0" w:space="0" w:color="auto"/>
            <w:bottom w:val="none" w:sz="0" w:space="0" w:color="auto"/>
            <w:right w:val="none" w:sz="0" w:space="0" w:color="auto"/>
          </w:divBdr>
        </w:div>
        <w:div w:id="496379786">
          <w:marLeft w:val="0"/>
          <w:marRight w:val="0"/>
          <w:marTop w:val="0"/>
          <w:marBottom w:val="0"/>
          <w:divBdr>
            <w:top w:val="none" w:sz="0" w:space="0" w:color="auto"/>
            <w:left w:val="none" w:sz="0" w:space="0" w:color="auto"/>
            <w:bottom w:val="none" w:sz="0" w:space="0" w:color="auto"/>
            <w:right w:val="none" w:sz="0" w:space="0" w:color="auto"/>
          </w:divBdr>
        </w:div>
        <w:div w:id="1653825646">
          <w:marLeft w:val="0"/>
          <w:marRight w:val="0"/>
          <w:marTop w:val="0"/>
          <w:marBottom w:val="0"/>
          <w:divBdr>
            <w:top w:val="none" w:sz="0" w:space="0" w:color="auto"/>
            <w:left w:val="none" w:sz="0" w:space="0" w:color="auto"/>
            <w:bottom w:val="none" w:sz="0" w:space="0" w:color="auto"/>
            <w:right w:val="none" w:sz="0" w:space="0" w:color="auto"/>
          </w:divBdr>
        </w:div>
        <w:div w:id="1936209285">
          <w:marLeft w:val="0"/>
          <w:marRight w:val="0"/>
          <w:marTop w:val="0"/>
          <w:marBottom w:val="0"/>
          <w:divBdr>
            <w:top w:val="none" w:sz="0" w:space="0" w:color="auto"/>
            <w:left w:val="none" w:sz="0" w:space="0" w:color="auto"/>
            <w:bottom w:val="none" w:sz="0" w:space="0" w:color="auto"/>
            <w:right w:val="none" w:sz="0" w:space="0" w:color="auto"/>
          </w:divBdr>
        </w:div>
        <w:div w:id="1122920194">
          <w:marLeft w:val="0"/>
          <w:marRight w:val="0"/>
          <w:marTop w:val="0"/>
          <w:marBottom w:val="0"/>
          <w:divBdr>
            <w:top w:val="none" w:sz="0" w:space="0" w:color="auto"/>
            <w:left w:val="none" w:sz="0" w:space="0" w:color="auto"/>
            <w:bottom w:val="none" w:sz="0" w:space="0" w:color="auto"/>
            <w:right w:val="none" w:sz="0" w:space="0" w:color="auto"/>
          </w:divBdr>
        </w:div>
        <w:div w:id="1794784887">
          <w:marLeft w:val="0"/>
          <w:marRight w:val="0"/>
          <w:marTop w:val="0"/>
          <w:marBottom w:val="0"/>
          <w:divBdr>
            <w:top w:val="none" w:sz="0" w:space="0" w:color="auto"/>
            <w:left w:val="none" w:sz="0" w:space="0" w:color="auto"/>
            <w:bottom w:val="none" w:sz="0" w:space="0" w:color="auto"/>
            <w:right w:val="none" w:sz="0" w:space="0" w:color="auto"/>
          </w:divBdr>
        </w:div>
      </w:divsChild>
    </w:div>
    <w:div w:id="131363013">
      <w:bodyDiv w:val="1"/>
      <w:marLeft w:val="0"/>
      <w:marRight w:val="0"/>
      <w:marTop w:val="0"/>
      <w:marBottom w:val="0"/>
      <w:divBdr>
        <w:top w:val="none" w:sz="0" w:space="0" w:color="auto"/>
        <w:left w:val="none" w:sz="0" w:space="0" w:color="auto"/>
        <w:bottom w:val="none" w:sz="0" w:space="0" w:color="auto"/>
        <w:right w:val="none" w:sz="0" w:space="0" w:color="auto"/>
      </w:divBdr>
      <w:divsChild>
        <w:div w:id="671378252">
          <w:marLeft w:val="0"/>
          <w:marRight w:val="0"/>
          <w:marTop w:val="0"/>
          <w:marBottom w:val="0"/>
          <w:divBdr>
            <w:top w:val="none" w:sz="0" w:space="0" w:color="auto"/>
            <w:left w:val="none" w:sz="0" w:space="0" w:color="auto"/>
            <w:bottom w:val="none" w:sz="0" w:space="0" w:color="auto"/>
            <w:right w:val="none" w:sz="0" w:space="0" w:color="auto"/>
          </w:divBdr>
        </w:div>
        <w:div w:id="1631206921">
          <w:marLeft w:val="0"/>
          <w:marRight w:val="0"/>
          <w:marTop w:val="0"/>
          <w:marBottom w:val="0"/>
          <w:divBdr>
            <w:top w:val="none" w:sz="0" w:space="0" w:color="auto"/>
            <w:left w:val="none" w:sz="0" w:space="0" w:color="auto"/>
            <w:bottom w:val="none" w:sz="0" w:space="0" w:color="auto"/>
            <w:right w:val="none" w:sz="0" w:space="0" w:color="auto"/>
          </w:divBdr>
        </w:div>
        <w:div w:id="471574">
          <w:marLeft w:val="0"/>
          <w:marRight w:val="0"/>
          <w:marTop w:val="0"/>
          <w:marBottom w:val="0"/>
          <w:divBdr>
            <w:top w:val="none" w:sz="0" w:space="0" w:color="auto"/>
            <w:left w:val="none" w:sz="0" w:space="0" w:color="auto"/>
            <w:bottom w:val="none" w:sz="0" w:space="0" w:color="auto"/>
            <w:right w:val="none" w:sz="0" w:space="0" w:color="auto"/>
          </w:divBdr>
        </w:div>
        <w:div w:id="502553441">
          <w:marLeft w:val="0"/>
          <w:marRight w:val="0"/>
          <w:marTop w:val="0"/>
          <w:marBottom w:val="0"/>
          <w:divBdr>
            <w:top w:val="none" w:sz="0" w:space="0" w:color="auto"/>
            <w:left w:val="none" w:sz="0" w:space="0" w:color="auto"/>
            <w:bottom w:val="none" w:sz="0" w:space="0" w:color="auto"/>
            <w:right w:val="none" w:sz="0" w:space="0" w:color="auto"/>
          </w:divBdr>
        </w:div>
        <w:div w:id="948007654">
          <w:marLeft w:val="0"/>
          <w:marRight w:val="0"/>
          <w:marTop w:val="0"/>
          <w:marBottom w:val="0"/>
          <w:divBdr>
            <w:top w:val="none" w:sz="0" w:space="0" w:color="auto"/>
            <w:left w:val="none" w:sz="0" w:space="0" w:color="auto"/>
            <w:bottom w:val="none" w:sz="0" w:space="0" w:color="auto"/>
            <w:right w:val="none" w:sz="0" w:space="0" w:color="auto"/>
          </w:divBdr>
        </w:div>
        <w:div w:id="7562182">
          <w:marLeft w:val="0"/>
          <w:marRight w:val="0"/>
          <w:marTop w:val="0"/>
          <w:marBottom w:val="0"/>
          <w:divBdr>
            <w:top w:val="none" w:sz="0" w:space="0" w:color="auto"/>
            <w:left w:val="none" w:sz="0" w:space="0" w:color="auto"/>
            <w:bottom w:val="none" w:sz="0" w:space="0" w:color="auto"/>
            <w:right w:val="none" w:sz="0" w:space="0" w:color="auto"/>
          </w:divBdr>
        </w:div>
        <w:div w:id="1056588497">
          <w:marLeft w:val="0"/>
          <w:marRight w:val="0"/>
          <w:marTop w:val="0"/>
          <w:marBottom w:val="0"/>
          <w:divBdr>
            <w:top w:val="none" w:sz="0" w:space="0" w:color="auto"/>
            <w:left w:val="none" w:sz="0" w:space="0" w:color="auto"/>
            <w:bottom w:val="none" w:sz="0" w:space="0" w:color="auto"/>
            <w:right w:val="none" w:sz="0" w:space="0" w:color="auto"/>
          </w:divBdr>
        </w:div>
        <w:div w:id="1548495110">
          <w:marLeft w:val="0"/>
          <w:marRight w:val="0"/>
          <w:marTop w:val="0"/>
          <w:marBottom w:val="0"/>
          <w:divBdr>
            <w:top w:val="none" w:sz="0" w:space="0" w:color="auto"/>
            <w:left w:val="none" w:sz="0" w:space="0" w:color="auto"/>
            <w:bottom w:val="none" w:sz="0" w:space="0" w:color="auto"/>
            <w:right w:val="none" w:sz="0" w:space="0" w:color="auto"/>
          </w:divBdr>
        </w:div>
        <w:div w:id="1668940911">
          <w:marLeft w:val="0"/>
          <w:marRight w:val="0"/>
          <w:marTop w:val="0"/>
          <w:marBottom w:val="0"/>
          <w:divBdr>
            <w:top w:val="none" w:sz="0" w:space="0" w:color="auto"/>
            <w:left w:val="none" w:sz="0" w:space="0" w:color="auto"/>
            <w:bottom w:val="none" w:sz="0" w:space="0" w:color="auto"/>
            <w:right w:val="none" w:sz="0" w:space="0" w:color="auto"/>
          </w:divBdr>
        </w:div>
        <w:div w:id="536966314">
          <w:marLeft w:val="0"/>
          <w:marRight w:val="0"/>
          <w:marTop w:val="0"/>
          <w:marBottom w:val="0"/>
          <w:divBdr>
            <w:top w:val="none" w:sz="0" w:space="0" w:color="auto"/>
            <w:left w:val="none" w:sz="0" w:space="0" w:color="auto"/>
            <w:bottom w:val="none" w:sz="0" w:space="0" w:color="auto"/>
            <w:right w:val="none" w:sz="0" w:space="0" w:color="auto"/>
          </w:divBdr>
        </w:div>
        <w:div w:id="951714810">
          <w:marLeft w:val="0"/>
          <w:marRight w:val="0"/>
          <w:marTop w:val="0"/>
          <w:marBottom w:val="0"/>
          <w:divBdr>
            <w:top w:val="none" w:sz="0" w:space="0" w:color="auto"/>
            <w:left w:val="none" w:sz="0" w:space="0" w:color="auto"/>
            <w:bottom w:val="none" w:sz="0" w:space="0" w:color="auto"/>
            <w:right w:val="none" w:sz="0" w:space="0" w:color="auto"/>
          </w:divBdr>
        </w:div>
      </w:divsChild>
    </w:div>
    <w:div w:id="160048376">
      <w:bodyDiv w:val="1"/>
      <w:marLeft w:val="0"/>
      <w:marRight w:val="0"/>
      <w:marTop w:val="0"/>
      <w:marBottom w:val="0"/>
      <w:divBdr>
        <w:top w:val="none" w:sz="0" w:space="0" w:color="auto"/>
        <w:left w:val="none" w:sz="0" w:space="0" w:color="auto"/>
        <w:bottom w:val="none" w:sz="0" w:space="0" w:color="auto"/>
        <w:right w:val="none" w:sz="0" w:space="0" w:color="auto"/>
      </w:divBdr>
      <w:divsChild>
        <w:div w:id="1371415771">
          <w:marLeft w:val="0"/>
          <w:marRight w:val="0"/>
          <w:marTop w:val="0"/>
          <w:marBottom w:val="0"/>
          <w:divBdr>
            <w:top w:val="none" w:sz="0" w:space="0" w:color="auto"/>
            <w:left w:val="none" w:sz="0" w:space="0" w:color="auto"/>
            <w:bottom w:val="none" w:sz="0" w:space="0" w:color="auto"/>
            <w:right w:val="none" w:sz="0" w:space="0" w:color="auto"/>
          </w:divBdr>
        </w:div>
      </w:divsChild>
    </w:div>
    <w:div w:id="172427604">
      <w:bodyDiv w:val="1"/>
      <w:marLeft w:val="0"/>
      <w:marRight w:val="0"/>
      <w:marTop w:val="0"/>
      <w:marBottom w:val="0"/>
      <w:divBdr>
        <w:top w:val="none" w:sz="0" w:space="0" w:color="auto"/>
        <w:left w:val="none" w:sz="0" w:space="0" w:color="auto"/>
        <w:bottom w:val="none" w:sz="0" w:space="0" w:color="auto"/>
        <w:right w:val="none" w:sz="0" w:space="0" w:color="auto"/>
      </w:divBdr>
      <w:divsChild>
        <w:div w:id="382674948">
          <w:marLeft w:val="0"/>
          <w:marRight w:val="0"/>
          <w:marTop w:val="0"/>
          <w:marBottom w:val="0"/>
          <w:divBdr>
            <w:top w:val="none" w:sz="0" w:space="0" w:color="auto"/>
            <w:left w:val="none" w:sz="0" w:space="0" w:color="auto"/>
            <w:bottom w:val="none" w:sz="0" w:space="0" w:color="auto"/>
            <w:right w:val="none" w:sz="0" w:space="0" w:color="auto"/>
          </w:divBdr>
        </w:div>
        <w:div w:id="708720817">
          <w:marLeft w:val="0"/>
          <w:marRight w:val="0"/>
          <w:marTop w:val="0"/>
          <w:marBottom w:val="0"/>
          <w:divBdr>
            <w:top w:val="none" w:sz="0" w:space="0" w:color="auto"/>
            <w:left w:val="none" w:sz="0" w:space="0" w:color="auto"/>
            <w:bottom w:val="none" w:sz="0" w:space="0" w:color="auto"/>
            <w:right w:val="none" w:sz="0" w:space="0" w:color="auto"/>
          </w:divBdr>
        </w:div>
        <w:div w:id="1711488893">
          <w:marLeft w:val="0"/>
          <w:marRight w:val="0"/>
          <w:marTop w:val="0"/>
          <w:marBottom w:val="0"/>
          <w:divBdr>
            <w:top w:val="none" w:sz="0" w:space="0" w:color="auto"/>
            <w:left w:val="none" w:sz="0" w:space="0" w:color="auto"/>
            <w:bottom w:val="none" w:sz="0" w:space="0" w:color="auto"/>
            <w:right w:val="none" w:sz="0" w:space="0" w:color="auto"/>
          </w:divBdr>
        </w:div>
        <w:div w:id="835535882">
          <w:marLeft w:val="0"/>
          <w:marRight w:val="0"/>
          <w:marTop w:val="0"/>
          <w:marBottom w:val="0"/>
          <w:divBdr>
            <w:top w:val="none" w:sz="0" w:space="0" w:color="auto"/>
            <w:left w:val="none" w:sz="0" w:space="0" w:color="auto"/>
            <w:bottom w:val="none" w:sz="0" w:space="0" w:color="auto"/>
            <w:right w:val="none" w:sz="0" w:space="0" w:color="auto"/>
          </w:divBdr>
        </w:div>
        <w:div w:id="1202135952">
          <w:marLeft w:val="0"/>
          <w:marRight w:val="0"/>
          <w:marTop w:val="0"/>
          <w:marBottom w:val="0"/>
          <w:divBdr>
            <w:top w:val="none" w:sz="0" w:space="0" w:color="auto"/>
            <w:left w:val="none" w:sz="0" w:space="0" w:color="auto"/>
            <w:bottom w:val="none" w:sz="0" w:space="0" w:color="auto"/>
            <w:right w:val="none" w:sz="0" w:space="0" w:color="auto"/>
          </w:divBdr>
        </w:div>
        <w:div w:id="1596355789">
          <w:marLeft w:val="0"/>
          <w:marRight w:val="0"/>
          <w:marTop w:val="0"/>
          <w:marBottom w:val="0"/>
          <w:divBdr>
            <w:top w:val="none" w:sz="0" w:space="0" w:color="auto"/>
            <w:left w:val="none" w:sz="0" w:space="0" w:color="auto"/>
            <w:bottom w:val="none" w:sz="0" w:space="0" w:color="auto"/>
            <w:right w:val="none" w:sz="0" w:space="0" w:color="auto"/>
          </w:divBdr>
        </w:div>
      </w:divsChild>
    </w:div>
    <w:div w:id="205876493">
      <w:bodyDiv w:val="1"/>
      <w:marLeft w:val="0"/>
      <w:marRight w:val="0"/>
      <w:marTop w:val="0"/>
      <w:marBottom w:val="0"/>
      <w:divBdr>
        <w:top w:val="none" w:sz="0" w:space="0" w:color="auto"/>
        <w:left w:val="none" w:sz="0" w:space="0" w:color="auto"/>
        <w:bottom w:val="none" w:sz="0" w:space="0" w:color="auto"/>
        <w:right w:val="none" w:sz="0" w:space="0" w:color="auto"/>
      </w:divBdr>
      <w:divsChild>
        <w:div w:id="968896175">
          <w:marLeft w:val="0"/>
          <w:marRight w:val="0"/>
          <w:marTop w:val="0"/>
          <w:marBottom w:val="0"/>
          <w:divBdr>
            <w:top w:val="none" w:sz="0" w:space="0" w:color="auto"/>
            <w:left w:val="none" w:sz="0" w:space="0" w:color="auto"/>
            <w:bottom w:val="none" w:sz="0" w:space="0" w:color="auto"/>
            <w:right w:val="none" w:sz="0" w:space="0" w:color="auto"/>
          </w:divBdr>
        </w:div>
        <w:div w:id="1957638794">
          <w:marLeft w:val="0"/>
          <w:marRight w:val="0"/>
          <w:marTop w:val="0"/>
          <w:marBottom w:val="0"/>
          <w:divBdr>
            <w:top w:val="none" w:sz="0" w:space="0" w:color="auto"/>
            <w:left w:val="none" w:sz="0" w:space="0" w:color="auto"/>
            <w:bottom w:val="none" w:sz="0" w:space="0" w:color="auto"/>
            <w:right w:val="none" w:sz="0" w:space="0" w:color="auto"/>
          </w:divBdr>
        </w:div>
        <w:div w:id="1963264231">
          <w:marLeft w:val="0"/>
          <w:marRight w:val="0"/>
          <w:marTop w:val="0"/>
          <w:marBottom w:val="0"/>
          <w:divBdr>
            <w:top w:val="none" w:sz="0" w:space="0" w:color="auto"/>
            <w:left w:val="none" w:sz="0" w:space="0" w:color="auto"/>
            <w:bottom w:val="none" w:sz="0" w:space="0" w:color="auto"/>
            <w:right w:val="none" w:sz="0" w:space="0" w:color="auto"/>
          </w:divBdr>
        </w:div>
        <w:div w:id="2133551497">
          <w:marLeft w:val="0"/>
          <w:marRight w:val="0"/>
          <w:marTop w:val="0"/>
          <w:marBottom w:val="0"/>
          <w:divBdr>
            <w:top w:val="none" w:sz="0" w:space="0" w:color="auto"/>
            <w:left w:val="none" w:sz="0" w:space="0" w:color="auto"/>
            <w:bottom w:val="none" w:sz="0" w:space="0" w:color="auto"/>
            <w:right w:val="none" w:sz="0" w:space="0" w:color="auto"/>
          </w:divBdr>
        </w:div>
        <w:div w:id="1556895624">
          <w:marLeft w:val="0"/>
          <w:marRight w:val="0"/>
          <w:marTop w:val="0"/>
          <w:marBottom w:val="0"/>
          <w:divBdr>
            <w:top w:val="none" w:sz="0" w:space="0" w:color="auto"/>
            <w:left w:val="none" w:sz="0" w:space="0" w:color="auto"/>
            <w:bottom w:val="none" w:sz="0" w:space="0" w:color="auto"/>
            <w:right w:val="none" w:sz="0" w:space="0" w:color="auto"/>
          </w:divBdr>
        </w:div>
        <w:div w:id="529880294">
          <w:marLeft w:val="0"/>
          <w:marRight w:val="0"/>
          <w:marTop w:val="0"/>
          <w:marBottom w:val="0"/>
          <w:divBdr>
            <w:top w:val="none" w:sz="0" w:space="0" w:color="auto"/>
            <w:left w:val="none" w:sz="0" w:space="0" w:color="auto"/>
            <w:bottom w:val="none" w:sz="0" w:space="0" w:color="auto"/>
            <w:right w:val="none" w:sz="0" w:space="0" w:color="auto"/>
          </w:divBdr>
        </w:div>
      </w:divsChild>
    </w:div>
    <w:div w:id="225144179">
      <w:bodyDiv w:val="1"/>
      <w:marLeft w:val="0"/>
      <w:marRight w:val="0"/>
      <w:marTop w:val="0"/>
      <w:marBottom w:val="0"/>
      <w:divBdr>
        <w:top w:val="none" w:sz="0" w:space="0" w:color="auto"/>
        <w:left w:val="none" w:sz="0" w:space="0" w:color="auto"/>
        <w:bottom w:val="none" w:sz="0" w:space="0" w:color="auto"/>
        <w:right w:val="none" w:sz="0" w:space="0" w:color="auto"/>
      </w:divBdr>
    </w:div>
    <w:div w:id="243881456">
      <w:bodyDiv w:val="1"/>
      <w:marLeft w:val="0"/>
      <w:marRight w:val="0"/>
      <w:marTop w:val="0"/>
      <w:marBottom w:val="0"/>
      <w:divBdr>
        <w:top w:val="none" w:sz="0" w:space="0" w:color="auto"/>
        <w:left w:val="none" w:sz="0" w:space="0" w:color="auto"/>
        <w:bottom w:val="none" w:sz="0" w:space="0" w:color="auto"/>
        <w:right w:val="none" w:sz="0" w:space="0" w:color="auto"/>
      </w:divBdr>
      <w:divsChild>
        <w:div w:id="483668432">
          <w:marLeft w:val="0"/>
          <w:marRight w:val="0"/>
          <w:marTop w:val="0"/>
          <w:marBottom w:val="0"/>
          <w:divBdr>
            <w:top w:val="none" w:sz="0" w:space="0" w:color="auto"/>
            <w:left w:val="none" w:sz="0" w:space="0" w:color="auto"/>
            <w:bottom w:val="none" w:sz="0" w:space="0" w:color="auto"/>
            <w:right w:val="none" w:sz="0" w:space="0" w:color="auto"/>
          </w:divBdr>
        </w:div>
        <w:div w:id="442312076">
          <w:marLeft w:val="0"/>
          <w:marRight w:val="0"/>
          <w:marTop w:val="0"/>
          <w:marBottom w:val="0"/>
          <w:divBdr>
            <w:top w:val="none" w:sz="0" w:space="0" w:color="auto"/>
            <w:left w:val="none" w:sz="0" w:space="0" w:color="auto"/>
            <w:bottom w:val="none" w:sz="0" w:space="0" w:color="auto"/>
            <w:right w:val="none" w:sz="0" w:space="0" w:color="auto"/>
          </w:divBdr>
        </w:div>
      </w:divsChild>
    </w:div>
    <w:div w:id="259220207">
      <w:bodyDiv w:val="1"/>
      <w:marLeft w:val="0"/>
      <w:marRight w:val="0"/>
      <w:marTop w:val="0"/>
      <w:marBottom w:val="0"/>
      <w:divBdr>
        <w:top w:val="none" w:sz="0" w:space="0" w:color="auto"/>
        <w:left w:val="none" w:sz="0" w:space="0" w:color="auto"/>
        <w:bottom w:val="none" w:sz="0" w:space="0" w:color="auto"/>
        <w:right w:val="none" w:sz="0" w:space="0" w:color="auto"/>
      </w:divBdr>
      <w:divsChild>
        <w:div w:id="477452407">
          <w:marLeft w:val="0"/>
          <w:marRight w:val="0"/>
          <w:marTop w:val="0"/>
          <w:marBottom w:val="0"/>
          <w:divBdr>
            <w:top w:val="none" w:sz="0" w:space="0" w:color="auto"/>
            <w:left w:val="none" w:sz="0" w:space="0" w:color="auto"/>
            <w:bottom w:val="none" w:sz="0" w:space="0" w:color="auto"/>
            <w:right w:val="none" w:sz="0" w:space="0" w:color="auto"/>
          </w:divBdr>
          <w:divsChild>
            <w:div w:id="1878815409">
              <w:marLeft w:val="0"/>
              <w:marRight w:val="0"/>
              <w:marTop w:val="0"/>
              <w:marBottom w:val="0"/>
              <w:divBdr>
                <w:top w:val="none" w:sz="0" w:space="0" w:color="auto"/>
                <w:left w:val="none" w:sz="0" w:space="0" w:color="auto"/>
                <w:bottom w:val="none" w:sz="0" w:space="0" w:color="auto"/>
                <w:right w:val="none" w:sz="0" w:space="0" w:color="auto"/>
              </w:divBdr>
            </w:div>
          </w:divsChild>
        </w:div>
        <w:div w:id="49228730">
          <w:marLeft w:val="0"/>
          <w:marRight w:val="0"/>
          <w:marTop w:val="0"/>
          <w:marBottom w:val="0"/>
          <w:divBdr>
            <w:top w:val="none" w:sz="0" w:space="0" w:color="auto"/>
            <w:left w:val="none" w:sz="0" w:space="0" w:color="auto"/>
            <w:bottom w:val="none" w:sz="0" w:space="0" w:color="auto"/>
            <w:right w:val="none" w:sz="0" w:space="0" w:color="auto"/>
          </w:divBdr>
          <w:divsChild>
            <w:div w:id="570849392">
              <w:marLeft w:val="0"/>
              <w:marRight w:val="0"/>
              <w:marTop w:val="0"/>
              <w:marBottom w:val="0"/>
              <w:divBdr>
                <w:top w:val="none" w:sz="0" w:space="0" w:color="auto"/>
                <w:left w:val="none" w:sz="0" w:space="0" w:color="auto"/>
                <w:bottom w:val="none" w:sz="0" w:space="0" w:color="auto"/>
                <w:right w:val="none" w:sz="0" w:space="0" w:color="auto"/>
              </w:divBdr>
              <w:divsChild>
                <w:div w:id="1735855779">
                  <w:marLeft w:val="0"/>
                  <w:marRight w:val="0"/>
                  <w:marTop w:val="0"/>
                  <w:marBottom w:val="0"/>
                  <w:divBdr>
                    <w:top w:val="none" w:sz="0" w:space="0" w:color="auto"/>
                    <w:left w:val="none" w:sz="0" w:space="0" w:color="auto"/>
                    <w:bottom w:val="none" w:sz="0" w:space="0" w:color="auto"/>
                    <w:right w:val="none" w:sz="0" w:space="0" w:color="auto"/>
                  </w:divBdr>
                </w:div>
                <w:div w:id="270361542">
                  <w:marLeft w:val="300"/>
                  <w:marRight w:val="0"/>
                  <w:marTop w:val="0"/>
                  <w:marBottom w:val="0"/>
                  <w:divBdr>
                    <w:top w:val="none" w:sz="0" w:space="0" w:color="auto"/>
                    <w:left w:val="none" w:sz="0" w:space="0" w:color="auto"/>
                    <w:bottom w:val="none" w:sz="0" w:space="0" w:color="auto"/>
                    <w:right w:val="none" w:sz="0" w:space="0" w:color="auto"/>
                  </w:divBdr>
                </w:div>
                <w:div w:id="1246259230">
                  <w:marLeft w:val="300"/>
                  <w:marRight w:val="0"/>
                  <w:marTop w:val="0"/>
                  <w:marBottom w:val="0"/>
                  <w:divBdr>
                    <w:top w:val="none" w:sz="0" w:space="0" w:color="auto"/>
                    <w:left w:val="none" w:sz="0" w:space="0" w:color="auto"/>
                    <w:bottom w:val="none" w:sz="0" w:space="0" w:color="auto"/>
                    <w:right w:val="none" w:sz="0" w:space="0" w:color="auto"/>
                  </w:divBdr>
                </w:div>
                <w:div w:id="2028023968">
                  <w:marLeft w:val="300"/>
                  <w:marRight w:val="0"/>
                  <w:marTop w:val="0"/>
                  <w:marBottom w:val="0"/>
                  <w:divBdr>
                    <w:top w:val="none" w:sz="0" w:space="0" w:color="auto"/>
                    <w:left w:val="none" w:sz="0" w:space="0" w:color="auto"/>
                    <w:bottom w:val="none" w:sz="0" w:space="0" w:color="auto"/>
                    <w:right w:val="none" w:sz="0" w:space="0" w:color="auto"/>
                  </w:divBdr>
                </w:div>
                <w:div w:id="249892599">
                  <w:marLeft w:val="0"/>
                  <w:marRight w:val="0"/>
                  <w:marTop w:val="0"/>
                  <w:marBottom w:val="0"/>
                  <w:divBdr>
                    <w:top w:val="none" w:sz="0" w:space="0" w:color="auto"/>
                    <w:left w:val="none" w:sz="0" w:space="0" w:color="auto"/>
                    <w:bottom w:val="none" w:sz="0" w:space="0" w:color="auto"/>
                    <w:right w:val="none" w:sz="0" w:space="0" w:color="auto"/>
                  </w:divBdr>
                </w:div>
                <w:div w:id="73370248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5264">
      <w:bodyDiv w:val="1"/>
      <w:marLeft w:val="0"/>
      <w:marRight w:val="0"/>
      <w:marTop w:val="0"/>
      <w:marBottom w:val="0"/>
      <w:divBdr>
        <w:top w:val="none" w:sz="0" w:space="0" w:color="auto"/>
        <w:left w:val="none" w:sz="0" w:space="0" w:color="auto"/>
        <w:bottom w:val="none" w:sz="0" w:space="0" w:color="auto"/>
        <w:right w:val="none" w:sz="0" w:space="0" w:color="auto"/>
      </w:divBdr>
    </w:div>
    <w:div w:id="275910536">
      <w:bodyDiv w:val="1"/>
      <w:marLeft w:val="0"/>
      <w:marRight w:val="0"/>
      <w:marTop w:val="0"/>
      <w:marBottom w:val="0"/>
      <w:divBdr>
        <w:top w:val="none" w:sz="0" w:space="0" w:color="auto"/>
        <w:left w:val="none" w:sz="0" w:space="0" w:color="auto"/>
        <w:bottom w:val="none" w:sz="0" w:space="0" w:color="auto"/>
        <w:right w:val="none" w:sz="0" w:space="0" w:color="auto"/>
      </w:divBdr>
      <w:divsChild>
        <w:div w:id="1735155417">
          <w:marLeft w:val="0"/>
          <w:marRight w:val="0"/>
          <w:marTop w:val="0"/>
          <w:marBottom w:val="0"/>
          <w:divBdr>
            <w:top w:val="none" w:sz="0" w:space="0" w:color="auto"/>
            <w:left w:val="none" w:sz="0" w:space="0" w:color="auto"/>
            <w:bottom w:val="none" w:sz="0" w:space="0" w:color="auto"/>
            <w:right w:val="none" w:sz="0" w:space="0" w:color="auto"/>
          </w:divBdr>
        </w:div>
        <w:div w:id="1377509315">
          <w:marLeft w:val="0"/>
          <w:marRight w:val="0"/>
          <w:marTop w:val="0"/>
          <w:marBottom w:val="0"/>
          <w:divBdr>
            <w:top w:val="none" w:sz="0" w:space="0" w:color="auto"/>
            <w:left w:val="none" w:sz="0" w:space="0" w:color="auto"/>
            <w:bottom w:val="none" w:sz="0" w:space="0" w:color="auto"/>
            <w:right w:val="none" w:sz="0" w:space="0" w:color="auto"/>
          </w:divBdr>
        </w:div>
        <w:div w:id="537397218">
          <w:marLeft w:val="0"/>
          <w:marRight w:val="0"/>
          <w:marTop w:val="0"/>
          <w:marBottom w:val="0"/>
          <w:divBdr>
            <w:top w:val="none" w:sz="0" w:space="0" w:color="auto"/>
            <w:left w:val="none" w:sz="0" w:space="0" w:color="auto"/>
            <w:bottom w:val="none" w:sz="0" w:space="0" w:color="auto"/>
            <w:right w:val="none" w:sz="0" w:space="0" w:color="auto"/>
          </w:divBdr>
        </w:div>
        <w:div w:id="2051302845">
          <w:marLeft w:val="0"/>
          <w:marRight w:val="0"/>
          <w:marTop w:val="0"/>
          <w:marBottom w:val="0"/>
          <w:divBdr>
            <w:top w:val="none" w:sz="0" w:space="0" w:color="auto"/>
            <w:left w:val="none" w:sz="0" w:space="0" w:color="auto"/>
            <w:bottom w:val="none" w:sz="0" w:space="0" w:color="auto"/>
            <w:right w:val="none" w:sz="0" w:space="0" w:color="auto"/>
          </w:divBdr>
        </w:div>
        <w:div w:id="993603373">
          <w:marLeft w:val="0"/>
          <w:marRight w:val="0"/>
          <w:marTop w:val="0"/>
          <w:marBottom w:val="0"/>
          <w:divBdr>
            <w:top w:val="none" w:sz="0" w:space="0" w:color="auto"/>
            <w:left w:val="none" w:sz="0" w:space="0" w:color="auto"/>
            <w:bottom w:val="none" w:sz="0" w:space="0" w:color="auto"/>
            <w:right w:val="none" w:sz="0" w:space="0" w:color="auto"/>
          </w:divBdr>
        </w:div>
        <w:div w:id="1744253268">
          <w:marLeft w:val="0"/>
          <w:marRight w:val="0"/>
          <w:marTop w:val="0"/>
          <w:marBottom w:val="0"/>
          <w:divBdr>
            <w:top w:val="none" w:sz="0" w:space="0" w:color="auto"/>
            <w:left w:val="none" w:sz="0" w:space="0" w:color="auto"/>
            <w:bottom w:val="none" w:sz="0" w:space="0" w:color="auto"/>
            <w:right w:val="none" w:sz="0" w:space="0" w:color="auto"/>
          </w:divBdr>
        </w:div>
        <w:div w:id="32773750">
          <w:marLeft w:val="0"/>
          <w:marRight w:val="0"/>
          <w:marTop w:val="0"/>
          <w:marBottom w:val="0"/>
          <w:divBdr>
            <w:top w:val="none" w:sz="0" w:space="0" w:color="auto"/>
            <w:left w:val="none" w:sz="0" w:space="0" w:color="auto"/>
            <w:bottom w:val="none" w:sz="0" w:space="0" w:color="auto"/>
            <w:right w:val="none" w:sz="0" w:space="0" w:color="auto"/>
          </w:divBdr>
        </w:div>
        <w:div w:id="920484037">
          <w:marLeft w:val="0"/>
          <w:marRight w:val="0"/>
          <w:marTop w:val="0"/>
          <w:marBottom w:val="0"/>
          <w:divBdr>
            <w:top w:val="none" w:sz="0" w:space="0" w:color="auto"/>
            <w:left w:val="none" w:sz="0" w:space="0" w:color="auto"/>
            <w:bottom w:val="none" w:sz="0" w:space="0" w:color="auto"/>
            <w:right w:val="none" w:sz="0" w:space="0" w:color="auto"/>
          </w:divBdr>
        </w:div>
        <w:div w:id="1364356346">
          <w:marLeft w:val="0"/>
          <w:marRight w:val="0"/>
          <w:marTop w:val="0"/>
          <w:marBottom w:val="0"/>
          <w:divBdr>
            <w:top w:val="none" w:sz="0" w:space="0" w:color="auto"/>
            <w:left w:val="none" w:sz="0" w:space="0" w:color="auto"/>
            <w:bottom w:val="none" w:sz="0" w:space="0" w:color="auto"/>
            <w:right w:val="none" w:sz="0" w:space="0" w:color="auto"/>
          </w:divBdr>
        </w:div>
        <w:div w:id="1836142911">
          <w:marLeft w:val="0"/>
          <w:marRight w:val="0"/>
          <w:marTop w:val="0"/>
          <w:marBottom w:val="0"/>
          <w:divBdr>
            <w:top w:val="none" w:sz="0" w:space="0" w:color="auto"/>
            <w:left w:val="none" w:sz="0" w:space="0" w:color="auto"/>
            <w:bottom w:val="none" w:sz="0" w:space="0" w:color="auto"/>
            <w:right w:val="none" w:sz="0" w:space="0" w:color="auto"/>
          </w:divBdr>
        </w:div>
        <w:div w:id="2137210818">
          <w:marLeft w:val="0"/>
          <w:marRight w:val="0"/>
          <w:marTop w:val="0"/>
          <w:marBottom w:val="0"/>
          <w:divBdr>
            <w:top w:val="none" w:sz="0" w:space="0" w:color="auto"/>
            <w:left w:val="none" w:sz="0" w:space="0" w:color="auto"/>
            <w:bottom w:val="none" w:sz="0" w:space="0" w:color="auto"/>
            <w:right w:val="none" w:sz="0" w:space="0" w:color="auto"/>
          </w:divBdr>
        </w:div>
        <w:div w:id="2120030256">
          <w:marLeft w:val="0"/>
          <w:marRight w:val="0"/>
          <w:marTop w:val="0"/>
          <w:marBottom w:val="0"/>
          <w:divBdr>
            <w:top w:val="none" w:sz="0" w:space="0" w:color="auto"/>
            <w:left w:val="none" w:sz="0" w:space="0" w:color="auto"/>
            <w:bottom w:val="none" w:sz="0" w:space="0" w:color="auto"/>
            <w:right w:val="none" w:sz="0" w:space="0" w:color="auto"/>
          </w:divBdr>
        </w:div>
        <w:div w:id="1759983758">
          <w:marLeft w:val="0"/>
          <w:marRight w:val="0"/>
          <w:marTop w:val="0"/>
          <w:marBottom w:val="0"/>
          <w:divBdr>
            <w:top w:val="none" w:sz="0" w:space="0" w:color="auto"/>
            <w:left w:val="none" w:sz="0" w:space="0" w:color="auto"/>
            <w:bottom w:val="none" w:sz="0" w:space="0" w:color="auto"/>
            <w:right w:val="none" w:sz="0" w:space="0" w:color="auto"/>
          </w:divBdr>
        </w:div>
        <w:div w:id="720516432">
          <w:marLeft w:val="0"/>
          <w:marRight w:val="0"/>
          <w:marTop w:val="0"/>
          <w:marBottom w:val="0"/>
          <w:divBdr>
            <w:top w:val="none" w:sz="0" w:space="0" w:color="auto"/>
            <w:left w:val="none" w:sz="0" w:space="0" w:color="auto"/>
            <w:bottom w:val="none" w:sz="0" w:space="0" w:color="auto"/>
            <w:right w:val="none" w:sz="0" w:space="0" w:color="auto"/>
          </w:divBdr>
        </w:div>
        <w:div w:id="1669169092">
          <w:marLeft w:val="0"/>
          <w:marRight w:val="0"/>
          <w:marTop w:val="0"/>
          <w:marBottom w:val="0"/>
          <w:divBdr>
            <w:top w:val="none" w:sz="0" w:space="0" w:color="auto"/>
            <w:left w:val="none" w:sz="0" w:space="0" w:color="auto"/>
            <w:bottom w:val="none" w:sz="0" w:space="0" w:color="auto"/>
            <w:right w:val="none" w:sz="0" w:space="0" w:color="auto"/>
          </w:divBdr>
        </w:div>
        <w:div w:id="559053875">
          <w:marLeft w:val="0"/>
          <w:marRight w:val="0"/>
          <w:marTop w:val="0"/>
          <w:marBottom w:val="0"/>
          <w:divBdr>
            <w:top w:val="none" w:sz="0" w:space="0" w:color="auto"/>
            <w:left w:val="none" w:sz="0" w:space="0" w:color="auto"/>
            <w:bottom w:val="none" w:sz="0" w:space="0" w:color="auto"/>
            <w:right w:val="none" w:sz="0" w:space="0" w:color="auto"/>
          </w:divBdr>
        </w:div>
        <w:div w:id="1535728924">
          <w:marLeft w:val="0"/>
          <w:marRight w:val="0"/>
          <w:marTop w:val="0"/>
          <w:marBottom w:val="0"/>
          <w:divBdr>
            <w:top w:val="none" w:sz="0" w:space="0" w:color="auto"/>
            <w:left w:val="none" w:sz="0" w:space="0" w:color="auto"/>
            <w:bottom w:val="none" w:sz="0" w:space="0" w:color="auto"/>
            <w:right w:val="none" w:sz="0" w:space="0" w:color="auto"/>
          </w:divBdr>
        </w:div>
      </w:divsChild>
    </w:div>
    <w:div w:id="278533201">
      <w:bodyDiv w:val="1"/>
      <w:marLeft w:val="0"/>
      <w:marRight w:val="0"/>
      <w:marTop w:val="0"/>
      <w:marBottom w:val="0"/>
      <w:divBdr>
        <w:top w:val="none" w:sz="0" w:space="0" w:color="auto"/>
        <w:left w:val="none" w:sz="0" w:space="0" w:color="auto"/>
        <w:bottom w:val="none" w:sz="0" w:space="0" w:color="auto"/>
        <w:right w:val="none" w:sz="0" w:space="0" w:color="auto"/>
      </w:divBdr>
    </w:div>
    <w:div w:id="312877988">
      <w:bodyDiv w:val="1"/>
      <w:marLeft w:val="0"/>
      <w:marRight w:val="0"/>
      <w:marTop w:val="0"/>
      <w:marBottom w:val="0"/>
      <w:divBdr>
        <w:top w:val="none" w:sz="0" w:space="0" w:color="auto"/>
        <w:left w:val="none" w:sz="0" w:space="0" w:color="auto"/>
        <w:bottom w:val="none" w:sz="0" w:space="0" w:color="auto"/>
        <w:right w:val="none" w:sz="0" w:space="0" w:color="auto"/>
      </w:divBdr>
    </w:div>
    <w:div w:id="342899972">
      <w:bodyDiv w:val="1"/>
      <w:marLeft w:val="0"/>
      <w:marRight w:val="0"/>
      <w:marTop w:val="0"/>
      <w:marBottom w:val="0"/>
      <w:divBdr>
        <w:top w:val="none" w:sz="0" w:space="0" w:color="auto"/>
        <w:left w:val="none" w:sz="0" w:space="0" w:color="auto"/>
        <w:bottom w:val="none" w:sz="0" w:space="0" w:color="auto"/>
        <w:right w:val="none" w:sz="0" w:space="0" w:color="auto"/>
      </w:divBdr>
      <w:divsChild>
        <w:div w:id="142628548">
          <w:marLeft w:val="0"/>
          <w:marRight w:val="0"/>
          <w:marTop w:val="0"/>
          <w:marBottom w:val="0"/>
          <w:divBdr>
            <w:top w:val="none" w:sz="0" w:space="0" w:color="auto"/>
            <w:left w:val="none" w:sz="0" w:space="0" w:color="auto"/>
            <w:bottom w:val="none" w:sz="0" w:space="0" w:color="auto"/>
            <w:right w:val="none" w:sz="0" w:space="0" w:color="auto"/>
          </w:divBdr>
        </w:div>
        <w:div w:id="875965993">
          <w:marLeft w:val="0"/>
          <w:marRight w:val="0"/>
          <w:marTop w:val="0"/>
          <w:marBottom w:val="0"/>
          <w:divBdr>
            <w:top w:val="none" w:sz="0" w:space="0" w:color="auto"/>
            <w:left w:val="none" w:sz="0" w:space="0" w:color="auto"/>
            <w:bottom w:val="none" w:sz="0" w:space="0" w:color="auto"/>
            <w:right w:val="none" w:sz="0" w:space="0" w:color="auto"/>
          </w:divBdr>
        </w:div>
        <w:div w:id="1631939044">
          <w:marLeft w:val="0"/>
          <w:marRight w:val="0"/>
          <w:marTop w:val="0"/>
          <w:marBottom w:val="0"/>
          <w:divBdr>
            <w:top w:val="none" w:sz="0" w:space="0" w:color="auto"/>
            <w:left w:val="none" w:sz="0" w:space="0" w:color="auto"/>
            <w:bottom w:val="none" w:sz="0" w:space="0" w:color="auto"/>
            <w:right w:val="none" w:sz="0" w:space="0" w:color="auto"/>
          </w:divBdr>
        </w:div>
        <w:div w:id="1736317505">
          <w:marLeft w:val="0"/>
          <w:marRight w:val="0"/>
          <w:marTop w:val="0"/>
          <w:marBottom w:val="0"/>
          <w:divBdr>
            <w:top w:val="none" w:sz="0" w:space="0" w:color="auto"/>
            <w:left w:val="none" w:sz="0" w:space="0" w:color="auto"/>
            <w:bottom w:val="none" w:sz="0" w:space="0" w:color="auto"/>
            <w:right w:val="none" w:sz="0" w:space="0" w:color="auto"/>
          </w:divBdr>
        </w:div>
        <w:div w:id="1112285078">
          <w:marLeft w:val="0"/>
          <w:marRight w:val="0"/>
          <w:marTop w:val="0"/>
          <w:marBottom w:val="0"/>
          <w:divBdr>
            <w:top w:val="none" w:sz="0" w:space="0" w:color="auto"/>
            <w:left w:val="none" w:sz="0" w:space="0" w:color="auto"/>
            <w:bottom w:val="none" w:sz="0" w:space="0" w:color="auto"/>
            <w:right w:val="none" w:sz="0" w:space="0" w:color="auto"/>
          </w:divBdr>
        </w:div>
        <w:div w:id="1288272745">
          <w:marLeft w:val="0"/>
          <w:marRight w:val="0"/>
          <w:marTop w:val="0"/>
          <w:marBottom w:val="0"/>
          <w:divBdr>
            <w:top w:val="none" w:sz="0" w:space="0" w:color="auto"/>
            <w:left w:val="none" w:sz="0" w:space="0" w:color="auto"/>
            <w:bottom w:val="none" w:sz="0" w:space="0" w:color="auto"/>
            <w:right w:val="none" w:sz="0" w:space="0" w:color="auto"/>
          </w:divBdr>
        </w:div>
        <w:div w:id="540749901">
          <w:marLeft w:val="0"/>
          <w:marRight w:val="0"/>
          <w:marTop w:val="0"/>
          <w:marBottom w:val="0"/>
          <w:divBdr>
            <w:top w:val="none" w:sz="0" w:space="0" w:color="auto"/>
            <w:left w:val="none" w:sz="0" w:space="0" w:color="auto"/>
            <w:bottom w:val="none" w:sz="0" w:space="0" w:color="auto"/>
            <w:right w:val="none" w:sz="0" w:space="0" w:color="auto"/>
          </w:divBdr>
        </w:div>
        <w:div w:id="200166936">
          <w:marLeft w:val="0"/>
          <w:marRight w:val="0"/>
          <w:marTop w:val="0"/>
          <w:marBottom w:val="0"/>
          <w:divBdr>
            <w:top w:val="none" w:sz="0" w:space="0" w:color="auto"/>
            <w:left w:val="none" w:sz="0" w:space="0" w:color="auto"/>
            <w:bottom w:val="none" w:sz="0" w:space="0" w:color="auto"/>
            <w:right w:val="none" w:sz="0" w:space="0" w:color="auto"/>
          </w:divBdr>
        </w:div>
        <w:div w:id="2101413650">
          <w:marLeft w:val="0"/>
          <w:marRight w:val="0"/>
          <w:marTop w:val="0"/>
          <w:marBottom w:val="0"/>
          <w:divBdr>
            <w:top w:val="none" w:sz="0" w:space="0" w:color="auto"/>
            <w:left w:val="none" w:sz="0" w:space="0" w:color="auto"/>
            <w:bottom w:val="none" w:sz="0" w:space="0" w:color="auto"/>
            <w:right w:val="none" w:sz="0" w:space="0" w:color="auto"/>
          </w:divBdr>
        </w:div>
        <w:div w:id="1295909036">
          <w:marLeft w:val="0"/>
          <w:marRight w:val="0"/>
          <w:marTop w:val="0"/>
          <w:marBottom w:val="0"/>
          <w:divBdr>
            <w:top w:val="none" w:sz="0" w:space="0" w:color="auto"/>
            <w:left w:val="none" w:sz="0" w:space="0" w:color="auto"/>
            <w:bottom w:val="none" w:sz="0" w:space="0" w:color="auto"/>
            <w:right w:val="none" w:sz="0" w:space="0" w:color="auto"/>
          </w:divBdr>
        </w:div>
        <w:div w:id="1536694590">
          <w:marLeft w:val="0"/>
          <w:marRight w:val="0"/>
          <w:marTop w:val="0"/>
          <w:marBottom w:val="0"/>
          <w:divBdr>
            <w:top w:val="none" w:sz="0" w:space="0" w:color="auto"/>
            <w:left w:val="none" w:sz="0" w:space="0" w:color="auto"/>
            <w:bottom w:val="none" w:sz="0" w:space="0" w:color="auto"/>
            <w:right w:val="none" w:sz="0" w:space="0" w:color="auto"/>
          </w:divBdr>
        </w:div>
        <w:div w:id="1768964124">
          <w:marLeft w:val="0"/>
          <w:marRight w:val="0"/>
          <w:marTop w:val="0"/>
          <w:marBottom w:val="0"/>
          <w:divBdr>
            <w:top w:val="none" w:sz="0" w:space="0" w:color="auto"/>
            <w:left w:val="none" w:sz="0" w:space="0" w:color="auto"/>
            <w:bottom w:val="none" w:sz="0" w:space="0" w:color="auto"/>
            <w:right w:val="none" w:sz="0" w:space="0" w:color="auto"/>
          </w:divBdr>
        </w:div>
      </w:divsChild>
    </w:div>
    <w:div w:id="349796281">
      <w:bodyDiv w:val="1"/>
      <w:marLeft w:val="0"/>
      <w:marRight w:val="0"/>
      <w:marTop w:val="0"/>
      <w:marBottom w:val="0"/>
      <w:divBdr>
        <w:top w:val="none" w:sz="0" w:space="0" w:color="auto"/>
        <w:left w:val="none" w:sz="0" w:space="0" w:color="auto"/>
        <w:bottom w:val="none" w:sz="0" w:space="0" w:color="auto"/>
        <w:right w:val="none" w:sz="0" w:space="0" w:color="auto"/>
      </w:divBdr>
    </w:div>
    <w:div w:id="370500116">
      <w:bodyDiv w:val="1"/>
      <w:marLeft w:val="0"/>
      <w:marRight w:val="0"/>
      <w:marTop w:val="0"/>
      <w:marBottom w:val="0"/>
      <w:divBdr>
        <w:top w:val="none" w:sz="0" w:space="0" w:color="auto"/>
        <w:left w:val="none" w:sz="0" w:space="0" w:color="auto"/>
        <w:bottom w:val="none" w:sz="0" w:space="0" w:color="auto"/>
        <w:right w:val="none" w:sz="0" w:space="0" w:color="auto"/>
      </w:divBdr>
      <w:divsChild>
        <w:div w:id="1083642937">
          <w:marLeft w:val="0"/>
          <w:marRight w:val="0"/>
          <w:marTop w:val="0"/>
          <w:marBottom w:val="0"/>
          <w:divBdr>
            <w:top w:val="none" w:sz="0" w:space="0" w:color="auto"/>
            <w:left w:val="none" w:sz="0" w:space="0" w:color="auto"/>
            <w:bottom w:val="none" w:sz="0" w:space="0" w:color="auto"/>
            <w:right w:val="none" w:sz="0" w:space="0" w:color="auto"/>
          </w:divBdr>
        </w:div>
        <w:div w:id="1617760848">
          <w:marLeft w:val="0"/>
          <w:marRight w:val="0"/>
          <w:marTop w:val="0"/>
          <w:marBottom w:val="0"/>
          <w:divBdr>
            <w:top w:val="none" w:sz="0" w:space="0" w:color="auto"/>
            <w:left w:val="none" w:sz="0" w:space="0" w:color="auto"/>
            <w:bottom w:val="none" w:sz="0" w:space="0" w:color="auto"/>
            <w:right w:val="none" w:sz="0" w:space="0" w:color="auto"/>
          </w:divBdr>
        </w:div>
      </w:divsChild>
    </w:div>
    <w:div w:id="394086459">
      <w:bodyDiv w:val="1"/>
      <w:marLeft w:val="0"/>
      <w:marRight w:val="0"/>
      <w:marTop w:val="0"/>
      <w:marBottom w:val="0"/>
      <w:divBdr>
        <w:top w:val="none" w:sz="0" w:space="0" w:color="auto"/>
        <w:left w:val="none" w:sz="0" w:space="0" w:color="auto"/>
        <w:bottom w:val="none" w:sz="0" w:space="0" w:color="auto"/>
        <w:right w:val="none" w:sz="0" w:space="0" w:color="auto"/>
      </w:divBdr>
      <w:divsChild>
        <w:div w:id="1446727636">
          <w:marLeft w:val="0"/>
          <w:marRight w:val="0"/>
          <w:marTop w:val="0"/>
          <w:marBottom w:val="0"/>
          <w:divBdr>
            <w:top w:val="none" w:sz="0" w:space="0" w:color="auto"/>
            <w:left w:val="none" w:sz="0" w:space="0" w:color="auto"/>
            <w:bottom w:val="none" w:sz="0" w:space="0" w:color="auto"/>
            <w:right w:val="none" w:sz="0" w:space="0" w:color="auto"/>
          </w:divBdr>
        </w:div>
        <w:div w:id="351033130">
          <w:marLeft w:val="0"/>
          <w:marRight w:val="0"/>
          <w:marTop w:val="0"/>
          <w:marBottom w:val="0"/>
          <w:divBdr>
            <w:top w:val="none" w:sz="0" w:space="0" w:color="auto"/>
            <w:left w:val="none" w:sz="0" w:space="0" w:color="auto"/>
            <w:bottom w:val="none" w:sz="0" w:space="0" w:color="auto"/>
            <w:right w:val="none" w:sz="0" w:space="0" w:color="auto"/>
          </w:divBdr>
        </w:div>
      </w:divsChild>
    </w:div>
    <w:div w:id="400254482">
      <w:bodyDiv w:val="1"/>
      <w:marLeft w:val="0"/>
      <w:marRight w:val="0"/>
      <w:marTop w:val="0"/>
      <w:marBottom w:val="0"/>
      <w:divBdr>
        <w:top w:val="none" w:sz="0" w:space="0" w:color="auto"/>
        <w:left w:val="none" w:sz="0" w:space="0" w:color="auto"/>
        <w:bottom w:val="none" w:sz="0" w:space="0" w:color="auto"/>
        <w:right w:val="none" w:sz="0" w:space="0" w:color="auto"/>
      </w:divBdr>
      <w:divsChild>
        <w:div w:id="1251502166">
          <w:marLeft w:val="0"/>
          <w:marRight w:val="0"/>
          <w:marTop w:val="0"/>
          <w:marBottom w:val="0"/>
          <w:divBdr>
            <w:top w:val="none" w:sz="0" w:space="0" w:color="auto"/>
            <w:left w:val="none" w:sz="0" w:space="0" w:color="auto"/>
            <w:bottom w:val="none" w:sz="0" w:space="0" w:color="auto"/>
            <w:right w:val="none" w:sz="0" w:space="0" w:color="auto"/>
          </w:divBdr>
        </w:div>
        <w:div w:id="1689329847">
          <w:marLeft w:val="0"/>
          <w:marRight w:val="0"/>
          <w:marTop w:val="0"/>
          <w:marBottom w:val="0"/>
          <w:divBdr>
            <w:top w:val="none" w:sz="0" w:space="0" w:color="auto"/>
            <w:left w:val="none" w:sz="0" w:space="0" w:color="auto"/>
            <w:bottom w:val="none" w:sz="0" w:space="0" w:color="auto"/>
            <w:right w:val="none" w:sz="0" w:space="0" w:color="auto"/>
          </w:divBdr>
        </w:div>
      </w:divsChild>
    </w:div>
    <w:div w:id="411319142">
      <w:bodyDiv w:val="1"/>
      <w:marLeft w:val="0"/>
      <w:marRight w:val="0"/>
      <w:marTop w:val="0"/>
      <w:marBottom w:val="0"/>
      <w:divBdr>
        <w:top w:val="none" w:sz="0" w:space="0" w:color="auto"/>
        <w:left w:val="none" w:sz="0" w:space="0" w:color="auto"/>
        <w:bottom w:val="none" w:sz="0" w:space="0" w:color="auto"/>
        <w:right w:val="none" w:sz="0" w:space="0" w:color="auto"/>
      </w:divBdr>
      <w:divsChild>
        <w:div w:id="343020771">
          <w:marLeft w:val="0"/>
          <w:marRight w:val="0"/>
          <w:marTop w:val="0"/>
          <w:marBottom w:val="0"/>
          <w:divBdr>
            <w:top w:val="none" w:sz="0" w:space="0" w:color="auto"/>
            <w:left w:val="none" w:sz="0" w:space="0" w:color="auto"/>
            <w:bottom w:val="none" w:sz="0" w:space="0" w:color="auto"/>
            <w:right w:val="none" w:sz="0" w:space="0" w:color="auto"/>
          </w:divBdr>
        </w:div>
        <w:div w:id="1333221419">
          <w:marLeft w:val="0"/>
          <w:marRight w:val="0"/>
          <w:marTop w:val="0"/>
          <w:marBottom w:val="0"/>
          <w:divBdr>
            <w:top w:val="none" w:sz="0" w:space="0" w:color="auto"/>
            <w:left w:val="none" w:sz="0" w:space="0" w:color="auto"/>
            <w:bottom w:val="none" w:sz="0" w:space="0" w:color="auto"/>
            <w:right w:val="none" w:sz="0" w:space="0" w:color="auto"/>
          </w:divBdr>
        </w:div>
      </w:divsChild>
    </w:div>
    <w:div w:id="451945639">
      <w:bodyDiv w:val="1"/>
      <w:marLeft w:val="0"/>
      <w:marRight w:val="0"/>
      <w:marTop w:val="0"/>
      <w:marBottom w:val="0"/>
      <w:divBdr>
        <w:top w:val="none" w:sz="0" w:space="0" w:color="auto"/>
        <w:left w:val="none" w:sz="0" w:space="0" w:color="auto"/>
        <w:bottom w:val="none" w:sz="0" w:space="0" w:color="auto"/>
        <w:right w:val="none" w:sz="0" w:space="0" w:color="auto"/>
      </w:divBdr>
      <w:divsChild>
        <w:div w:id="175928250">
          <w:marLeft w:val="0"/>
          <w:marRight w:val="0"/>
          <w:marTop w:val="0"/>
          <w:marBottom w:val="0"/>
          <w:divBdr>
            <w:top w:val="none" w:sz="0" w:space="0" w:color="auto"/>
            <w:left w:val="none" w:sz="0" w:space="0" w:color="auto"/>
            <w:bottom w:val="none" w:sz="0" w:space="0" w:color="auto"/>
            <w:right w:val="none" w:sz="0" w:space="0" w:color="auto"/>
          </w:divBdr>
        </w:div>
        <w:div w:id="1076247369">
          <w:marLeft w:val="0"/>
          <w:marRight w:val="0"/>
          <w:marTop w:val="0"/>
          <w:marBottom w:val="0"/>
          <w:divBdr>
            <w:top w:val="none" w:sz="0" w:space="0" w:color="auto"/>
            <w:left w:val="none" w:sz="0" w:space="0" w:color="auto"/>
            <w:bottom w:val="none" w:sz="0" w:space="0" w:color="auto"/>
            <w:right w:val="none" w:sz="0" w:space="0" w:color="auto"/>
          </w:divBdr>
        </w:div>
        <w:div w:id="2039893191">
          <w:marLeft w:val="0"/>
          <w:marRight w:val="0"/>
          <w:marTop w:val="0"/>
          <w:marBottom w:val="0"/>
          <w:divBdr>
            <w:top w:val="none" w:sz="0" w:space="0" w:color="auto"/>
            <w:left w:val="none" w:sz="0" w:space="0" w:color="auto"/>
            <w:bottom w:val="none" w:sz="0" w:space="0" w:color="auto"/>
            <w:right w:val="none" w:sz="0" w:space="0" w:color="auto"/>
          </w:divBdr>
        </w:div>
      </w:divsChild>
    </w:div>
    <w:div w:id="493842095">
      <w:bodyDiv w:val="1"/>
      <w:marLeft w:val="0"/>
      <w:marRight w:val="0"/>
      <w:marTop w:val="0"/>
      <w:marBottom w:val="0"/>
      <w:divBdr>
        <w:top w:val="none" w:sz="0" w:space="0" w:color="auto"/>
        <w:left w:val="none" w:sz="0" w:space="0" w:color="auto"/>
        <w:bottom w:val="none" w:sz="0" w:space="0" w:color="auto"/>
        <w:right w:val="none" w:sz="0" w:space="0" w:color="auto"/>
      </w:divBdr>
    </w:div>
    <w:div w:id="511602262">
      <w:bodyDiv w:val="1"/>
      <w:marLeft w:val="0"/>
      <w:marRight w:val="0"/>
      <w:marTop w:val="0"/>
      <w:marBottom w:val="0"/>
      <w:divBdr>
        <w:top w:val="none" w:sz="0" w:space="0" w:color="auto"/>
        <w:left w:val="none" w:sz="0" w:space="0" w:color="auto"/>
        <w:bottom w:val="none" w:sz="0" w:space="0" w:color="auto"/>
        <w:right w:val="none" w:sz="0" w:space="0" w:color="auto"/>
      </w:divBdr>
      <w:divsChild>
        <w:div w:id="96254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2182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31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454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985846">
      <w:bodyDiv w:val="1"/>
      <w:marLeft w:val="0"/>
      <w:marRight w:val="0"/>
      <w:marTop w:val="0"/>
      <w:marBottom w:val="0"/>
      <w:divBdr>
        <w:top w:val="none" w:sz="0" w:space="0" w:color="auto"/>
        <w:left w:val="none" w:sz="0" w:space="0" w:color="auto"/>
        <w:bottom w:val="none" w:sz="0" w:space="0" w:color="auto"/>
        <w:right w:val="none" w:sz="0" w:space="0" w:color="auto"/>
      </w:divBdr>
    </w:div>
    <w:div w:id="585892732">
      <w:bodyDiv w:val="1"/>
      <w:marLeft w:val="0"/>
      <w:marRight w:val="0"/>
      <w:marTop w:val="0"/>
      <w:marBottom w:val="0"/>
      <w:divBdr>
        <w:top w:val="none" w:sz="0" w:space="0" w:color="auto"/>
        <w:left w:val="none" w:sz="0" w:space="0" w:color="auto"/>
        <w:bottom w:val="none" w:sz="0" w:space="0" w:color="auto"/>
        <w:right w:val="none" w:sz="0" w:space="0" w:color="auto"/>
      </w:divBdr>
    </w:div>
    <w:div w:id="598678898">
      <w:bodyDiv w:val="1"/>
      <w:marLeft w:val="0"/>
      <w:marRight w:val="0"/>
      <w:marTop w:val="0"/>
      <w:marBottom w:val="0"/>
      <w:divBdr>
        <w:top w:val="none" w:sz="0" w:space="0" w:color="auto"/>
        <w:left w:val="none" w:sz="0" w:space="0" w:color="auto"/>
        <w:bottom w:val="none" w:sz="0" w:space="0" w:color="auto"/>
        <w:right w:val="none" w:sz="0" w:space="0" w:color="auto"/>
      </w:divBdr>
      <w:divsChild>
        <w:div w:id="1453091318">
          <w:marLeft w:val="0"/>
          <w:marRight w:val="0"/>
          <w:marTop w:val="0"/>
          <w:marBottom w:val="0"/>
          <w:divBdr>
            <w:top w:val="none" w:sz="0" w:space="0" w:color="auto"/>
            <w:left w:val="none" w:sz="0" w:space="0" w:color="auto"/>
            <w:bottom w:val="none" w:sz="0" w:space="0" w:color="auto"/>
            <w:right w:val="none" w:sz="0" w:space="0" w:color="auto"/>
          </w:divBdr>
        </w:div>
        <w:div w:id="840507538">
          <w:marLeft w:val="0"/>
          <w:marRight w:val="0"/>
          <w:marTop w:val="0"/>
          <w:marBottom w:val="0"/>
          <w:divBdr>
            <w:top w:val="none" w:sz="0" w:space="0" w:color="auto"/>
            <w:left w:val="none" w:sz="0" w:space="0" w:color="auto"/>
            <w:bottom w:val="none" w:sz="0" w:space="0" w:color="auto"/>
            <w:right w:val="none" w:sz="0" w:space="0" w:color="auto"/>
          </w:divBdr>
        </w:div>
        <w:div w:id="94327578">
          <w:marLeft w:val="0"/>
          <w:marRight w:val="0"/>
          <w:marTop w:val="0"/>
          <w:marBottom w:val="0"/>
          <w:divBdr>
            <w:top w:val="none" w:sz="0" w:space="0" w:color="auto"/>
            <w:left w:val="none" w:sz="0" w:space="0" w:color="auto"/>
            <w:bottom w:val="none" w:sz="0" w:space="0" w:color="auto"/>
            <w:right w:val="none" w:sz="0" w:space="0" w:color="auto"/>
          </w:divBdr>
        </w:div>
        <w:div w:id="611206237">
          <w:marLeft w:val="0"/>
          <w:marRight w:val="0"/>
          <w:marTop w:val="0"/>
          <w:marBottom w:val="0"/>
          <w:divBdr>
            <w:top w:val="none" w:sz="0" w:space="0" w:color="auto"/>
            <w:left w:val="none" w:sz="0" w:space="0" w:color="auto"/>
            <w:bottom w:val="none" w:sz="0" w:space="0" w:color="auto"/>
            <w:right w:val="none" w:sz="0" w:space="0" w:color="auto"/>
          </w:divBdr>
        </w:div>
        <w:div w:id="1297832108">
          <w:marLeft w:val="0"/>
          <w:marRight w:val="0"/>
          <w:marTop w:val="0"/>
          <w:marBottom w:val="0"/>
          <w:divBdr>
            <w:top w:val="none" w:sz="0" w:space="0" w:color="auto"/>
            <w:left w:val="none" w:sz="0" w:space="0" w:color="auto"/>
            <w:bottom w:val="none" w:sz="0" w:space="0" w:color="auto"/>
            <w:right w:val="none" w:sz="0" w:space="0" w:color="auto"/>
          </w:divBdr>
        </w:div>
        <w:div w:id="1713311325">
          <w:marLeft w:val="0"/>
          <w:marRight w:val="0"/>
          <w:marTop w:val="0"/>
          <w:marBottom w:val="0"/>
          <w:divBdr>
            <w:top w:val="none" w:sz="0" w:space="0" w:color="auto"/>
            <w:left w:val="none" w:sz="0" w:space="0" w:color="auto"/>
            <w:bottom w:val="none" w:sz="0" w:space="0" w:color="auto"/>
            <w:right w:val="none" w:sz="0" w:space="0" w:color="auto"/>
          </w:divBdr>
        </w:div>
      </w:divsChild>
    </w:div>
    <w:div w:id="605426993">
      <w:bodyDiv w:val="1"/>
      <w:marLeft w:val="0"/>
      <w:marRight w:val="0"/>
      <w:marTop w:val="0"/>
      <w:marBottom w:val="0"/>
      <w:divBdr>
        <w:top w:val="none" w:sz="0" w:space="0" w:color="auto"/>
        <w:left w:val="none" w:sz="0" w:space="0" w:color="auto"/>
        <w:bottom w:val="none" w:sz="0" w:space="0" w:color="auto"/>
        <w:right w:val="none" w:sz="0" w:space="0" w:color="auto"/>
      </w:divBdr>
    </w:div>
    <w:div w:id="623969370">
      <w:bodyDiv w:val="1"/>
      <w:marLeft w:val="0"/>
      <w:marRight w:val="0"/>
      <w:marTop w:val="0"/>
      <w:marBottom w:val="0"/>
      <w:divBdr>
        <w:top w:val="none" w:sz="0" w:space="0" w:color="auto"/>
        <w:left w:val="none" w:sz="0" w:space="0" w:color="auto"/>
        <w:bottom w:val="none" w:sz="0" w:space="0" w:color="auto"/>
        <w:right w:val="none" w:sz="0" w:space="0" w:color="auto"/>
      </w:divBdr>
      <w:divsChild>
        <w:div w:id="294912856">
          <w:marLeft w:val="0"/>
          <w:marRight w:val="0"/>
          <w:marTop w:val="0"/>
          <w:marBottom w:val="0"/>
          <w:divBdr>
            <w:top w:val="none" w:sz="0" w:space="0" w:color="auto"/>
            <w:left w:val="none" w:sz="0" w:space="0" w:color="auto"/>
            <w:bottom w:val="none" w:sz="0" w:space="0" w:color="auto"/>
            <w:right w:val="none" w:sz="0" w:space="0" w:color="auto"/>
          </w:divBdr>
        </w:div>
        <w:div w:id="1361975262">
          <w:marLeft w:val="0"/>
          <w:marRight w:val="0"/>
          <w:marTop w:val="0"/>
          <w:marBottom w:val="0"/>
          <w:divBdr>
            <w:top w:val="none" w:sz="0" w:space="0" w:color="auto"/>
            <w:left w:val="none" w:sz="0" w:space="0" w:color="auto"/>
            <w:bottom w:val="none" w:sz="0" w:space="0" w:color="auto"/>
            <w:right w:val="none" w:sz="0" w:space="0" w:color="auto"/>
          </w:divBdr>
        </w:div>
      </w:divsChild>
    </w:div>
    <w:div w:id="686054507">
      <w:bodyDiv w:val="1"/>
      <w:marLeft w:val="0"/>
      <w:marRight w:val="0"/>
      <w:marTop w:val="0"/>
      <w:marBottom w:val="0"/>
      <w:divBdr>
        <w:top w:val="none" w:sz="0" w:space="0" w:color="auto"/>
        <w:left w:val="none" w:sz="0" w:space="0" w:color="auto"/>
        <w:bottom w:val="none" w:sz="0" w:space="0" w:color="auto"/>
        <w:right w:val="none" w:sz="0" w:space="0" w:color="auto"/>
      </w:divBdr>
      <w:divsChild>
        <w:div w:id="904295939">
          <w:marLeft w:val="0"/>
          <w:marRight w:val="0"/>
          <w:marTop w:val="0"/>
          <w:marBottom w:val="0"/>
          <w:divBdr>
            <w:top w:val="none" w:sz="0" w:space="0" w:color="auto"/>
            <w:left w:val="none" w:sz="0" w:space="0" w:color="auto"/>
            <w:bottom w:val="none" w:sz="0" w:space="0" w:color="auto"/>
            <w:right w:val="none" w:sz="0" w:space="0" w:color="auto"/>
          </w:divBdr>
        </w:div>
        <w:div w:id="2052877419">
          <w:marLeft w:val="0"/>
          <w:marRight w:val="0"/>
          <w:marTop w:val="0"/>
          <w:marBottom w:val="0"/>
          <w:divBdr>
            <w:top w:val="none" w:sz="0" w:space="0" w:color="auto"/>
            <w:left w:val="none" w:sz="0" w:space="0" w:color="auto"/>
            <w:bottom w:val="none" w:sz="0" w:space="0" w:color="auto"/>
            <w:right w:val="none" w:sz="0" w:space="0" w:color="auto"/>
          </w:divBdr>
        </w:div>
        <w:div w:id="1730500163">
          <w:marLeft w:val="0"/>
          <w:marRight w:val="0"/>
          <w:marTop w:val="0"/>
          <w:marBottom w:val="0"/>
          <w:divBdr>
            <w:top w:val="none" w:sz="0" w:space="0" w:color="auto"/>
            <w:left w:val="none" w:sz="0" w:space="0" w:color="auto"/>
            <w:bottom w:val="none" w:sz="0" w:space="0" w:color="auto"/>
            <w:right w:val="none" w:sz="0" w:space="0" w:color="auto"/>
          </w:divBdr>
        </w:div>
        <w:div w:id="1766420936">
          <w:marLeft w:val="0"/>
          <w:marRight w:val="0"/>
          <w:marTop w:val="0"/>
          <w:marBottom w:val="0"/>
          <w:divBdr>
            <w:top w:val="none" w:sz="0" w:space="0" w:color="auto"/>
            <w:left w:val="none" w:sz="0" w:space="0" w:color="auto"/>
            <w:bottom w:val="none" w:sz="0" w:space="0" w:color="auto"/>
            <w:right w:val="none" w:sz="0" w:space="0" w:color="auto"/>
          </w:divBdr>
        </w:div>
        <w:div w:id="726994605">
          <w:marLeft w:val="0"/>
          <w:marRight w:val="0"/>
          <w:marTop w:val="0"/>
          <w:marBottom w:val="0"/>
          <w:divBdr>
            <w:top w:val="none" w:sz="0" w:space="0" w:color="auto"/>
            <w:left w:val="none" w:sz="0" w:space="0" w:color="auto"/>
            <w:bottom w:val="none" w:sz="0" w:space="0" w:color="auto"/>
            <w:right w:val="none" w:sz="0" w:space="0" w:color="auto"/>
          </w:divBdr>
        </w:div>
        <w:div w:id="316422924">
          <w:marLeft w:val="0"/>
          <w:marRight w:val="0"/>
          <w:marTop w:val="0"/>
          <w:marBottom w:val="0"/>
          <w:divBdr>
            <w:top w:val="none" w:sz="0" w:space="0" w:color="auto"/>
            <w:left w:val="none" w:sz="0" w:space="0" w:color="auto"/>
            <w:bottom w:val="none" w:sz="0" w:space="0" w:color="auto"/>
            <w:right w:val="none" w:sz="0" w:space="0" w:color="auto"/>
          </w:divBdr>
        </w:div>
        <w:div w:id="1158570037">
          <w:marLeft w:val="0"/>
          <w:marRight w:val="0"/>
          <w:marTop w:val="0"/>
          <w:marBottom w:val="0"/>
          <w:divBdr>
            <w:top w:val="none" w:sz="0" w:space="0" w:color="auto"/>
            <w:left w:val="none" w:sz="0" w:space="0" w:color="auto"/>
            <w:bottom w:val="none" w:sz="0" w:space="0" w:color="auto"/>
            <w:right w:val="none" w:sz="0" w:space="0" w:color="auto"/>
          </w:divBdr>
        </w:div>
        <w:div w:id="2053263294">
          <w:marLeft w:val="0"/>
          <w:marRight w:val="0"/>
          <w:marTop w:val="0"/>
          <w:marBottom w:val="0"/>
          <w:divBdr>
            <w:top w:val="none" w:sz="0" w:space="0" w:color="auto"/>
            <w:left w:val="none" w:sz="0" w:space="0" w:color="auto"/>
            <w:bottom w:val="none" w:sz="0" w:space="0" w:color="auto"/>
            <w:right w:val="none" w:sz="0" w:space="0" w:color="auto"/>
          </w:divBdr>
        </w:div>
        <w:div w:id="1161652546">
          <w:marLeft w:val="0"/>
          <w:marRight w:val="0"/>
          <w:marTop w:val="0"/>
          <w:marBottom w:val="0"/>
          <w:divBdr>
            <w:top w:val="none" w:sz="0" w:space="0" w:color="auto"/>
            <w:left w:val="none" w:sz="0" w:space="0" w:color="auto"/>
            <w:bottom w:val="none" w:sz="0" w:space="0" w:color="auto"/>
            <w:right w:val="none" w:sz="0" w:space="0" w:color="auto"/>
          </w:divBdr>
        </w:div>
        <w:div w:id="896402198">
          <w:marLeft w:val="0"/>
          <w:marRight w:val="0"/>
          <w:marTop w:val="0"/>
          <w:marBottom w:val="0"/>
          <w:divBdr>
            <w:top w:val="none" w:sz="0" w:space="0" w:color="auto"/>
            <w:left w:val="none" w:sz="0" w:space="0" w:color="auto"/>
            <w:bottom w:val="none" w:sz="0" w:space="0" w:color="auto"/>
            <w:right w:val="none" w:sz="0" w:space="0" w:color="auto"/>
          </w:divBdr>
        </w:div>
        <w:div w:id="2028213330">
          <w:marLeft w:val="0"/>
          <w:marRight w:val="0"/>
          <w:marTop w:val="0"/>
          <w:marBottom w:val="0"/>
          <w:divBdr>
            <w:top w:val="none" w:sz="0" w:space="0" w:color="auto"/>
            <w:left w:val="none" w:sz="0" w:space="0" w:color="auto"/>
            <w:bottom w:val="none" w:sz="0" w:space="0" w:color="auto"/>
            <w:right w:val="none" w:sz="0" w:space="0" w:color="auto"/>
          </w:divBdr>
        </w:div>
      </w:divsChild>
    </w:div>
    <w:div w:id="719521925">
      <w:bodyDiv w:val="1"/>
      <w:marLeft w:val="0"/>
      <w:marRight w:val="0"/>
      <w:marTop w:val="0"/>
      <w:marBottom w:val="0"/>
      <w:divBdr>
        <w:top w:val="none" w:sz="0" w:space="0" w:color="auto"/>
        <w:left w:val="none" w:sz="0" w:space="0" w:color="auto"/>
        <w:bottom w:val="none" w:sz="0" w:space="0" w:color="auto"/>
        <w:right w:val="none" w:sz="0" w:space="0" w:color="auto"/>
      </w:divBdr>
      <w:divsChild>
        <w:div w:id="251359104">
          <w:marLeft w:val="300"/>
          <w:marRight w:val="0"/>
          <w:marTop w:val="0"/>
          <w:marBottom w:val="0"/>
          <w:divBdr>
            <w:top w:val="none" w:sz="0" w:space="0" w:color="auto"/>
            <w:left w:val="none" w:sz="0" w:space="0" w:color="auto"/>
            <w:bottom w:val="none" w:sz="0" w:space="0" w:color="auto"/>
            <w:right w:val="none" w:sz="0" w:space="0" w:color="auto"/>
          </w:divBdr>
        </w:div>
      </w:divsChild>
    </w:div>
    <w:div w:id="835800500">
      <w:bodyDiv w:val="1"/>
      <w:marLeft w:val="0"/>
      <w:marRight w:val="0"/>
      <w:marTop w:val="0"/>
      <w:marBottom w:val="0"/>
      <w:divBdr>
        <w:top w:val="none" w:sz="0" w:space="0" w:color="auto"/>
        <w:left w:val="none" w:sz="0" w:space="0" w:color="auto"/>
        <w:bottom w:val="none" w:sz="0" w:space="0" w:color="auto"/>
        <w:right w:val="none" w:sz="0" w:space="0" w:color="auto"/>
      </w:divBdr>
    </w:div>
    <w:div w:id="891161069">
      <w:bodyDiv w:val="1"/>
      <w:marLeft w:val="0"/>
      <w:marRight w:val="0"/>
      <w:marTop w:val="0"/>
      <w:marBottom w:val="0"/>
      <w:divBdr>
        <w:top w:val="none" w:sz="0" w:space="0" w:color="auto"/>
        <w:left w:val="none" w:sz="0" w:space="0" w:color="auto"/>
        <w:bottom w:val="none" w:sz="0" w:space="0" w:color="auto"/>
        <w:right w:val="none" w:sz="0" w:space="0" w:color="auto"/>
      </w:divBdr>
    </w:div>
    <w:div w:id="1046175098">
      <w:bodyDiv w:val="1"/>
      <w:marLeft w:val="0"/>
      <w:marRight w:val="0"/>
      <w:marTop w:val="0"/>
      <w:marBottom w:val="0"/>
      <w:divBdr>
        <w:top w:val="none" w:sz="0" w:space="0" w:color="auto"/>
        <w:left w:val="none" w:sz="0" w:space="0" w:color="auto"/>
        <w:bottom w:val="none" w:sz="0" w:space="0" w:color="auto"/>
        <w:right w:val="none" w:sz="0" w:space="0" w:color="auto"/>
      </w:divBdr>
    </w:div>
    <w:div w:id="1065450250">
      <w:bodyDiv w:val="1"/>
      <w:marLeft w:val="0"/>
      <w:marRight w:val="0"/>
      <w:marTop w:val="0"/>
      <w:marBottom w:val="0"/>
      <w:divBdr>
        <w:top w:val="none" w:sz="0" w:space="0" w:color="auto"/>
        <w:left w:val="none" w:sz="0" w:space="0" w:color="auto"/>
        <w:bottom w:val="none" w:sz="0" w:space="0" w:color="auto"/>
        <w:right w:val="none" w:sz="0" w:space="0" w:color="auto"/>
      </w:divBdr>
      <w:divsChild>
        <w:div w:id="620916239">
          <w:marLeft w:val="0"/>
          <w:marRight w:val="0"/>
          <w:marTop w:val="0"/>
          <w:marBottom w:val="0"/>
          <w:divBdr>
            <w:top w:val="none" w:sz="0" w:space="0" w:color="auto"/>
            <w:left w:val="none" w:sz="0" w:space="0" w:color="auto"/>
            <w:bottom w:val="none" w:sz="0" w:space="0" w:color="auto"/>
            <w:right w:val="none" w:sz="0" w:space="0" w:color="auto"/>
          </w:divBdr>
        </w:div>
        <w:div w:id="1867021195">
          <w:marLeft w:val="0"/>
          <w:marRight w:val="0"/>
          <w:marTop w:val="0"/>
          <w:marBottom w:val="0"/>
          <w:divBdr>
            <w:top w:val="none" w:sz="0" w:space="0" w:color="auto"/>
            <w:left w:val="none" w:sz="0" w:space="0" w:color="auto"/>
            <w:bottom w:val="none" w:sz="0" w:space="0" w:color="auto"/>
            <w:right w:val="none" w:sz="0" w:space="0" w:color="auto"/>
          </w:divBdr>
        </w:div>
        <w:div w:id="586622742">
          <w:marLeft w:val="0"/>
          <w:marRight w:val="0"/>
          <w:marTop w:val="0"/>
          <w:marBottom w:val="0"/>
          <w:divBdr>
            <w:top w:val="none" w:sz="0" w:space="0" w:color="auto"/>
            <w:left w:val="none" w:sz="0" w:space="0" w:color="auto"/>
            <w:bottom w:val="none" w:sz="0" w:space="0" w:color="auto"/>
            <w:right w:val="none" w:sz="0" w:space="0" w:color="auto"/>
          </w:divBdr>
        </w:div>
        <w:div w:id="2082823830">
          <w:marLeft w:val="0"/>
          <w:marRight w:val="0"/>
          <w:marTop w:val="0"/>
          <w:marBottom w:val="0"/>
          <w:divBdr>
            <w:top w:val="none" w:sz="0" w:space="0" w:color="auto"/>
            <w:left w:val="none" w:sz="0" w:space="0" w:color="auto"/>
            <w:bottom w:val="none" w:sz="0" w:space="0" w:color="auto"/>
            <w:right w:val="none" w:sz="0" w:space="0" w:color="auto"/>
          </w:divBdr>
        </w:div>
        <w:div w:id="1438915194">
          <w:marLeft w:val="0"/>
          <w:marRight w:val="0"/>
          <w:marTop w:val="0"/>
          <w:marBottom w:val="0"/>
          <w:divBdr>
            <w:top w:val="none" w:sz="0" w:space="0" w:color="auto"/>
            <w:left w:val="none" w:sz="0" w:space="0" w:color="auto"/>
            <w:bottom w:val="none" w:sz="0" w:space="0" w:color="auto"/>
            <w:right w:val="none" w:sz="0" w:space="0" w:color="auto"/>
          </w:divBdr>
        </w:div>
        <w:div w:id="1375540406">
          <w:marLeft w:val="0"/>
          <w:marRight w:val="0"/>
          <w:marTop w:val="0"/>
          <w:marBottom w:val="0"/>
          <w:divBdr>
            <w:top w:val="none" w:sz="0" w:space="0" w:color="auto"/>
            <w:left w:val="none" w:sz="0" w:space="0" w:color="auto"/>
            <w:bottom w:val="none" w:sz="0" w:space="0" w:color="auto"/>
            <w:right w:val="none" w:sz="0" w:space="0" w:color="auto"/>
          </w:divBdr>
        </w:div>
        <w:div w:id="148253237">
          <w:marLeft w:val="0"/>
          <w:marRight w:val="0"/>
          <w:marTop w:val="0"/>
          <w:marBottom w:val="0"/>
          <w:divBdr>
            <w:top w:val="none" w:sz="0" w:space="0" w:color="auto"/>
            <w:left w:val="none" w:sz="0" w:space="0" w:color="auto"/>
            <w:bottom w:val="none" w:sz="0" w:space="0" w:color="auto"/>
            <w:right w:val="none" w:sz="0" w:space="0" w:color="auto"/>
          </w:divBdr>
        </w:div>
        <w:div w:id="1019896055">
          <w:marLeft w:val="0"/>
          <w:marRight w:val="0"/>
          <w:marTop w:val="0"/>
          <w:marBottom w:val="0"/>
          <w:divBdr>
            <w:top w:val="none" w:sz="0" w:space="0" w:color="auto"/>
            <w:left w:val="none" w:sz="0" w:space="0" w:color="auto"/>
            <w:bottom w:val="none" w:sz="0" w:space="0" w:color="auto"/>
            <w:right w:val="none" w:sz="0" w:space="0" w:color="auto"/>
          </w:divBdr>
        </w:div>
        <w:div w:id="373626452">
          <w:marLeft w:val="0"/>
          <w:marRight w:val="0"/>
          <w:marTop w:val="0"/>
          <w:marBottom w:val="0"/>
          <w:divBdr>
            <w:top w:val="none" w:sz="0" w:space="0" w:color="auto"/>
            <w:left w:val="none" w:sz="0" w:space="0" w:color="auto"/>
            <w:bottom w:val="none" w:sz="0" w:space="0" w:color="auto"/>
            <w:right w:val="none" w:sz="0" w:space="0" w:color="auto"/>
          </w:divBdr>
        </w:div>
        <w:div w:id="305013169">
          <w:marLeft w:val="0"/>
          <w:marRight w:val="0"/>
          <w:marTop w:val="0"/>
          <w:marBottom w:val="0"/>
          <w:divBdr>
            <w:top w:val="none" w:sz="0" w:space="0" w:color="auto"/>
            <w:left w:val="none" w:sz="0" w:space="0" w:color="auto"/>
            <w:bottom w:val="none" w:sz="0" w:space="0" w:color="auto"/>
            <w:right w:val="none" w:sz="0" w:space="0" w:color="auto"/>
          </w:divBdr>
        </w:div>
        <w:div w:id="315499254">
          <w:marLeft w:val="0"/>
          <w:marRight w:val="0"/>
          <w:marTop w:val="0"/>
          <w:marBottom w:val="0"/>
          <w:divBdr>
            <w:top w:val="none" w:sz="0" w:space="0" w:color="auto"/>
            <w:left w:val="none" w:sz="0" w:space="0" w:color="auto"/>
            <w:bottom w:val="none" w:sz="0" w:space="0" w:color="auto"/>
            <w:right w:val="none" w:sz="0" w:space="0" w:color="auto"/>
          </w:divBdr>
        </w:div>
      </w:divsChild>
    </w:div>
    <w:div w:id="1091313028">
      <w:bodyDiv w:val="1"/>
      <w:marLeft w:val="0"/>
      <w:marRight w:val="0"/>
      <w:marTop w:val="0"/>
      <w:marBottom w:val="0"/>
      <w:divBdr>
        <w:top w:val="none" w:sz="0" w:space="0" w:color="auto"/>
        <w:left w:val="none" w:sz="0" w:space="0" w:color="auto"/>
        <w:bottom w:val="none" w:sz="0" w:space="0" w:color="auto"/>
        <w:right w:val="none" w:sz="0" w:space="0" w:color="auto"/>
      </w:divBdr>
      <w:divsChild>
        <w:div w:id="941954465">
          <w:marLeft w:val="0"/>
          <w:marRight w:val="0"/>
          <w:marTop w:val="0"/>
          <w:marBottom w:val="0"/>
          <w:divBdr>
            <w:top w:val="none" w:sz="0" w:space="0" w:color="auto"/>
            <w:left w:val="none" w:sz="0" w:space="0" w:color="auto"/>
            <w:bottom w:val="none" w:sz="0" w:space="0" w:color="auto"/>
            <w:right w:val="none" w:sz="0" w:space="0" w:color="auto"/>
          </w:divBdr>
        </w:div>
      </w:divsChild>
    </w:div>
    <w:div w:id="1128084246">
      <w:bodyDiv w:val="1"/>
      <w:marLeft w:val="0"/>
      <w:marRight w:val="0"/>
      <w:marTop w:val="0"/>
      <w:marBottom w:val="0"/>
      <w:divBdr>
        <w:top w:val="none" w:sz="0" w:space="0" w:color="auto"/>
        <w:left w:val="none" w:sz="0" w:space="0" w:color="auto"/>
        <w:bottom w:val="none" w:sz="0" w:space="0" w:color="auto"/>
        <w:right w:val="none" w:sz="0" w:space="0" w:color="auto"/>
      </w:divBdr>
    </w:div>
    <w:div w:id="1167087574">
      <w:bodyDiv w:val="1"/>
      <w:marLeft w:val="0"/>
      <w:marRight w:val="0"/>
      <w:marTop w:val="0"/>
      <w:marBottom w:val="0"/>
      <w:divBdr>
        <w:top w:val="none" w:sz="0" w:space="0" w:color="auto"/>
        <w:left w:val="none" w:sz="0" w:space="0" w:color="auto"/>
        <w:bottom w:val="none" w:sz="0" w:space="0" w:color="auto"/>
        <w:right w:val="none" w:sz="0" w:space="0" w:color="auto"/>
      </w:divBdr>
    </w:div>
    <w:div w:id="1178423656">
      <w:bodyDiv w:val="1"/>
      <w:marLeft w:val="0"/>
      <w:marRight w:val="0"/>
      <w:marTop w:val="0"/>
      <w:marBottom w:val="0"/>
      <w:divBdr>
        <w:top w:val="none" w:sz="0" w:space="0" w:color="auto"/>
        <w:left w:val="none" w:sz="0" w:space="0" w:color="auto"/>
        <w:bottom w:val="none" w:sz="0" w:space="0" w:color="auto"/>
        <w:right w:val="none" w:sz="0" w:space="0" w:color="auto"/>
      </w:divBdr>
      <w:divsChild>
        <w:div w:id="82118572">
          <w:marLeft w:val="0"/>
          <w:marRight w:val="0"/>
          <w:marTop w:val="0"/>
          <w:marBottom w:val="0"/>
          <w:divBdr>
            <w:top w:val="none" w:sz="0" w:space="0" w:color="auto"/>
            <w:left w:val="none" w:sz="0" w:space="0" w:color="auto"/>
            <w:bottom w:val="none" w:sz="0" w:space="0" w:color="auto"/>
            <w:right w:val="none" w:sz="0" w:space="0" w:color="auto"/>
          </w:divBdr>
        </w:div>
        <w:div w:id="1437285280">
          <w:marLeft w:val="0"/>
          <w:marRight w:val="0"/>
          <w:marTop w:val="0"/>
          <w:marBottom w:val="0"/>
          <w:divBdr>
            <w:top w:val="none" w:sz="0" w:space="0" w:color="auto"/>
            <w:left w:val="none" w:sz="0" w:space="0" w:color="auto"/>
            <w:bottom w:val="none" w:sz="0" w:space="0" w:color="auto"/>
            <w:right w:val="none" w:sz="0" w:space="0" w:color="auto"/>
          </w:divBdr>
        </w:div>
        <w:div w:id="2007901719">
          <w:marLeft w:val="0"/>
          <w:marRight w:val="0"/>
          <w:marTop w:val="0"/>
          <w:marBottom w:val="0"/>
          <w:divBdr>
            <w:top w:val="none" w:sz="0" w:space="0" w:color="auto"/>
            <w:left w:val="none" w:sz="0" w:space="0" w:color="auto"/>
            <w:bottom w:val="none" w:sz="0" w:space="0" w:color="auto"/>
            <w:right w:val="none" w:sz="0" w:space="0" w:color="auto"/>
          </w:divBdr>
        </w:div>
        <w:div w:id="1266573917">
          <w:marLeft w:val="0"/>
          <w:marRight w:val="0"/>
          <w:marTop w:val="0"/>
          <w:marBottom w:val="0"/>
          <w:divBdr>
            <w:top w:val="none" w:sz="0" w:space="0" w:color="auto"/>
            <w:left w:val="none" w:sz="0" w:space="0" w:color="auto"/>
            <w:bottom w:val="none" w:sz="0" w:space="0" w:color="auto"/>
            <w:right w:val="none" w:sz="0" w:space="0" w:color="auto"/>
          </w:divBdr>
        </w:div>
        <w:div w:id="993752828">
          <w:marLeft w:val="0"/>
          <w:marRight w:val="0"/>
          <w:marTop w:val="0"/>
          <w:marBottom w:val="0"/>
          <w:divBdr>
            <w:top w:val="none" w:sz="0" w:space="0" w:color="auto"/>
            <w:left w:val="none" w:sz="0" w:space="0" w:color="auto"/>
            <w:bottom w:val="none" w:sz="0" w:space="0" w:color="auto"/>
            <w:right w:val="none" w:sz="0" w:space="0" w:color="auto"/>
          </w:divBdr>
        </w:div>
        <w:div w:id="1186821318">
          <w:marLeft w:val="0"/>
          <w:marRight w:val="0"/>
          <w:marTop w:val="0"/>
          <w:marBottom w:val="0"/>
          <w:divBdr>
            <w:top w:val="none" w:sz="0" w:space="0" w:color="auto"/>
            <w:left w:val="none" w:sz="0" w:space="0" w:color="auto"/>
            <w:bottom w:val="none" w:sz="0" w:space="0" w:color="auto"/>
            <w:right w:val="none" w:sz="0" w:space="0" w:color="auto"/>
          </w:divBdr>
        </w:div>
        <w:div w:id="1988969654">
          <w:marLeft w:val="0"/>
          <w:marRight w:val="0"/>
          <w:marTop w:val="0"/>
          <w:marBottom w:val="0"/>
          <w:divBdr>
            <w:top w:val="none" w:sz="0" w:space="0" w:color="auto"/>
            <w:left w:val="none" w:sz="0" w:space="0" w:color="auto"/>
            <w:bottom w:val="none" w:sz="0" w:space="0" w:color="auto"/>
            <w:right w:val="none" w:sz="0" w:space="0" w:color="auto"/>
          </w:divBdr>
        </w:div>
        <w:div w:id="310721142">
          <w:marLeft w:val="0"/>
          <w:marRight w:val="0"/>
          <w:marTop w:val="0"/>
          <w:marBottom w:val="0"/>
          <w:divBdr>
            <w:top w:val="none" w:sz="0" w:space="0" w:color="auto"/>
            <w:left w:val="none" w:sz="0" w:space="0" w:color="auto"/>
            <w:bottom w:val="none" w:sz="0" w:space="0" w:color="auto"/>
            <w:right w:val="none" w:sz="0" w:space="0" w:color="auto"/>
          </w:divBdr>
        </w:div>
        <w:div w:id="1592814508">
          <w:marLeft w:val="0"/>
          <w:marRight w:val="0"/>
          <w:marTop w:val="0"/>
          <w:marBottom w:val="0"/>
          <w:divBdr>
            <w:top w:val="none" w:sz="0" w:space="0" w:color="auto"/>
            <w:left w:val="none" w:sz="0" w:space="0" w:color="auto"/>
            <w:bottom w:val="none" w:sz="0" w:space="0" w:color="auto"/>
            <w:right w:val="none" w:sz="0" w:space="0" w:color="auto"/>
          </w:divBdr>
        </w:div>
        <w:div w:id="989020145">
          <w:marLeft w:val="0"/>
          <w:marRight w:val="0"/>
          <w:marTop w:val="0"/>
          <w:marBottom w:val="0"/>
          <w:divBdr>
            <w:top w:val="none" w:sz="0" w:space="0" w:color="auto"/>
            <w:left w:val="none" w:sz="0" w:space="0" w:color="auto"/>
            <w:bottom w:val="none" w:sz="0" w:space="0" w:color="auto"/>
            <w:right w:val="none" w:sz="0" w:space="0" w:color="auto"/>
          </w:divBdr>
        </w:div>
        <w:div w:id="758598363">
          <w:marLeft w:val="0"/>
          <w:marRight w:val="0"/>
          <w:marTop w:val="0"/>
          <w:marBottom w:val="0"/>
          <w:divBdr>
            <w:top w:val="none" w:sz="0" w:space="0" w:color="auto"/>
            <w:left w:val="none" w:sz="0" w:space="0" w:color="auto"/>
            <w:bottom w:val="none" w:sz="0" w:space="0" w:color="auto"/>
            <w:right w:val="none" w:sz="0" w:space="0" w:color="auto"/>
          </w:divBdr>
        </w:div>
        <w:div w:id="1066612945">
          <w:marLeft w:val="0"/>
          <w:marRight w:val="0"/>
          <w:marTop w:val="0"/>
          <w:marBottom w:val="0"/>
          <w:divBdr>
            <w:top w:val="none" w:sz="0" w:space="0" w:color="auto"/>
            <w:left w:val="none" w:sz="0" w:space="0" w:color="auto"/>
            <w:bottom w:val="none" w:sz="0" w:space="0" w:color="auto"/>
            <w:right w:val="none" w:sz="0" w:space="0" w:color="auto"/>
          </w:divBdr>
        </w:div>
      </w:divsChild>
    </w:div>
    <w:div w:id="1188712564">
      <w:bodyDiv w:val="1"/>
      <w:marLeft w:val="0"/>
      <w:marRight w:val="0"/>
      <w:marTop w:val="0"/>
      <w:marBottom w:val="0"/>
      <w:divBdr>
        <w:top w:val="none" w:sz="0" w:space="0" w:color="auto"/>
        <w:left w:val="none" w:sz="0" w:space="0" w:color="auto"/>
        <w:bottom w:val="none" w:sz="0" w:space="0" w:color="auto"/>
        <w:right w:val="none" w:sz="0" w:space="0" w:color="auto"/>
      </w:divBdr>
      <w:divsChild>
        <w:div w:id="932201152">
          <w:marLeft w:val="0"/>
          <w:marRight w:val="0"/>
          <w:marTop w:val="0"/>
          <w:marBottom w:val="0"/>
          <w:divBdr>
            <w:top w:val="none" w:sz="0" w:space="0" w:color="auto"/>
            <w:left w:val="none" w:sz="0" w:space="0" w:color="auto"/>
            <w:bottom w:val="none" w:sz="0" w:space="0" w:color="auto"/>
            <w:right w:val="none" w:sz="0" w:space="0" w:color="auto"/>
          </w:divBdr>
        </w:div>
        <w:div w:id="1316832643">
          <w:marLeft w:val="0"/>
          <w:marRight w:val="0"/>
          <w:marTop w:val="0"/>
          <w:marBottom w:val="0"/>
          <w:divBdr>
            <w:top w:val="none" w:sz="0" w:space="0" w:color="auto"/>
            <w:left w:val="none" w:sz="0" w:space="0" w:color="auto"/>
            <w:bottom w:val="none" w:sz="0" w:space="0" w:color="auto"/>
            <w:right w:val="none" w:sz="0" w:space="0" w:color="auto"/>
          </w:divBdr>
        </w:div>
      </w:divsChild>
    </w:div>
    <w:div w:id="1213074908">
      <w:bodyDiv w:val="1"/>
      <w:marLeft w:val="0"/>
      <w:marRight w:val="0"/>
      <w:marTop w:val="0"/>
      <w:marBottom w:val="0"/>
      <w:divBdr>
        <w:top w:val="none" w:sz="0" w:space="0" w:color="auto"/>
        <w:left w:val="none" w:sz="0" w:space="0" w:color="auto"/>
        <w:bottom w:val="none" w:sz="0" w:space="0" w:color="auto"/>
        <w:right w:val="none" w:sz="0" w:space="0" w:color="auto"/>
      </w:divBdr>
    </w:div>
    <w:div w:id="1306815692">
      <w:bodyDiv w:val="1"/>
      <w:marLeft w:val="0"/>
      <w:marRight w:val="0"/>
      <w:marTop w:val="0"/>
      <w:marBottom w:val="0"/>
      <w:divBdr>
        <w:top w:val="none" w:sz="0" w:space="0" w:color="auto"/>
        <w:left w:val="none" w:sz="0" w:space="0" w:color="auto"/>
        <w:bottom w:val="none" w:sz="0" w:space="0" w:color="auto"/>
        <w:right w:val="none" w:sz="0" w:space="0" w:color="auto"/>
      </w:divBdr>
      <w:divsChild>
        <w:div w:id="1260679661">
          <w:marLeft w:val="0"/>
          <w:marRight w:val="0"/>
          <w:marTop w:val="0"/>
          <w:marBottom w:val="0"/>
          <w:divBdr>
            <w:top w:val="none" w:sz="0" w:space="0" w:color="auto"/>
            <w:left w:val="none" w:sz="0" w:space="0" w:color="auto"/>
            <w:bottom w:val="none" w:sz="0" w:space="0" w:color="auto"/>
            <w:right w:val="none" w:sz="0" w:space="0" w:color="auto"/>
          </w:divBdr>
        </w:div>
        <w:div w:id="924457293">
          <w:marLeft w:val="0"/>
          <w:marRight w:val="0"/>
          <w:marTop w:val="0"/>
          <w:marBottom w:val="0"/>
          <w:divBdr>
            <w:top w:val="none" w:sz="0" w:space="0" w:color="auto"/>
            <w:left w:val="none" w:sz="0" w:space="0" w:color="auto"/>
            <w:bottom w:val="none" w:sz="0" w:space="0" w:color="auto"/>
            <w:right w:val="none" w:sz="0" w:space="0" w:color="auto"/>
          </w:divBdr>
        </w:div>
        <w:div w:id="784692311">
          <w:marLeft w:val="0"/>
          <w:marRight w:val="0"/>
          <w:marTop w:val="0"/>
          <w:marBottom w:val="0"/>
          <w:divBdr>
            <w:top w:val="none" w:sz="0" w:space="0" w:color="auto"/>
            <w:left w:val="none" w:sz="0" w:space="0" w:color="auto"/>
            <w:bottom w:val="none" w:sz="0" w:space="0" w:color="auto"/>
            <w:right w:val="none" w:sz="0" w:space="0" w:color="auto"/>
          </w:divBdr>
        </w:div>
        <w:div w:id="1536236276">
          <w:marLeft w:val="0"/>
          <w:marRight w:val="0"/>
          <w:marTop w:val="0"/>
          <w:marBottom w:val="0"/>
          <w:divBdr>
            <w:top w:val="none" w:sz="0" w:space="0" w:color="auto"/>
            <w:left w:val="none" w:sz="0" w:space="0" w:color="auto"/>
            <w:bottom w:val="none" w:sz="0" w:space="0" w:color="auto"/>
            <w:right w:val="none" w:sz="0" w:space="0" w:color="auto"/>
          </w:divBdr>
        </w:div>
        <w:div w:id="501241230">
          <w:marLeft w:val="0"/>
          <w:marRight w:val="0"/>
          <w:marTop w:val="0"/>
          <w:marBottom w:val="0"/>
          <w:divBdr>
            <w:top w:val="none" w:sz="0" w:space="0" w:color="auto"/>
            <w:left w:val="none" w:sz="0" w:space="0" w:color="auto"/>
            <w:bottom w:val="none" w:sz="0" w:space="0" w:color="auto"/>
            <w:right w:val="none" w:sz="0" w:space="0" w:color="auto"/>
          </w:divBdr>
        </w:div>
        <w:div w:id="1244490655">
          <w:marLeft w:val="0"/>
          <w:marRight w:val="0"/>
          <w:marTop w:val="0"/>
          <w:marBottom w:val="0"/>
          <w:divBdr>
            <w:top w:val="none" w:sz="0" w:space="0" w:color="auto"/>
            <w:left w:val="none" w:sz="0" w:space="0" w:color="auto"/>
            <w:bottom w:val="none" w:sz="0" w:space="0" w:color="auto"/>
            <w:right w:val="none" w:sz="0" w:space="0" w:color="auto"/>
          </w:divBdr>
        </w:div>
      </w:divsChild>
    </w:div>
    <w:div w:id="1353454645">
      <w:bodyDiv w:val="1"/>
      <w:marLeft w:val="0"/>
      <w:marRight w:val="0"/>
      <w:marTop w:val="0"/>
      <w:marBottom w:val="0"/>
      <w:divBdr>
        <w:top w:val="none" w:sz="0" w:space="0" w:color="auto"/>
        <w:left w:val="none" w:sz="0" w:space="0" w:color="auto"/>
        <w:bottom w:val="none" w:sz="0" w:space="0" w:color="auto"/>
        <w:right w:val="none" w:sz="0" w:space="0" w:color="auto"/>
      </w:divBdr>
      <w:divsChild>
        <w:div w:id="1307273583">
          <w:marLeft w:val="0"/>
          <w:marRight w:val="0"/>
          <w:marTop w:val="0"/>
          <w:marBottom w:val="0"/>
          <w:divBdr>
            <w:top w:val="none" w:sz="0" w:space="0" w:color="auto"/>
            <w:left w:val="none" w:sz="0" w:space="0" w:color="auto"/>
            <w:bottom w:val="none" w:sz="0" w:space="0" w:color="auto"/>
            <w:right w:val="none" w:sz="0" w:space="0" w:color="auto"/>
          </w:divBdr>
        </w:div>
        <w:div w:id="1744571955">
          <w:marLeft w:val="0"/>
          <w:marRight w:val="0"/>
          <w:marTop w:val="0"/>
          <w:marBottom w:val="0"/>
          <w:divBdr>
            <w:top w:val="none" w:sz="0" w:space="0" w:color="auto"/>
            <w:left w:val="none" w:sz="0" w:space="0" w:color="auto"/>
            <w:bottom w:val="none" w:sz="0" w:space="0" w:color="auto"/>
            <w:right w:val="none" w:sz="0" w:space="0" w:color="auto"/>
          </w:divBdr>
        </w:div>
      </w:divsChild>
    </w:div>
    <w:div w:id="1403022699">
      <w:bodyDiv w:val="1"/>
      <w:marLeft w:val="0"/>
      <w:marRight w:val="0"/>
      <w:marTop w:val="0"/>
      <w:marBottom w:val="0"/>
      <w:divBdr>
        <w:top w:val="none" w:sz="0" w:space="0" w:color="auto"/>
        <w:left w:val="none" w:sz="0" w:space="0" w:color="auto"/>
        <w:bottom w:val="none" w:sz="0" w:space="0" w:color="auto"/>
        <w:right w:val="none" w:sz="0" w:space="0" w:color="auto"/>
      </w:divBdr>
      <w:divsChild>
        <w:div w:id="803885574">
          <w:marLeft w:val="0"/>
          <w:marRight w:val="0"/>
          <w:marTop w:val="0"/>
          <w:marBottom w:val="0"/>
          <w:divBdr>
            <w:top w:val="none" w:sz="0" w:space="0" w:color="auto"/>
            <w:left w:val="none" w:sz="0" w:space="0" w:color="auto"/>
            <w:bottom w:val="none" w:sz="0" w:space="0" w:color="auto"/>
            <w:right w:val="none" w:sz="0" w:space="0" w:color="auto"/>
          </w:divBdr>
        </w:div>
        <w:div w:id="1668437287">
          <w:marLeft w:val="0"/>
          <w:marRight w:val="0"/>
          <w:marTop w:val="0"/>
          <w:marBottom w:val="0"/>
          <w:divBdr>
            <w:top w:val="none" w:sz="0" w:space="0" w:color="auto"/>
            <w:left w:val="none" w:sz="0" w:space="0" w:color="auto"/>
            <w:bottom w:val="none" w:sz="0" w:space="0" w:color="auto"/>
            <w:right w:val="none" w:sz="0" w:space="0" w:color="auto"/>
          </w:divBdr>
        </w:div>
        <w:div w:id="1806969518">
          <w:marLeft w:val="0"/>
          <w:marRight w:val="0"/>
          <w:marTop w:val="0"/>
          <w:marBottom w:val="0"/>
          <w:divBdr>
            <w:top w:val="none" w:sz="0" w:space="0" w:color="auto"/>
            <w:left w:val="none" w:sz="0" w:space="0" w:color="auto"/>
            <w:bottom w:val="none" w:sz="0" w:space="0" w:color="auto"/>
            <w:right w:val="none" w:sz="0" w:space="0" w:color="auto"/>
          </w:divBdr>
        </w:div>
        <w:div w:id="1686327933">
          <w:marLeft w:val="0"/>
          <w:marRight w:val="0"/>
          <w:marTop w:val="0"/>
          <w:marBottom w:val="0"/>
          <w:divBdr>
            <w:top w:val="none" w:sz="0" w:space="0" w:color="auto"/>
            <w:left w:val="none" w:sz="0" w:space="0" w:color="auto"/>
            <w:bottom w:val="none" w:sz="0" w:space="0" w:color="auto"/>
            <w:right w:val="none" w:sz="0" w:space="0" w:color="auto"/>
          </w:divBdr>
        </w:div>
        <w:div w:id="830416045">
          <w:marLeft w:val="0"/>
          <w:marRight w:val="0"/>
          <w:marTop w:val="0"/>
          <w:marBottom w:val="0"/>
          <w:divBdr>
            <w:top w:val="none" w:sz="0" w:space="0" w:color="auto"/>
            <w:left w:val="none" w:sz="0" w:space="0" w:color="auto"/>
            <w:bottom w:val="none" w:sz="0" w:space="0" w:color="auto"/>
            <w:right w:val="none" w:sz="0" w:space="0" w:color="auto"/>
          </w:divBdr>
        </w:div>
        <w:div w:id="426734818">
          <w:marLeft w:val="0"/>
          <w:marRight w:val="0"/>
          <w:marTop w:val="0"/>
          <w:marBottom w:val="0"/>
          <w:divBdr>
            <w:top w:val="none" w:sz="0" w:space="0" w:color="auto"/>
            <w:left w:val="none" w:sz="0" w:space="0" w:color="auto"/>
            <w:bottom w:val="none" w:sz="0" w:space="0" w:color="auto"/>
            <w:right w:val="none" w:sz="0" w:space="0" w:color="auto"/>
          </w:divBdr>
        </w:div>
        <w:div w:id="915942504">
          <w:marLeft w:val="0"/>
          <w:marRight w:val="0"/>
          <w:marTop w:val="0"/>
          <w:marBottom w:val="0"/>
          <w:divBdr>
            <w:top w:val="none" w:sz="0" w:space="0" w:color="auto"/>
            <w:left w:val="none" w:sz="0" w:space="0" w:color="auto"/>
            <w:bottom w:val="none" w:sz="0" w:space="0" w:color="auto"/>
            <w:right w:val="none" w:sz="0" w:space="0" w:color="auto"/>
          </w:divBdr>
        </w:div>
        <w:div w:id="411044709">
          <w:marLeft w:val="0"/>
          <w:marRight w:val="0"/>
          <w:marTop w:val="0"/>
          <w:marBottom w:val="0"/>
          <w:divBdr>
            <w:top w:val="none" w:sz="0" w:space="0" w:color="auto"/>
            <w:left w:val="none" w:sz="0" w:space="0" w:color="auto"/>
            <w:bottom w:val="none" w:sz="0" w:space="0" w:color="auto"/>
            <w:right w:val="none" w:sz="0" w:space="0" w:color="auto"/>
          </w:divBdr>
        </w:div>
        <w:div w:id="601184577">
          <w:marLeft w:val="0"/>
          <w:marRight w:val="0"/>
          <w:marTop w:val="0"/>
          <w:marBottom w:val="0"/>
          <w:divBdr>
            <w:top w:val="none" w:sz="0" w:space="0" w:color="auto"/>
            <w:left w:val="none" w:sz="0" w:space="0" w:color="auto"/>
            <w:bottom w:val="none" w:sz="0" w:space="0" w:color="auto"/>
            <w:right w:val="none" w:sz="0" w:space="0" w:color="auto"/>
          </w:divBdr>
        </w:div>
        <w:div w:id="867841143">
          <w:marLeft w:val="0"/>
          <w:marRight w:val="0"/>
          <w:marTop w:val="0"/>
          <w:marBottom w:val="0"/>
          <w:divBdr>
            <w:top w:val="none" w:sz="0" w:space="0" w:color="auto"/>
            <w:left w:val="none" w:sz="0" w:space="0" w:color="auto"/>
            <w:bottom w:val="none" w:sz="0" w:space="0" w:color="auto"/>
            <w:right w:val="none" w:sz="0" w:space="0" w:color="auto"/>
          </w:divBdr>
        </w:div>
        <w:div w:id="1063677276">
          <w:marLeft w:val="0"/>
          <w:marRight w:val="0"/>
          <w:marTop w:val="0"/>
          <w:marBottom w:val="0"/>
          <w:divBdr>
            <w:top w:val="none" w:sz="0" w:space="0" w:color="auto"/>
            <w:left w:val="none" w:sz="0" w:space="0" w:color="auto"/>
            <w:bottom w:val="none" w:sz="0" w:space="0" w:color="auto"/>
            <w:right w:val="none" w:sz="0" w:space="0" w:color="auto"/>
          </w:divBdr>
        </w:div>
        <w:div w:id="400176276">
          <w:marLeft w:val="0"/>
          <w:marRight w:val="0"/>
          <w:marTop w:val="0"/>
          <w:marBottom w:val="0"/>
          <w:divBdr>
            <w:top w:val="none" w:sz="0" w:space="0" w:color="auto"/>
            <w:left w:val="none" w:sz="0" w:space="0" w:color="auto"/>
            <w:bottom w:val="none" w:sz="0" w:space="0" w:color="auto"/>
            <w:right w:val="none" w:sz="0" w:space="0" w:color="auto"/>
          </w:divBdr>
        </w:div>
        <w:div w:id="411901303">
          <w:marLeft w:val="0"/>
          <w:marRight w:val="0"/>
          <w:marTop w:val="0"/>
          <w:marBottom w:val="0"/>
          <w:divBdr>
            <w:top w:val="none" w:sz="0" w:space="0" w:color="auto"/>
            <w:left w:val="none" w:sz="0" w:space="0" w:color="auto"/>
            <w:bottom w:val="none" w:sz="0" w:space="0" w:color="auto"/>
            <w:right w:val="none" w:sz="0" w:space="0" w:color="auto"/>
          </w:divBdr>
        </w:div>
        <w:div w:id="1615362468">
          <w:marLeft w:val="0"/>
          <w:marRight w:val="0"/>
          <w:marTop w:val="0"/>
          <w:marBottom w:val="0"/>
          <w:divBdr>
            <w:top w:val="none" w:sz="0" w:space="0" w:color="auto"/>
            <w:left w:val="none" w:sz="0" w:space="0" w:color="auto"/>
            <w:bottom w:val="none" w:sz="0" w:space="0" w:color="auto"/>
            <w:right w:val="none" w:sz="0" w:space="0" w:color="auto"/>
          </w:divBdr>
        </w:div>
        <w:div w:id="918752612">
          <w:marLeft w:val="0"/>
          <w:marRight w:val="0"/>
          <w:marTop w:val="0"/>
          <w:marBottom w:val="0"/>
          <w:divBdr>
            <w:top w:val="none" w:sz="0" w:space="0" w:color="auto"/>
            <w:left w:val="none" w:sz="0" w:space="0" w:color="auto"/>
            <w:bottom w:val="none" w:sz="0" w:space="0" w:color="auto"/>
            <w:right w:val="none" w:sz="0" w:space="0" w:color="auto"/>
          </w:divBdr>
        </w:div>
        <w:div w:id="1397508875">
          <w:marLeft w:val="0"/>
          <w:marRight w:val="0"/>
          <w:marTop w:val="0"/>
          <w:marBottom w:val="0"/>
          <w:divBdr>
            <w:top w:val="none" w:sz="0" w:space="0" w:color="auto"/>
            <w:left w:val="none" w:sz="0" w:space="0" w:color="auto"/>
            <w:bottom w:val="none" w:sz="0" w:space="0" w:color="auto"/>
            <w:right w:val="none" w:sz="0" w:space="0" w:color="auto"/>
          </w:divBdr>
        </w:div>
        <w:div w:id="1979262877">
          <w:marLeft w:val="0"/>
          <w:marRight w:val="0"/>
          <w:marTop w:val="0"/>
          <w:marBottom w:val="0"/>
          <w:divBdr>
            <w:top w:val="none" w:sz="0" w:space="0" w:color="auto"/>
            <w:left w:val="none" w:sz="0" w:space="0" w:color="auto"/>
            <w:bottom w:val="none" w:sz="0" w:space="0" w:color="auto"/>
            <w:right w:val="none" w:sz="0" w:space="0" w:color="auto"/>
          </w:divBdr>
        </w:div>
      </w:divsChild>
    </w:div>
    <w:div w:id="1423146114">
      <w:bodyDiv w:val="1"/>
      <w:marLeft w:val="0"/>
      <w:marRight w:val="0"/>
      <w:marTop w:val="0"/>
      <w:marBottom w:val="0"/>
      <w:divBdr>
        <w:top w:val="none" w:sz="0" w:space="0" w:color="auto"/>
        <w:left w:val="none" w:sz="0" w:space="0" w:color="auto"/>
        <w:bottom w:val="none" w:sz="0" w:space="0" w:color="auto"/>
        <w:right w:val="none" w:sz="0" w:space="0" w:color="auto"/>
      </w:divBdr>
      <w:divsChild>
        <w:div w:id="1622766055">
          <w:marLeft w:val="300"/>
          <w:marRight w:val="0"/>
          <w:marTop w:val="0"/>
          <w:marBottom w:val="0"/>
          <w:divBdr>
            <w:top w:val="none" w:sz="0" w:space="0" w:color="auto"/>
            <w:left w:val="none" w:sz="0" w:space="0" w:color="auto"/>
            <w:bottom w:val="none" w:sz="0" w:space="0" w:color="auto"/>
            <w:right w:val="none" w:sz="0" w:space="0" w:color="auto"/>
          </w:divBdr>
        </w:div>
      </w:divsChild>
    </w:div>
    <w:div w:id="1517841967">
      <w:bodyDiv w:val="1"/>
      <w:marLeft w:val="0"/>
      <w:marRight w:val="0"/>
      <w:marTop w:val="0"/>
      <w:marBottom w:val="0"/>
      <w:divBdr>
        <w:top w:val="none" w:sz="0" w:space="0" w:color="auto"/>
        <w:left w:val="none" w:sz="0" w:space="0" w:color="auto"/>
        <w:bottom w:val="none" w:sz="0" w:space="0" w:color="auto"/>
        <w:right w:val="none" w:sz="0" w:space="0" w:color="auto"/>
      </w:divBdr>
      <w:divsChild>
        <w:div w:id="255479911">
          <w:marLeft w:val="0"/>
          <w:marRight w:val="0"/>
          <w:marTop w:val="0"/>
          <w:marBottom w:val="0"/>
          <w:divBdr>
            <w:top w:val="none" w:sz="0" w:space="0" w:color="auto"/>
            <w:left w:val="none" w:sz="0" w:space="0" w:color="auto"/>
            <w:bottom w:val="none" w:sz="0" w:space="0" w:color="auto"/>
            <w:right w:val="none" w:sz="0" w:space="0" w:color="auto"/>
          </w:divBdr>
        </w:div>
        <w:div w:id="837886594">
          <w:marLeft w:val="0"/>
          <w:marRight w:val="0"/>
          <w:marTop w:val="0"/>
          <w:marBottom w:val="0"/>
          <w:divBdr>
            <w:top w:val="none" w:sz="0" w:space="0" w:color="auto"/>
            <w:left w:val="none" w:sz="0" w:space="0" w:color="auto"/>
            <w:bottom w:val="none" w:sz="0" w:space="0" w:color="auto"/>
            <w:right w:val="none" w:sz="0" w:space="0" w:color="auto"/>
          </w:divBdr>
        </w:div>
      </w:divsChild>
    </w:div>
    <w:div w:id="1527600664">
      <w:bodyDiv w:val="1"/>
      <w:marLeft w:val="0"/>
      <w:marRight w:val="0"/>
      <w:marTop w:val="0"/>
      <w:marBottom w:val="0"/>
      <w:divBdr>
        <w:top w:val="none" w:sz="0" w:space="0" w:color="auto"/>
        <w:left w:val="none" w:sz="0" w:space="0" w:color="auto"/>
        <w:bottom w:val="none" w:sz="0" w:space="0" w:color="auto"/>
        <w:right w:val="none" w:sz="0" w:space="0" w:color="auto"/>
      </w:divBdr>
    </w:div>
    <w:div w:id="1682970487">
      <w:bodyDiv w:val="1"/>
      <w:marLeft w:val="0"/>
      <w:marRight w:val="0"/>
      <w:marTop w:val="0"/>
      <w:marBottom w:val="0"/>
      <w:divBdr>
        <w:top w:val="none" w:sz="0" w:space="0" w:color="auto"/>
        <w:left w:val="none" w:sz="0" w:space="0" w:color="auto"/>
        <w:bottom w:val="none" w:sz="0" w:space="0" w:color="auto"/>
        <w:right w:val="none" w:sz="0" w:space="0" w:color="auto"/>
      </w:divBdr>
    </w:div>
    <w:div w:id="1686320346">
      <w:bodyDiv w:val="1"/>
      <w:marLeft w:val="0"/>
      <w:marRight w:val="0"/>
      <w:marTop w:val="0"/>
      <w:marBottom w:val="0"/>
      <w:divBdr>
        <w:top w:val="none" w:sz="0" w:space="0" w:color="auto"/>
        <w:left w:val="none" w:sz="0" w:space="0" w:color="auto"/>
        <w:bottom w:val="none" w:sz="0" w:space="0" w:color="auto"/>
        <w:right w:val="none" w:sz="0" w:space="0" w:color="auto"/>
      </w:divBdr>
    </w:div>
    <w:div w:id="1697005417">
      <w:bodyDiv w:val="1"/>
      <w:marLeft w:val="0"/>
      <w:marRight w:val="0"/>
      <w:marTop w:val="0"/>
      <w:marBottom w:val="0"/>
      <w:divBdr>
        <w:top w:val="none" w:sz="0" w:space="0" w:color="auto"/>
        <w:left w:val="none" w:sz="0" w:space="0" w:color="auto"/>
        <w:bottom w:val="none" w:sz="0" w:space="0" w:color="auto"/>
        <w:right w:val="none" w:sz="0" w:space="0" w:color="auto"/>
      </w:divBdr>
      <w:divsChild>
        <w:div w:id="989402214">
          <w:marLeft w:val="0"/>
          <w:marRight w:val="0"/>
          <w:marTop w:val="0"/>
          <w:marBottom w:val="0"/>
          <w:divBdr>
            <w:top w:val="none" w:sz="0" w:space="0" w:color="auto"/>
            <w:left w:val="none" w:sz="0" w:space="0" w:color="auto"/>
            <w:bottom w:val="none" w:sz="0" w:space="0" w:color="auto"/>
            <w:right w:val="none" w:sz="0" w:space="0" w:color="auto"/>
          </w:divBdr>
        </w:div>
        <w:div w:id="169220008">
          <w:marLeft w:val="0"/>
          <w:marRight w:val="0"/>
          <w:marTop w:val="0"/>
          <w:marBottom w:val="0"/>
          <w:divBdr>
            <w:top w:val="none" w:sz="0" w:space="0" w:color="auto"/>
            <w:left w:val="none" w:sz="0" w:space="0" w:color="auto"/>
            <w:bottom w:val="none" w:sz="0" w:space="0" w:color="auto"/>
            <w:right w:val="none" w:sz="0" w:space="0" w:color="auto"/>
          </w:divBdr>
        </w:div>
        <w:div w:id="333997779">
          <w:marLeft w:val="0"/>
          <w:marRight w:val="0"/>
          <w:marTop w:val="0"/>
          <w:marBottom w:val="0"/>
          <w:divBdr>
            <w:top w:val="none" w:sz="0" w:space="0" w:color="auto"/>
            <w:left w:val="none" w:sz="0" w:space="0" w:color="auto"/>
            <w:bottom w:val="none" w:sz="0" w:space="0" w:color="auto"/>
            <w:right w:val="none" w:sz="0" w:space="0" w:color="auto"/>
          </w:divBdr>
        </w:div>
      </w:divsChild>
    </w:div>
    <w:div w:id="1700858296">
      <w:bodyDiv w:val="1"/>
      <w:marLeft w:val="0"/>
      <w:marRight w:val="0"/>
      <w:marTop w:val="0"/>
      <w:marBottom w:val="0"/>
      <w:divBdr>
        <w:top w:val="none" w:sz="0" w:space="0" w:color="auto"/>
        <w:left w:val="none" w:sz="0" w:space="0" w:color="auto"/>
        <w:bottom w:val="none" w:sz="0" w:space="0" w:color="auto"/>
        <w:right w:val="none" w:sz="0" w:space="0" w:color="auto"/>
      </w:divBdr>
      <w:divsChild>
        <w:div w:id="1884174946">
          <w:marLeft w:val="0"/>
          <w:marRight w:val="0"/>
          <w:marTop w:val="0"/>
          <w:marBottom w:val="0"/>
          <w:divBdr>
            <w:top w:val="none" w:sz="0" w:space="0" w:color="auto"/>
            <w:left w:val="none" w:sz="0" w:space="0" w:color="auto"/>
            <w:bottom w:val="none" w:sz="0" w:space="0" w:color="auto"/>
            <w:right w:val="none" w:sz="0" w:space="0" w:color="auto"/>
          </w:divBdr>
        </w:div>
        <w:div w:id="1730494976">
          <w:marLeft w:val="0"/>
          <w:marRight w:val="0"/>
          <w:marTop w:val="0"/>
          <w:marBottom w:val="0"/>
          <w:divBdr>
            <w:top w:val="none" w:sz="0" w:space="0" w:color="auto"/>
            <w:left w:val="none" w:sz="0" w:space="0" w:color="auto"/>
            <w:bottom w:val="none" w:sz="0" w:space="0" w:color="auto"/>
            <w:right w:val="none" w:sz="0" w:space="0" w:color="auto"/>
          </w:divBdr>
        </w:div>
        <w:div w:id="454250171">
          <w:marLeft w:val="0"/>
          <w:marRight w:val="0"/>
          <w:marTop w:val="0"/>
          <w:marBottom w:val="0"/>
          <w:divBdr>
            <w:top w:val="none" w:sz="0" w:space="0" w:color="auto"/>
            <w:left w:val="none" w:sz="0" w:space="0" w:color="auto"/>
            <w:bottom w:val="none" w:sz="0" w:space="0" w:color="auto"/>
            <w:right w:val="none" w:sz="0" w:space="0" w:color="auto"/>
          </w:divBdr>
        </w:div>
        <w:div w:id="2059357534">
          <w:marLeft w:val="0"/>
          <w:marRight w:val="0"/>
          <w:marTop w:val="0"/>
          <w:marBottom w:val="0"/>
          <w:divBdr>
            <w:top w:val="none" w:sz="0" w:space="0" w:color="auto"/>
            <w:left w:val="none" w:sz="0" w:space="0" w:color="auto"/>
            <w:bottom w:val="none" w:sz="0" w:space="0" w:color="auto"/>
            <w:right w:val="none" w:sz="0" w:space="0" w:color="auto"/>
          </w:divBdr>
        </w:div>
        <w:div w:id="584530334">
          <w:marLeft w:val="0"/>
          <w:marRight w:val="0"/>
          <w:marTop w:val="0"/>
          <w:marBottom w:val="0"/>
          <w:divBdr>
            <w:top w:val="none" w:sz="0" w:space="0" w:color="auto"/>
            <w:left w:val="none" w:sz="0" w:space="0" w:color="auto"/>
            <w:bottom w:val="none" w:sz="0" w:space="0" w:color="auto"/>
            <w:right w:val="none" w:sz="0" w:space="0" w:color="auto"/>
          </w:divBdr>
        </w:div>
        <w:div w:id="1993561470">
          <w:marLeft w:val="0"/>
          <w:marRight w:val="0"/>
          <w:marTop w:val="0"/>
          <w:marBottom w:val="0"/>
          <w:divBdr>
            <w:top w:val="none" w:sz="0" w:space="0" w:color="auto"/>
            <w:left w:val="none" w:sz="0" w:space="0" w:color="auto"/>
            <w:bottom w:val="none" w:sz="0" w:space="0" w:color="auto"/>
            <w:right w:val="none" w:sz="0" w:space="0" w:color="auto"/>
          </w:divBdr>
        </w:div>
        <w:div w:id="1491022952">
          <w:marLeft w:val="0"/>
          <w:marRight w:val="0"/>
          <w:marTop w:val="0"/>
          <w:marBottom w:val="0"/>
          <w:divBdr>
            <w:top w:val="none" w:sz="0" w:space="0" w:color="auto"/>
            <w:left w:val="none" w:sz="0" w:space="0" w:color="auto"/>
            <w:bottom w:val="none" w:sz="0" w:space="0" w:color="auto"/>
            <w:right w:val="none" w:sz="0" w:space="0" w:color="auto"/>
          </w:divBdr>
        </w:div>
        <w:div w:id="497497601">
          <w:marLeft w:val="0"/>
          <w:marRight w:val="0"/>
          <w:marTop w:val="0"/>
          <w:marBottom w:val="0"/>
          <w:divBdr>
            <w:top w:val="none" w:sz="0" w:space="0" w:color="auto"/>
            <w:left w:val="none" w:sz="0" w:space="0" w:color="auto"/>
            <w:bottom w:val="none" w:sz="0" w:space="0" w:color="auto"/>
            <w:right w:val="none" w:sz="0" w:space="0" w:color="auto"/>
          </w:divBdr>
        </w:div>
        <w:div w:id="1637906450">
          <w:marLeft w:val="0"/>
          <w:marRight w:val="0"/>
          <w:marTop w:val="0"/>
          <w:marBottom w:val="0"/>
          <w:divBdr>
            <w:top w:val="none" w:sz="0" w:space="0" w:color="auto"/>
            <w:left w:val="none" w:sz="0" w:space="0" w:color="auto"/>
            <w:bottom w:val="none" w:sz="0" w:space="0" w:color="auto"/>
            <w:right w:val="none" w:sz="0" w:space="0" w:color="auto"/>
          </w:divBdr>
        </w:div>
      </w:divsChild>
    </w:div>
    <w:div w:id="1751806521">
      <w:bodyDiv w:val="1"/>
      <w:marLeft w:val="0"/>
      <w:marRight w:val="0"/>
      <w:marTop w:val="0"/>
      <w:marBottom w:val="0"/>
      <w:divBdr>
        <w:top w:val="none" w:sz="0" w:space="0" w:color="auto"/>
        <w:left w:val="none" w:sz="0" w:space="0" w:color="auto"/>
        <w:bottom w:val="none" w:sz="0" w:space="0" w:color="auto"/>
        <w:right w:val="none" w:sz="0" w:space="0" w:color="auto"/>
      </w:divBdr>
      <w:divsChild>
        <w:div w:id="1330912889">
          <w:marLeft w:val="0"/>
          <w:marRight w:val="0"/>
          <w:marTop w:val="0"/>
          <w:marBottom w:val="0"/>
          <w:divBdr>
            <w:top w:val="none" w:sz="0" w:space="0" w:color="auto"/>
            <w:left w:val="none" w:sz="0" w:space="0" w:color="auto"/>
            <w:bottom w:val="none" w:sz="0" w:space="0" w:color="auto"/>
            <w:right w:val="none" w:sz="0" w:space="0" w:color="auto"/>
          </w:divBdr>
        </w:div>
        <w:div w:id="305863842">
          <w:marLeft w:val="0"/>
          <w:marRight w:val="0"/>
          <w:marTop w:val="0"/>
          <w:marBottom w:val="0"/>
          <w:divBdr>
            <w:top w:val="none" w:sz="0" w:space="0" w:color="auto"/>
            <w:left w:val="none" w:sz="0" w:space="0" w:color="auto"/>
            <w:bottom w:val="none" w:sz="0" w:space="0" w:color="auto"/>
            <w:right w:val="none" w:sz="0" w:space="0" w:color="auto"/>
          </w:divBdr>
        </w:div>
        <w:div w:id="275915831">
          <w:marLeft w:val="0"/>
          <w:marRight w:val="0"/>
          <w:marTop w:val="0"/>
          <w:marBottom w:val="0"/>
          <w:divBdr>
            <w:top w:val="none" w:sz="0" w:space="0" w:color="auto"/>
            <w:left w:val="none" w:sz="0" w:space="0" w:color="auto"/>
            <w:bottom w:val="none" w:sz="0" w:space="0" w:color="auto"/>
            <w:right w:val="none" w:sz="0" w:space="0" w:color="auto"/>
          </w:divBdr>
        </w:div>
        <w:div w:id="1752895588">
          <w:marLeft w:val="0"/>
          <w:marRight w:val="0"/>
          <w:marTop w:val="0"/>
          <w:marBottom w:val="0"/>
          <w:divBdr>
            <w:top w:val="none" w:sz="0" w:space="0" w:color="auto"/>
            <w:left w:val="none" w:sz="0" w:space="0" w:color="auto"/>
            <w:bottom w:val="none" w:sz="0" w:space="0" w:color="auto"/>
            <w:right w:val="none" w:sz="0" w:space="0" w:color="auto"/>
          </w:divBdr>
        </w:div>
        <w:div w:id="1623993493">
          <w:marLeft w:val="0"/>
          <w:marRight w:val="0"/>
          <w:marTop w:val="0"/>
          <w:marBottom w:val="0"/>
          <w:divBdr>
            <w:top w:val="none" w:sz="0" w:space="0" w:color="auto"/>
            <w:left w:val="none" w:sz="0" w:space="0" w:color="auto"/>
            <w:bottom w:val="none" w:sz="0" w:space="0" w:color="auto"/>
            <w:right w:val="none" w:sz="0" w:space="0" w:color="auto"/>
          </w:divBdr>
        </w:div>
        <w:div w:id="1477184806">
          <w:marLeft w:val="0"/>
          <w:marRight w:val="0"/>
          <w:marTop w:val="0"/>
          <w:marBottom w:val="0"/>
          <w:divBdr>
            <w:top w:val="none" w:sz="0" w:space="0" w:color="auto"/>
            <w:left w:val="none" w:sz="0" w:space="0" w:color="auto"/>
            <w:bottom w:val="none" w:sz="0" w:space="0" w:color="auto"/>
            <w:right w:val="none" w:sz="0" w:space="0" w:color="auto"/>
          </w:divBdr>
        </w:div>
        <w:div w:id="1750231974">
          <w:marLeft w:val="0"/>
          <w:marRight w:val="0"/>
          <w:marTop w:val="0"/>
          <w:marBottom w:val="0"/>
          <w:divBdr>
            <w:top w:val="none" w:sz="0" w:space="0" w:color="auto"/>
            <w:left w:val="none" w:sz="0" w:space="0" w:color="auto"/>
            <w:bottom w:val="none" w:sz="0" w:space="0" w:color="auto"/>
            <w:right w:val="none" w:sz="0" w:space="0" w:color="auto"/>
          </w:divBdr>
        </w:div>
        <w:div w:id="1861819458">
          <w:marLeft w:val="0"/>
          <w:marRight w:val="0"/>
          <w:marTop w:val="0"/>
          <w:marBottom w:val="0"/>
          <w:divBdr>
            <w:top w:val="none" w:sz="0" w:space="0" w:color="auto"/>
            <w:left w:val="none" w:sz="0" w:space="0" w:color="auto"/>
            <w:bottom w:val="none" w:sz="0" w:space="0" w:color="auto"/>
            <w:right w:val="none" w:sz="0" w:space="0" w:color="auto"/>
          </w:divBdr>
        </w:div>
        <w:div w:id="346518802">
          <w:marLeft w:val="0"/>
          <w:marRight w:val="0"/>
          <w:marTop w:val="0"/>
          <w:marBottom w:val="0"/>
          <w:divBdr>
            <w:top w:val="none" w:sz="0" w:space="0" w:color="auto"/>
            <w:left w:val="none" w:sz="0" w:space="0" w:color="auto"/>
            <w:bottom w:val="none" w:sz="0" w:space="0" w:color="auto"/>
            <w:right w:val="none" w:sz="0" w:space="0" w:color="auto"/>
          </w:divBdr>
        </w:div>
      </w:divsChild>
    </w:div>
    <w:div w:id="1816990233">
      <w:bodyDiv w:val="1"/>
      <w:marLeft w:val="0"/>
      <w:marRight w:val="0"/>
      <w:marTop w:val="0"/>
      <w:marBottom w:val="0"/>
      <w:divBdr>
        <w:top w:val="none" w:sz="0" w:space="0" w:color="auto"/>
        <w:left w:val="none" w:sz="0" w:space="0" w:color="auto"/>
        <w:bottom w:val="none" w:sz="0" w:space="0" w:color="auto"/>
        <w:right w:val="none" w:sz="0" w:space="0" w:color="auto"/>
      </w:divBdr>
    </w:div>
    <w:div w:id="1867865465">
      <w:bodyDiv w:val="1"/>
      <w:marLeft w:val="0"/>
      <w:marRight w:val="0"/>
      <w:marTop w:val="0"/>
      <w:marBottom w:val="0"/>
      <w:divBdr>
        <w:top w:val="none" w:sz="0" w:space="0" w:color="auto"/>
        <w:left w:val="none" w:sz="0" w:space="0" w:color="auto"/>
        <w:bottom w:val="none" w:sz="0" w:space="0" w:color="auto"/>
        <w:right w:val="none" w:sz="0" w:space="0" w:color="auto"/>
      </w:divBdr>
      <w:divsChild>
        <w:div w:id="1262183520">
          <w:marLeft w:val="0"/>
          <w:marRight w:val="0"/>
          <w:marTop w:val="0"/>
          <w:marBottom w:val="0"/>
          <w:divBdr>
            <w:top w:val="none" w:sz="0" w:space="0" w:color="auto"/>
            <w:left w:val="none" w:sz="0" w:space="0" w:color="auto"/>
            <w:bottom w:val="none" w:sz="0" w:space="0" w:color="auto"/>
            <w:right w:val="none" w:sz="0" w:space="0" w:color="auto"/>
          </w:divBdr>
        </w:div>
      </w:divsChild>
    </w:div>
    <w:div w:id="1924758152">
      <w:bodyDiv w:val="1"/>
      <w:marLeft w:val="0"/>
      <w:marRight w:val="0"/>
      <w:marTop w:val="0"/>
      <w:marBottom w:val="0"/>
      <w:divBdr>
        <w:top w:val="none" w:sz="0" w:space="0" w:color="auto"/>
        <w:left w:val="none" w:sz="0" w:space="0" w:color="auto"/>
        <w:bottom w:val="none" w:sz="0" w:space="0" w:color="auto"/>
        <w:right w:val="none" w:sz="0" w:space="0" w:color="auto"/>
      </w:divBdr>
    </w:div>
    <w:div w:id="1954752415">
      <w:bodyDiv w:val="1"/>
      <w:marLeft w:val="0"/>
      <w:marRight w:val="0"/>
      <w:marTop w:val="0"/>
      <w:marBottom w:val="0"/>
      <w:divBdr>
        <w:top w:val="none" w:sz="0" w:space="0" w:color="auto"/>
        <w:left w:val="none" w:sz="0" w:space="0" w:color="auto"/>
        <w:bottom w:val="none" w:sz="0" w:space="0" w:color="auto"/>
        <w:right w:val="none" w:sz="0" w:space="0" w:color="auto"/>
      </w:divBdr>
      <w:divsChild>
        <w:div w:id="16200985">
          <w:marLeft w:val="0"/>
          <w:marRight w:val="0"/>
          <w:marTop w:val="0"/>
          <w:marBottom w:val="0"/>
          <w:divBdr>
            <w:top w:val="none" w:sz="0" w:space="0" w:color="auto"/>
            <w:left w:val="none" w:sz="0" w:space="0" w:color="auto"/>
            <w:bottom w:val="none" w:sz="0" w:space="0" w:color="auto"/>
            <w:right w:val="none" w:sz="0" w:space="0" w:color="auto"/>
          </w:divBdr>
        </w:div>
        <w:div w:id="483205905">
          <w:marLeft w:val="0"/>
          <w:marRight w:val="0"/>
          <w:marTop w:val="0"/>
          <w:marBottom w:val="0"/>
          <w:divBdr>
            <w:top w:val="none" w:sz="0" w:space="0" w:color="auto"/>
            <w:left w:val="none" w:sz="0" w:space="0" w:color="auto"/>
            <w:bottom w:val="none" w:sz="0" w:space="0" w:color="auto"/>
            <w:right w:val="none" w:sz="0" w:space="0" w:color="auto"/>
          </w:divBdr>
        </w:div>
        <w:div w:id="1377242298">
          <w:marLeft w:val="0"/>
          <w:marRight w:val="0"/>
          <w:marTop w:val="0"/>
          <w:marBottom w:val="0"/>
          <w:divBdr>
            <w:top w:val="none" w:sz="0" w:space="0" w:color="auto"/>
            <w:left w:val="none" w:sz="0" w:space="0" w:color="auto"/>
            <w:bottom w:val="none" w:sz="0" w:space="0" w:color="auto"/>
            <w:right w:val="none" w:sz="0" w:space="0" w:color="auto"/>
          </w:divBdr>
        </w:div>
        <w:div w:id="1014921560">
          <w:marLeft w:val="0"/>
          <w:marRight w:val="0"/>
          <w:marTop w:val="0"/>
          <w:marBottom w:val="0"/>
          <w:divBdr>
            <w:top w:val="none" w:sz="0" w:space="0" w:color="auto"/>
            <w:left w:val="none" w:sz="0" w:space="0" w:color="auto"/>
            <w:bottom w:val="none" w:sz="0" w:space="0" w:color="auto"/>
            <w:right w:val="none" w:sz="0" w:space="0" w:color="auto"/>
          </w:divBdr>
        </w:div>
        <w:div w:id="1548682291">
          <w:marLeft w:val="0"/>
          <w:marRight w:val="0"/>
          <w:marTop w:val="0"/>
          <w:marBottom w:val="0"/>
          <w:divBdr>
            <w:top w:val="none" w:sz="0" w:space="0" w:color="auto"/>
            <w:left w:val="none" w:sz="0" w:space="0" w:color="auto"/>
            <w:bottom w:val="none" w:sz="0" w:space="0" w:color="auto"/>
            <w:right w:val="none" w:sz="0" w:space="0" w:color="auto"/>
          </w:divBdr>
        </w:div>
        <w:div w:id="286156950">
          <w:marLeft w:val="0"/>
          <w:marRight w:val="0"/>
          <w:marTop w:val="0"/>
          <w:marBottom w:val="0"/>
          <w:divBdr>
            <w:top w:val="none" w:sz="0" w:space="0" w:color="auto"/>
            <w:left w:val="none" w:sz="0" w:space="0" w:color="auto"/>
            <w:bottom w:val="none" w:sz="0" w:space="0" w:color="auto"/>
            <w:right w:val="none" w:sz="0" w:space="0" w:color="auto"/>
          </w:divBdr>
        </w:div>
        <w:div w:id="1729766269">
          <w:marLeft w:val="0"/>
          <w:marRight w:val="0"/>
          <w:marTop w:val="0"/>
          <w:marBottom w:val="0"/>
          <w:divBdr>
            <w:top w:val="none" w:sz="0" w:space="0" w:color="auto"/>
            <w:left w:val="none" w:sz="0" w:space="0" w:color="auto"/>
            <w:bottom w:val="none" w:sz="0" w:space="0" w:color="auto"/>
            <w:right w:val="none" w:sz="0" w:space="0" w:color="auto"/>
          </w:divBdr>
        </w:div>
        <w:div w:id="198904084">
          <w:marLeft w:val="0"/>
          <w:marRight w:val="0"/>
          <w:marTop w:val="0"/>
          <w:marBottom w:val="0"/>
          <w:divBdr>
            <w:top w:val="none" w:sz="0" w:space="0" w:color="auto"/>
            <w:left w:val="none" w:sz="0" w:space="0" w:color="auto"/>
            <w:bottom w:val="none" w:sz="0" w:space="0" w:color="auto"/>
            <w:right w:val="none" w:sz="0" w:space="0" w:color="auto"/>
          </w:divBdr>
        </w:div>
        <w:div w:id="1467894253">
          <w:marLeft w:val="0"/>
          <w:marRight w:val="0"/>
          <w:marTop w:val="0"/>
          <w:marBottom w:val="0"/>
          <w:divBdr>
            <w:top w:val="none" w:sz="0" w:space="0" w:color="auto"/>
            <w:left w:val="none" w:sz="0" w:space="0" w:color="auto"/>
            <w:bottom w:val="none" w:sz="0" w:space="0" w:color="auto"/>
            <w:right w:val="none" w:sz="0" w:space="0" w:color="auto"/>
          </w:divBdr>
        </w:div>
        <w:div w:id="865337802">
          <w:marLeft w:val="0"/>
          <w:marRight w:val="0"/>
          <w:marTop w:val="0"/>
          <w:marBottom w:val="0"/>
          <w:divBdr>
            <w:top w:val="none" w:sz="0" w:space="0" w:color="auto"/>
            <w:left w:val="none" w:sz="0" w:space="0" w:color="auto"/>
            <w:bottom w:val="none" w:sz="0" w:space="0" w:color="auto"/>
            <w:right w:val="none" w:sz="0" w:space="0" w:color="auto"/>
          </w:divBdr>
        </w:div>
        <w:div w:id="585384541">
          <w:marLeft w:val="0"/>
          <w:marRight w:val="0"/>
          <w:marTop w:val="0"/>
          <w:marBottom w:val="0"/>
          <w:divBdr>
            <w:top w:val="none" w:sz="0" w:space="0" w:color="auto"/>
            <w:left w:val="none" w:sz="0" w:space="0" w:color="auto"/>
            <w:bottom w:val="none" w:sz="0" w:space="0" w:color="auto"/>
            <w:right w:val="none" w:sz="0" w:space="0" w:color="auto"/>
          </w:divBdr>
        </w:div>
      </w:divsChild>
    </w:div>
    <w:div w:id="2050563272">
      <w:bodyDiv w:val="1"/>
      <w:marLeft w:val="0"/>
      <w:marRight w:val="0"/>
      <w:marTop w:val="0"/>
      <w:marBottom w:val="0"/>
      <w:divBdr>
        <w:top w:val="none" w:sz="0" w:space="0" w:color="auto"/>
        <w:left w:val="none" w:sz="0" w:space="0" w:color="auto"/>
        <w:bottom w:val="none" w:sz="0" w:space="0" w:color="auto"/>
        <w:right w:val="none" w:sz="0" w:space="0" w:color="auto"/>
      </w:divBdr>
      <w:divsChild>
        <w:div w:id="4484491">
          <w:marLeft w:val="0"/>
          <w:marRight w:val="0"/>
          <w:marTop w:val="0"/>
          <w:marBottom w:val="0"/>
          <w:divBdr>
            <w:top w:val="none" w:sz="0" w:space="0" w:color="auto"/>
            <w:left w:val="none" w:sz="0" w:space="0" w:color="auto"/>
            <w:bottom w:val="none" w:sz="0" w:space="0" w:color="auto"/>
            <w:right w:val="none" w:sz="0" w:space="0" w:color="auto"/>
          </w:divBdr>
        </w:div>
        <w:div w:id="611212011">
          <w:marLeft w:val="0"/>
          <w:marRight w:val="0"/>
          <w:marTop w:val="0"/>
          <w:marBottom w:val="0"/>
          <w:divBdr>
            <w:top w:val="none" w:sz="0" w:space="0" w:color="auto"/>
            <w:left w:val="none" w:sz="0" w:space="0" w:color="auto"/>
            <w:bottom w:val="none" w:sz="0" w:space="0" w:color="auto"/>
            <w:right w:val="none" w:sz="0" w:space="0" w:color="auto"/>
          </w:divBdr>
        </w:div>
      </w:divsChild>
    </w:div>
    <w:div w:id="20913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9789264300606-en"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112426</Words>
  <Characters>64084</Characters>
  <Application>Microsoft Office Word</Application>
  <DocSecurity>0</DocSecurity>
  <Lines>534</Lines>
  <Paragraphs>352</Paragraphs>
  <ScaleCrop>false</ScaleCrop>
  <Company/>
  <LinksUpToDate>false</LinksUpToDate>
  <CharactersWithSpaces>176158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2026-06-08T04:45:00Z</dcterms:created>
  <dcterms:modified xsi:type="dcterms:W3CDTF">2026-06-08T04:45:00Z</dcterms:modified>
</cp:coreProperties>
</file>