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Roj:</w:t>
      </w:r>
      <w:r>
        <w:rPr>
          <w:rFonts w:ascii="Verdana" w:hAnsi="Verdana" w:cs="Verdana"/>
          <w:sz w:val="20"/>
          <w:sz-cs w:val="20"/>
          <w:spacing w:val="0"/>
        </w:rPr>
        <w:t xml:space="preserve"> STS  1721/2026 - </w:t>
      </w:r>
      <w:r>
        <w:rPr>
          <w:rFonts w:ascii="Verdana" w:hAnsi="Verdana" w:cs="Verdana"/>
          <w:sz w:val="20"/>
          <w:sz-cs w:val="20"/>
          <w:b/>
          <w:spacing w:val="0"/>
          <w:color w:val="0000FF"/>
        </w:rPr>
        <w:t xml:space="preserve"> ECLI:</w:t>
      </w:r>
      <w:r>
        <w:rPr>
          <w:rFonts w:ascii="Verdana" w:hAnsi="Verdana" w:cs="Verdana"/>
          <w:sz w:val="20"/>
          <w:sz-cs w:val="20"/>
          <w:spacing w:val="0"/>
        </w:rPr>
        <w:t xml:space="preserve">ES:TS:2026:1721</w:t>
      </w:r>
    </w:p>
    <w:p>
      <w:pPr/>
      <w:r>
        <w:rPr>
          <w:rFonts w:ascii="Verdana" w:hAnsi="Verdana" w:cs="Verdana"/>
          <w:sz w:val="20"/>
          <w:sz-cs w:val="20"/>
          <w:b/>
          <w:spacing w:val="0"/>
          <w:color w:val="0000FF"/>
        </w:rPr>
        <w:t xml:space="preserve">Órgano:</w:t>
      </w:r>
      <w:r>
        <w:rPr>
          <w:rFonts w:ascii="Verdana" w:hAnsi="Verdana" w:cs="Verdana"/>
          <w:sz w:val="20"/>
          <w:sz-cs w:val="20"/>
          <w:spacing w:val="0"/>
        </w:rPr>
        <w:t xml:space="preserve"> Tribunal Supremo. Sala de lo Civil</w:t>
      </w:r>
    </w:p>
    <w:p>
      <w:pPr/>
      <w:r>
        <w:rPr>
          <w:rFonts w:ascii="Verdana" w:hAnsi="Verdana" w:cs="Verdana"/>
          <w:sz w:val="20"/>
          <w:sz-cs w:val="20"/>
          <w:b/>
          <w:spacing w:val="0"/>
          <w:color w:val="0000FF"/>
        </w:rPr>
        <w:t xml:space="preserve">Sede:</w:t>
      </w:r>
      <w:r>
        <w:rPr>
          <w:rFonts w:ascii="Verdana" w:hAnsi="Verdana" w:cs="Verdana"/>
          <w:sz w:val="20"/>
          <w:sz-cs w:val="20"/>
          <w:spacing w:val="0"/>
        </w:rPr>
        <w:t xml:space="preserve"> Madrid</w:t>
      </w:r>
    </w:p>
    <w:p>
      <w:pPr/>
      <w:r>
        <w:rPr>
          <w:rFonts w:ascii="Verdana" w:hAnsi="Verdana" w:cs="Verdana"/>
          <w:sz w:val="20"/>
          <w:sz-cs w:val="20"/>
          <w:b/>
          <w:spacing w:val="0"/>
          <w:color w:val="0000FF"/>
        </w:rPr>
        <w:t xml:space="preserve">Sección:</w:t>
      </w:r>
      <w:r>
        <w:rPr>
          <w:rFonts w:ascii="Verdana" w:hAnsi="Verdana" w:cs="Verdana"/>
          <w:sz w:val="20"/>
          <w:sz-cs w:val="20"/>
          <w:spacing w:val="0"/>
        </w:rPr>
        <w:t xml:space="preserve"> 1</w:t>
      </w:r>
    </w:p>
    <w:p>
      <w:pPr/>
      <w:r>
        <w:rPr>
          <w:rFonts w:ascii="Verdana" w:hAnsi="Verdana" w:cs="Verdana"/>
          <w:sz w:val="20"/>
          <w:sz-cs w:val="20"/>
          <w:b/>
          <w:spacing w:val="0"/>
          <w:color w:val="0000FF"/>
        </w:rPr>
        <w:t xml:space="preserve">Nº de Recurso:</w:t>
      </w:r>
      <w:r>
        <w:rPr>
          <w:rFonts w:ascii="Verdana" w:hAnsi="Verdana" w:cs="Verdana"/>
          <w:sz w:val="20"/>
          <w:sz-cs w:val="20"/>
          <w:spacing w:val="0"/>
        </w:rPr>
        <w:t xml:space="preserve"> 5908/2025</w:t>
      </w:r>
    </w:p>
    <w:p>
      <w:pPr/>
      <w:r>
        <w:rPr>
          <w:rFonts w:ascii="Verdana" w:hAnsi="Verdana" w:cs="Verdana"/>
          <w:sz w:val="20"/>
          <w:sz-cs w:val="20"/>
          <w:b/>
          <w:spacing w:val="0"/>
          <w:color w:val="0000FF"/>
        </w:rPr>
        <w:t xml:space="preserve">Nº de Resolución:</w:t>
      </w:r>
      <w:r>
        <w:rPr>
          <w:rFonts w:ascii="Verdana" w:hAnsi="Verdana" w:cs="Verdana"/>
          <w:sz w:val="20"/>
          <w:sz-cs w:val="20"/>
          <w:spacing w:val="0"/>
        </w:rPr>
        <w:t xml:space="preserve"> 626/2026</w:t>
      </w:r>
    </w:p>
    <w:p>
      <w:pPr/>
      <w:r>
        <w:rPr>
          <w:rFonts w:ascii="Verdana" w:hAnsi="Verdana" w:cs="Verdana"/>
          <w:sz w:val="20"/>
          <w:sz-cs w:val="20"/>
          <w:b/>
          <w:spacing w:val="0"/>
          <w:color w:val="0000FF"/>
        </w:rPr>
        <w:t xml:space="preserve">Fecha de Resolución:</w:t>
      </w:r>
      <w:r>
        <w:rPr>
          <w:rFonts w:ascii="Verdana" w:hAnsi="Verdana" w:cs="Verdana"/>
          <w:sz w:val="20"/>
          <w:sz-cs w:val="20"/>
          <w:spacing w:val="0"/>
        </w:rPr>
        <w:t xml:space="preserve"> 22/04/2026</w:t>
      </w:r>
    </w:p>
    <w:p>
      <w:pPr/>
      <w:r>
        <w:rPr>
          <w:rFonts w:ascii="Verdana" w:hAnsi="Verdana" w:cs="Verdana"/>
          <w:sz w:val="20"/>
          <w:sz-cs w:val="20"/>
          <w:b/>
          <w:spacing w:val="0"/>
          <w:color w:val="0000FF"/>
        </w:rPr>
        <w:t xml:space="preserve">Procedimiento:</w:t>
      </w:r>
      <w:r>
        <w:rPr>
          <w:rFonts w:ascii="Verdana" w:hAnsi="Verdana" w:cs="Verdana"/>
          <w:sz w:val="20"/>
          <w:sz-cs w:val="20"/>
          <w:spacing w:val="0"/>
        </w:rPr>
        <w:t xml:space="preserve"> Recurso de casación</w:t>
      </w:r>
    </w:p>
    <w:p>
      <w:pPr/>
      <w:r>
        <w:rPr>
          <w:rFonts w:ascii="Verdana" w:hAnsi="Verdana" w:cs="Verdana"/>
          <w:sz w:val="20"/>
          <w:sz-cs w:val="20"/>
          <w:b/>
          <w:spacing w:val="0"/>
          <w:color w:val="0000FF"/>
        </w:rPr>
        <w:t xml:space="preserve">Ponente:</w:t>
      </w:r>
      <w:r>
        <w:rPr>
          <w:rFonts w:ascii="Verdana" w:hAnsi="Verdana" w:cs="Verdana"/>
          <w:sz w:val="20"/>
          <w:sz-cs w:val="20"/>
          <w:spacing w:val="0"/>
        </w:rPr>
        <w:t xml:space="preserve"> FERNANDO CERDA ALBERO</w:t>
      </w:r>
    </w:p>
    <w:p>
      <w:pPr/>
      <w:r>
        <w:rPr>
          <w:rFonts w:ascii="Verdana" w:hAnsi="Verdana" w:cs="Verdana"/>
          <w:sz w:val="20"/>
          <w:sz-cs w:val="20"/>
          <w:b/>
          <w:spacing w:val="0"/>
          <w:color w:val="0000FF"/>
        </w:rPr>
        <w:t xml:space="preserve">Tipo de Resolución:</w:t>
      </w:r>
      <w:r>
        <w:rPr>
          <w:rFonts w:ascii="Verdana" w:hAnsi="Verdana" w:cs="Verdana"/>
          <w:sz w:val="20"/>
          <w:sz-cs w:val="20"/>
          <w:spacing w:val="0"/>
        </w:rPr>
        <w:t xml:space="preserve"> Sentencia</w:t>
      </w:r>
    </w:p>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Cuestión:</w:t>
      </w:r>
      <w:r>
        <w:rPr>
          <w:rFonts w:ascii="Verdana" w:hAnsi="Verdana" w:cs="Verdana"/>
          <w:sz w:val="20"/>
          <w:sz-cs w:val="20"/>
          <w:spacing w:val="0"/>
        </w:rPr>
        <w:t xml:space="preserve"/>
      </w:r>
    </w:p>
    <w:p>
      <w:pPr/>
      <w:r>
        <w:rPr>
          <w:rFonts w:ascii="Verdana" w:hAnsi="Verdana" w:cs="Verdana"/>
          <w:sz w:val="20"/>
          <w:sz-cs w:val="20"/>
          <w:spacing w:val="0"/>
        </w:rPr>
        <w:t xml:space="preserve"/>
      </w:r>
    </w:p>
    <w:p>
      <w:pPr>
        <w:jc w:val="both"/>
      </w:pPr>
      <w:r>
        <w:rPr>
          <w:rFonts w:ascii="Verdana" w:hAnsi="Verdana" w:cs="Verdana"/>
          <w:sz w:val="20"/>
          <w:sz-cs w:val="20"/>
          <w:spacing w:val="0"/>
        </w:rPr>
        <w:t xml:space="preserve"> Derecho de la competencia. Cártel de camiones. Acreditación del precio de adquisición del vehículo. Tasación mediante regresión econométrica con datos obrantes en el historial de la DGT e informe de vehículo emitido por la DGT.</w:t>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Resumen:</w:t>
      </w:r>
      <w:r>
        <w:rPr>
          <w:rFonts w:ascii="Verdana" w:hAnsi="Verdana" w:cs="Verdana"/>
          <w:sz w:val="20"/>
          <w:sz-cs w:val="20"/>
          <w:spacing w:val="0"/>
        </w:rPr>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spacing w:val="0"/>
        </w:rPr>
        <w:t xml:space="preserve"> La controversia jurídica se plantea en el ejercicio de una acción de daños por infracción del Derecho de la Competencia, en relación con el conocido cártel de los camiones, y se refiere a la acreditación del precio de adquisición del vehículo, en un caso en que el vehículo se adquirió casi veinte años antes de interponerse la demanda, por lo que el demandante no ha podido aportar la factura o cualquier documento en que conste dicho precio. El precio se acredita con una tasación aportada por el demandante, realizada mediante una regresión econométrica con datos obrantes en el historial de la Dirección General de Tráfico (en adelante, «DGT») y en el informe de vehículo emitido por la DGT, en vistas a la reclamación de la indemnización de los daños irrogados por el cártel. La sentencia de primera instancia desestimó la pretensión indemnizatoria ejercitada en la demanda frente al fabricante, pronunciamiento revocado en apelación por la audiencia provincial, que estimó parcialmente la demanda y condenó a la demandada a abonar a la actora el 5 % del precio fijado en la columna price contenida en el informe pericial de la actora. La sala desestima el recurso de casación interpuesto por la demandada. La doctrina jurisprudencial ha declarado que las normas sobre la carga de la prueba sólo pueden infringirse cuando no se haya considerado probado el hecho relevante, lo que no ocurre en este caso, en el que se que ha considerado suficientemente probado el precio de adquisición del vehículo. La validez de la metodología utilizada no es discutida, contradicha o desvirtuada en el recurso. Ni la demandada recurrente ha aportado prueba alguna sobre el precio efectivamente satisfecho por el demandante. La necesidad de acudir a dicha metodología se explica por las enormes dificultades prácticas de conservar el contrato de compraventa (o de arrendamiento financiero) o las facturas referidas a la adquisición del vehículo, en casos como el presente, en que ha transcurrido tanto tiempo desde la adquisición (casi veinte años).</w:t>
      </w:r>
    </w:p>
    <w:p>
      <w:pPr>
        <w:jc w:val="both"/>
      </w:pPr>
      <w:r>
        <w:rPr>
          <w:rFonts w:ascii="Verdana" w:hAnsi="Verdana" w:cs="Verdana"/>
          <w:sz w:val="20"/>
          <w:sz-cs w:val="20"/>
          <w:spacing w:val="0"/>
        </w:rPr>
        <w:t xml:space="preserve"/>
      </w:r>
    </w:p>
    <w:p>
      <w:pPr>
        <w:jc w:val="both"/>
      </w:pPr>
      <w:r>
        <w:rPr>
          <w:rFonts w:ascii="Verdana" w:hAnsi="Verdana" w:cs="Verdana"/>
          <w:sz w:val="20"/>
          <w:sz-cs w:val="20"/>
          <w:u w:val="single" w:color="000000"/>
          <w:spacing w:val="0"/>
        </w:rPr>
        <w:t xml:space="preserve"/>
        <w:tab/>
        <w:t xml:space="preserve"/>
        <w:tab/>
        <w:t xml:space="preserve"/>
        <w:tab/>
        <w:t xml:space="preserve"/>
        <w:tab/>
        <w:t xml:space="preserve"/>
        <w:tab/>
        <w:t xml:space="preserve"/>
        <w:tab/>
        <w:t xml:space="preserve"/>
        <w:tab/>
        <w:t xml:space="preserve"/>
        <w:tab/>
        <w:t xml:space="preserve"/>
        <w:tab/>
        <w:t xml:space="preserve"/>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Encabezamiento</w:t>
      </w: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 R I B U N A L S U P R E M 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Sala de lo Civil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w:t>
      </w:r>
      <w:r>
        <w:rPr>
          <w:rFonts w:ascii="Verdana" w:hAnsi="Verdana" w:cs="Verdana"/>
          <w:sz w:val="20"/>
          <w:sz-cs w:val="20"/>
          <w:b/>
          <w:u w:val="single" w:color="000000"/>
          <w:spacing w:val="0"/>
        </w:rPr>
        <w:t xml:space="preserve"> Sentencia núm. 626/2026 </w:t>
      </w:r>
      <w:r>
        <w:rPr>
          <w:rFonts w:ascii="Verdana" w:hAnsi="Verdana" w:cs="Verdana"/>
          <w:sz w:val="20"/>
          <w:sz-cs w:val="20"/>
          <w:b/>
          <w:spacing w:val="0"/>
        </w:rPr>
        <w:t xml:space="preserv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Fecha de sentencia: 22/04/2026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Tipo de procedimiento: RECURSO DE CASACIÓN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Número del procedimiento: 5908/2025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Fallo/Acuerdo: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Fecha de Votación y Fallo: 08/04/2026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Ponente: Excmo. Sr. D. Fernando Cerdá Albero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Procedencia: Audiencia Provincial de Huesca, Sección Única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Letrado de la Administración de Justicia: Ilmo. Sr. D. Fernando Javier Navalón Romero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Transcrito por: BMP</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Nota: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RECURSO DE CASACIÓN núm.: 5908/2025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Ponente: Excmo. Sr. D. Fernando Cerdá Albero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Letrado de la Administración de Justicia: Ilmo. Sr. D. Fernando Javier Navalón Romero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TRIBUNAL SUPREMO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Sala de lo Civil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Sentencia núm. 626/2026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Excmos. Sres. y Excma. Sra.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Ignacio Sancho Gargallo, presidente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Pedro José Vela Torres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D.ª Nuria Auxiliadora Orellana Cano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Fernando Cerdá Albero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Madrid, a 22 de abril de 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 Sala ha visto el recurso de casación interpuesto contra la </w:t>
      </w:r>
      <w:r>
        <w:rPr>
          <w:rFonts w:ascii="Verdana" w:hAnsi="Verdana" w:cs="Verdana"/>
          <w:sz w:val="20"/>
          <w:sz-cs w:val="20"/>
          <w:i/>
          <w:spacing w:val="0"/>
        </w:rPr>
        <w:t xml:space="preserve"> sentencia n.º 212/2025, de 27 de mayo, dictada por la Sección Única de la Audiencia Provincial de Huesca (recurso de apelación n.º 41/2022 </w:t>
      </w:r>
      <w:r>
        <w:rPr>
          <w:rFonts w:ascii="Verdana" w:hAnsi="Verdana" w:cs="Verdana"/>
          <w:sz w:val="20"/>
          <w:sz-cs w:val="20"/>
          <w:spacing w:val="0"/>
        </w:rPr>
        <w:t xml:space="preserve"> ), como consecuencia de </w:t>
      </w:r>
      <w:r>
        <w:rPr>
          <w:rFonts w:ascii="Verdana" w:hAnsi="Verdana" w:cs="Verdana"/>
          <w:sz w:val="20"/>
          <w:sz-cs w:val="20"/>
          <w:i/>
          <w:spacing w:val="0"/>
        </w:rPr>
        <w:t xml:space="preserve"> autos de procedimiento ordinario n.º 157/2020, seguidos ante el Juzgado de Primera Instancia e Instrucción n.º 3 de Huesca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 parte recurrente Renault Trucks S.A.S., representada por el procurador D. Ignacio López Chocarro y bajo la dirección letrada del abogado D. Rafael Murillo Tapia y de la abogada D.ª Natalia Gómez Bernardo.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 parte recurrida D. Genaro, representado por la procuradora D.ª Hortensia Barrio Puyal y bajo la dirección letrada del abogado D. Jaime Concheiro Fernández.</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Ha sido ponente el Excmo. Sr. D. Fernando Cerdá Albero.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ANTECEDENTES DE HECHO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w:t>
      </w:r>
      <w:r>
        <w:rPr>
          <w:rFonts w:ascii="Verdana" w:hAnsi="Verdana" w:cs="Verdana"/>
          <w:sz w:val="20"/>
          <w:sz-cs w:val="20"/>
          <w:i/>
          <w:spacing w:val="0"/>
        </w:rPr>
        <w:t xml:space="preserve"> Tramitación en primera instancia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D. Genaro, representado por la procuradora D.ª Hortensia Barrio Puyal, interpuso demanda el 28 de abril de 2020 contra Renault Trucks S.A.S., para que se dictase sentencia por la que: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«estimando la demanda: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 Con carácter principal</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»1.1. Se declare que la demandada es responsable de los daños objeto de reclamación que ascienden a 17.999,86 &amp;#8364; sufridos por mi mandante, como consecuencia de la infracción del Derecho de la Competencia.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»1.2. Se condene a la demandada al pago de las cantidades señaladas así como, en caso de proceder, al pago de los intereses legales devengados desde la fecha desde la interposición de la demanda y, subsidiariamente, desde la sentencia.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 Con carácter subsidiario, en caso de no atender a la anterior petición: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»2.1. Se declare que la demandada es responsable de los daños que resulten acreditados tras las pruebas periciales practicadas, como consecuencia de la infracción del Derecho de la Competencia.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»2.2. Se condene a la demandada al pago de las cantidades que se deriven de la prueba practicada así como, en caso de proceder, al pago de los intereses legales devengados desde la fecha desde la interposición de la demanda y, subsidiariamente, desde la sentencia.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»3. Y se condene a los demandados al abono de las costas causadas.»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 demanda fue repartida al </w:t>
      </w:r>
      <w:r>
        <w:rPr>
          <w:rFonts w:ascii="Verdana" w:hAnsi="Verdana" w:cs="Verdana"/>
          <w:sz w:val="20"/>
          <w:sz-cs w:val="20"/>
          <w:i/>
          <w:spacing w:val="0"/>
        </w:rPr>
        <w:t xml:space="preserve"> Juzgado de Primera Instancia e Instrucción n.º 3 de Huesca y se registró como procedimiento ordinario n.º 157/2020 </w:t>
      </w:r>
      <w:r>
        <w:rPr>
          <w:rFonts w:ascii="Verdana" w:hAnsi="Verdana" w:cs="Verdana"/>
          <w:sz w:val="20"/>
          <w:sz-cs w:val="20"/>
          <w:spacing w:val="0"/>
        </w:rPr>
        <w:t xml:space="preserv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Renault Trucks S.A.S., representada por la procuradora D.ª Patricia Peire Blasco, contestó la demanda el 8 de octubre de 2020 y pidió al juzgado que: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«tenga por formulado, en tiempo y forma, escrito de contestación a la demanda para que, en su día, previos los trámites procesales oportunos, dicte sentencia en la que desestime íntegramente la demanda con expresa imposición de costas.»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El </w:t>
      </w:r>
      <w:r>
        <w:rPr>
          <w:rFonts w:ascii="Verdana" w:hAnsi="Verdana" w:cs="Verdana"/>
          <w:sz w:val="20"/>
          <w:sz-cs w:val="20"/>
          <w:i/>
          <w:spacing w:val="0"/>
        </w:rPr>
        <w:t xml:space="preserve"> Juzgado de Primera Instancia e Instrucción n.º 3 de Huesca dictó la sentencia n.º 147/2021, de 25 de agosto </w:t>
      </w:r>
      <w:r>
        <w:rPr>
          <w:rFonts w:ascii="Verdana" w:hAnsi="Verdana" w:cs="Verdana"/>
          <w:sz w:val="20"/>
          <w:sz-cs w:val="20"/>
          <w:spacing w:val="0"/>
        </w:rPr>
        <w:t xml:space="preserve">, cuya parte dispositiva establece: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«Fallo: Se desestima la demanda formulada por la procuradora Sra. Barrio Puyal, en nombre y representación de D. Genaro contra Renault Trucks S.A.S.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»Sin expresa imposición de costas a ninguna de las partes.»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w:t>
      </w:r>
      <w:r>
        <w:rPr>
          <w:rFonts w:ascii="Verdana" w:hAnsi="Verdana" w:cs="Verdana"/>
          <w:sz w:val="20"/>
          <w:sz-cs w:val="20"/>
          <w:i/>
          <w:spacing w:val="0"/>
        </w:rPr>
        <w:t xml:space="preserve"> Tramitación en segunda instancia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D. Genaro recurrió en apelación la sentencia de primera instancia.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 </w:t>
      </w:r>
      <w:r>
        <w:rPr>
          <w:rFonts w:ascii="Verdana" w:hAnsi="Verdana" w:cs="Verdana"/>
          <w:sz w:val="20"/>
          <w:sz-cs w:val="20"/>
          <w:i/>
          <w:spacing w:val="0"/>
        </w:rPr>
        <w:t xml:space="preserve"> Sección Única de la Audiencia Provincial de Huesca resolvió este recurso mediante la sentencia n.º 212/2025, de 27 de mayo </w:t>
      </w:r>
      <w:r>
        <w:rPr>
          <w:rFonts w:ascii="Verdana" w:hAnsi="Verdana" w:cs="Verdana"/>
          <w:sz w:val="20"/>
          <w:sz-cs w:val="20"/>
          <w:spacing w:val="0"/>
        </w:rPr>
        <w:t xml:space="preserve">, cuyo fallo dispone: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«Estimamos en parte el recurso interpuesto por la actora, estimando en parte la demanda, debiendo condenar a la demandada, Renault Trucks S.A.S., a que pague a la actora el 5 % del precio fijado en la columna </w:t>
      </w:r>
      <w:r>
        <w:rPr>
          <w:rFonts w:ascii="Verdana" w:hAnsi="Verdana" w:cs="Verdana"/>
          <w:sz w:val="20"/>
          <w:sz-cs w:val="20"/>
          <w:i/>
          <w:spacing w:val="0"/>
        </w:rPr>
        <w:t xml:space="preserve"> price </w:t>
      </w:r>
      <w:r>
        <w:rPr>
          <w:rFonts w:ascii="Verdana" w:hAnsi="Verdana" w:cs="Verdana"/>
          <w:sz w:val="20"/>
          <w:sz-cs w:val="20"/>
          <w:spacing w:val="0"/>
        </w:rPr>
        <w:t xml:space="preserve"> contenida en el informe pericial de la actora, más los intereses moratorios computados desde la interpelación judicial. Sin condena en costas en la alzada.»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D. Genaro solicitó la subsanación y/o aclaración de la sentencia, alegando que: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sentencia incurre en un error de transcripción en el fallo, toda vez que, conforme al fundamento jurídico de la sentencia, todo apunta a que el criterio de la Sala es el de conceder los intereses legales como parte de la indemnización desde la fecha en la que tuvo lugar el daño, lo cual se identifica con la fecha de compra. Sin embargo, tras fijar ese criterio, en el fallo de la sentencia indica que concede los intereses desde la interpelación judicial.»</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Mediante </w:t>
      </w:r>
      <w:r>
        <w:rPr>
          <w:rFonts w:ascii="Verdana" w:hAnsi="Verdana" w:cs="Verdana"/>
          <w:sz w:val="20"/>
          <w:sz-cs w:val="20"/>
          <w:i/>
          <w:spacing w:val="0"/>
        </w:rPr>
        <w:t xml:space="preserve"> auto de 23 de junio de 2025, la Sección Única de la Audiencia Provincial de Huesca </w:t>
      </w:r>
      <w:r>
        <w:rPr>
          <w:rFonts w:ascii="Verdana" w:hAnsi="Verdana" w:cs="Verdana"/>
          <w:sz w:val="20"/>
          <w:sz-cs w:val="20"/>
          <w:spacing w:val="0"/>
        </w:rPr>
        <w:t xml:space="preserve"> estimó la solicitud de subsanación/aclaración. A este respecto, sostuvo: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Sala acuerda: Ser procedente la rectificación/aclaración de la resolución definitiva dictada, pretendida por la procuradora Sra. Barrio Puyal, en representación de Genaro, debiendo constar en el fallo en cuanto a la condena a los intereses, que su cómputo deberá hacerse desde la fecha de la compra de los camiones.»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w:t>
      </w:r>
      <w:r>
        <w:rPr>
          <w:rFonts w:ascii="Verdana" w:hAnsi="Verdana" w:cs="Verdana"/>
          <w:sz w:val="20"/>
          <w:sz-cs w:val="20"/>
          <w:i/>
          <w:spacing w:val="0"/>
        </w:rPr>
        <w:t xml:space="preserve"> Interposición y tramitación del recurso de casación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Renault Trucks S.A.S. interpuso recurso de casación ante la Sección Única de la Audiencia Provincial de Huesca.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dos motivos del recurso de casación fueron: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«Primero.-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infracción de las normas reguladoras de la sentencia (y la carga de la prueba) por aplicación indebida del </w:t>
      </w:r>
      <w:r>
        <w:rPr>
          <w:rFonts w:ascii="Verdana" w:hAnsi="Verdana" w:cs="Verdana"/>
          <w:sz w:val="20"/>
          <w:sz-cs w:val="20"/>
          <w:i/>
          <w:spacing w:val="0"/>
        </w:rPr>
        <w:t xml:space="preserve"> art. 217.1 LEC </w:t>
      </w:r>
      <w:r>
        <w:rPr>
          <w:rFonts w:ascii="Verdana" w:hAnsi="Verdana" w:cs="Verdana"/>
          <w:sz w:val="20"/>
          <w:sz-cs w:val="20"/>
          <w:spacing w:val="0"/>
        </w:rPr>
        <w:t xml:space="preserve"> en relación con el </w:t>
      </w:r>
      <w:r>
        <w:rPr>
          <w:rFonts w:ascii="Verdana" w:hAnsi="Verdana" w:cs="Verdana"/>
          <w:sz w:val="20"/>
          <w:sz-cs w:val="20"/>
          <w:i/>
          <w:spacing w:val="0"/>
        </w:rPr>
        <w:t xml:space="preserve"> art. 217.2 LEC </w:t>
      </w:r>
      <w:r>
        <w:rPr>
          <w:rFonts w:ascii="Verdana" w:hAnsi="Verdana" w:cs="Verdana"/>
          <w:sz w:val="20"/>
          <w:sz-cs w:val="20"/>
          <w:spacing w:val="0"/>
        </w:rPr>
        <w:t xml:space="preserve">, en tanto que la sentencia de apelación ha reconocido una indemnización por la compra del único camión del caso sin que la parte actora acreditara el precio de adquisición del referido camión.»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«Segundo.-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por jurisprudencia contradictoria de audiencias provinciales en relación con el </w:t>
      </w:r>
      <w:r>
        <w:rPr>
          <w:rFonts w:ascii="Verdana" w:hAnsi="Verdana" w:cs="Verdana"/>
          <w:sz w:val="20"/>
          <w:sz-cs w:val="20"/>
          <w:i/>
          <w:spacing w:val="0"/>
        </w:rPr>
        <w:t xml:space="preserve"> art. 217 LEC </w:t>
      </w:r>
      <w:r>
        <w:rPr>
          <w:rFonts w:ascii="Verdana" w:hAnsi="Verdana" w:cs="Verdana"/>
          <w:sz w:val="20"/>
          <w:sz-cs w:val="20"/>
          <w:spacing w:val="0"/>
        </w:rPr>
        <w:t xml:space="preserve"> ya que, en casos en los que la parte actora no aporta ni factura de compra, ni contrato de arrendamiento financiero ni documentos contables tendentes a acreditar el precio real del camión, la sentencia de apelación -y la Sección 4.ª de la Audiencia Provincial de Murcia- valida la estimación econométrica de Caballer-Herrerías para asignar artificialmente una magnitud como precio de adquisición mientras que la Sección 28.ª de la Audiencia Provincial de Madrid la rechaza.»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Las actuaciones fueron remitidas por la audiencia provincial a esta sala y las partes fueron emplazadas para comparecer ante ella. Una vez recibidas las actuaciones en la sala y personadas las partes por medio de los procuradores mencionados en el encabezamiento, se dictó auto el 26 de noviembre de 2025, cuya parte dispositiva señala: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«Admitir el recurso de casación interpuesto contra la </w:t>
      </w:r>
      <w:r>
        <w:rPr>
          <w:rFonts w:ascii="Verdana" w:hAnsi="Verdana" w:cs="Verdana"/>
          <w:sz w:val="20"/>
          <w:sz-cs w:val="20"/>
          <w:i/>
          <w:spacing w:val="0"/>
        </w:rPr>
        <w:t xml:space="preserve"> sentencia n.º 212/2025, de 27 de mayo, de la Audiencia Provincial de Huesca (Sección Única) en el rollo de apelación n.º 41/2022 </w:t>
      </w:r>
      <w:r>
        <w:rPr>
          <w:rFonts w:ascii="Verdana" w:hAnsi="Verdana" w:cs="Verdana"/>
          <w:sz w:val="20"/>
          <w:sz-cs w:val="20"/>
          <w:spacing w:val="0"/>
        </w:rPr>
        <w:t xml:space="preserve">, que dimana de los </w:t>
      </w:r>
      <w:r>
        <w:rPr>
          <w:rFonts w:ascii="Verdana" w:hAnsi="Verdana" w:cs="Verdana"/>
          <w:sz w:val="20"/>
          <w:sz-cs w:val="20"/>
          <w:i/>
          <w:spacing w:val="0"/>
        </w:rPr>
        <w:t xml:space="preserve"> autos de juicio ordinario n.º 157/2020, seguidos ante el Juzgado de Primera Instancia e Instrucción n.º 3 de Huesca </w:t>
      </w:r>
      <w:r>
        <w:rPr>
          <w:rFonts w:ascii="Verdana" w:hAnsi="Verdana" w:cs="Verdana"/>
          <w:sz w:val="20"/>
          <w:sz-cs w:val="20"/>
          <w:spacing w:val="0"/>
        </w:rPr>
        <w:t xml:space="preserv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Se dio traslado a la parte recurrida para que formalizara su oposición, lo que hizo mediante la presentación del correspondiente escrito.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Por providencia de 3 de marzo de 2026 se ha nombrado ponente al que lo es en este trámite y, al no solicitarse por todas las partes la celebración de vista pública, se ha señalado para votación y fallo el día 8 de abril de 2026, en que ha tenido lugar.</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FUNDAMENTOS DE DERECHO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w:t>
      </w:r>
      <w:r>
        <w:rPr>
          <w:rFonts w:ascii="Verdana" w:hAnsi="Verdana" w:cs="Verdana"/>
          <w:sz w:val="20"/>
          <w:sz-cs w:val="20"/>
          <w:i/>
          <w:spacing w:val="0"/>
        </w:rPr>
        <w:t xml:space="preserve"> Cuestión controvertida y resumen de antecedentes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La presente controversia jurídica se plantea en el ejercicio de una acción de daños por infracción del Derecho de la Competencia, en relación con el conocido cártel de los camiones, y se refiere a la acreditación del precio de adquisición del vehículo, en un caso en que el vehículo se adquirió casi veinte años antes de interponerse la demanda, por lo que el demandante no ha podido aportar la factura o cualquier documento en que conste dicho precio. El precio se acredita con una tasación aportada por el demandante, realizada mediante una regresión econométrica con datos obrantes en el historial de la Dirección General de Tráfico (en adelante, «DGT») y en el informe de vehículo emitido por la DGT, en vistas a la reclamación de la indemnización de los daños irrogados por el cártel.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Para la resolución del presente recurso de casación interpuesto por la parte demandada, debemos partir de la relación de hechos relevantes acreditados en la instancia.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(i) </w:t>
      </w:r>
      <w:r>
        <w:rPr>
          <w:rFonts w:ascii="Verdana" w:hAnsi="Verdana" w:cs="Verdana"/>
          <w:sz w:val="20"/>
          <w:sz-cs w:val="20"/>
          <w:spacing w:val="0"/>
        </w:rPr>
        <w:t xml:space="preserve"> D. Genaro (en adelante, el Sr. « Genaro ») adquirió, por compra directa, el 9 de mayo de 2000, un camión marca «Volvo», con matrícula NUM000, número de bastidor NUM001, por un precio de 68.131,25 &amp;#8364; (sin incluir impuestos).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(ii) </w:t>
      </w:r>
      <w:r>
        <w:rPr>
          <w:rFonts w:ascii="Verdana" w:hAnsi="Verdana" w:cs="Verdana"/>
          <w:sz w:val="20"/>
          <w:sz-cs w:val="20"/>
          <w:spacing w:val="0"/>
        </w:rPr>
        <w:t xml:space="preserve"> El 19 de julio de 2016, la Comisión Europea adoptó la decisión (y publicó un comunicado de prensa al respecto) en el asunto «AT.39824-Camiones», en la que declaró el carácter anticompetitivo de determinados acuerdos colusorios alcanzados por varios fabricantes (MAN, Daimler, DAF, Volvo, Renault e Iveco) de «camiones medios» (con un peso entre 6 y 16 toneladas) y «camiones pesados» (de más de 16 toneladas), acuerdos referidos a la fijación de precios y aumento de precios brutos, así como a la repercusión de costes para la introducción de las tecnologías de emisiones según normas Euro 3 a Euro 6, que afectaron a todo el Espacio Económico Europeo y que se extendieron desde el 17 de enero de 1997 hasta el 19 de enero de 2011. El texto de la decisión se publicó en el DOUE el 6 de abril de 2017.</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El 29 de abril de 2020, el Sr. Genaro interpuso la demanda de reclamación de daños por infracción del Derecho de la competencia contra Renault Trucks S.A.S. (en lo sucesivo, «Renault»), que ha dado lugar al presente procedimiento. En esta demanda pidió al juzgado que declarase la responsabilidad de la demanda por los daños reclamados por importe de 17.999,86 &amp;#8364; (o subsidiariamente los que resultasen acreditados tras las pruebas periciales practicadas) y los intereses legales devengados desde la fecha desde la interposición de la demanda y, subsidiariamente, desde la sentencia.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El conocimiento de la demanda correspondió al </w:t>
      </w:r>
      <w:r>
        <w:rPr>
          <w:rFonts w:ascii="Verdana" w:hAnsi="Verdana" w:cs="Verdana"/>
          <w:sz w:val="20"/>
          <w:sz-cs w:val="20"/>
          <w:i/>
          <w:spacing w:val="0"/>
        </w:rPr>
        <w:t xml:space="preserve"> Juzgado de Primera Instancia e Instrucción n.º 3 de Huesca (procedimiento ordinario n.º 157/2020 </w:t>
      </w:r>
      <w:r>
        <w:rPr>
          <w:rFonts w:ascii="Verdana" w:hAnsi="Verdana" w:cs="Verdana"/>
          <w:sz w:val="20"/>
          <w:sz-cs w:val="20"/>
          <w:spacing w:val="0"/>
        </w:rPr>
        <w:t xml:space="preserve"> ). Renault se opuso a la demanda y solicitó su desestimación.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5. </w:t>
      </w:r>
      <w:r>
        <w:rPr>
          <w:rFonts w:ascii="Verdana" w:hAnsi="Verdana" w:cs="Verdana"/>
          <w:sz w:val="20"/>
          <w:sz-cs w:val="20"/>
          <w:spacing w:val="0"/>
        </w:rPr>
        <w:t xml:space="preserve"> El juzgado dictó la </w:t>
      </w:r>
      <w:r>
        <w:rPr>
          <w:rFonts w:ascii="Verdana" w:hAnsi="Verdana" w:cs="Verdana"/>
          <w:sz w:val="20"/>
          <w:sz-cs w:val="20"/>
          <w:i/>
          <w:spacing w:val="0"/>
        </w:rPr>
        <w:t xml:space="preserve"> sentencia n.º 147/2021, de 25 de agosto </w:t>
      </w:r>
      <w:r>
        <w:rPr>
          <w:rFonts w:ascii="Verdana" w:hAnsi="Verdana" w:cs="Verdana"/>
          <w:sz w:val="20"/>
          <w:sz-cs w:val="20"/>
          <w:spacing w:val="0"/>
        </w:rPr>
        <w:t xml:space="preserve">, que desestimó la demanda del Sr. Genaro, sin expresa imposición de costas.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Rechazó la excepción de prescripción alegada por la demandada y apreció la falta de legitimación activa del Sr. Genaro, quien no acreditó la titularidad del camión afectado ni el pago de su precio, ya que sólo aportó documentación emitida por la DGT, pero no la documentación técnica del vehículo, ni facturas ni contrato que justificaran su adquisición.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6. </w:t>
      </w:r>
      <w:r>
        <w:rPr>
          <w:rFonts w:ascii="Verdana" w:hAnsi="Verdana" w:cs="Verdana"/>
          <w:sz w:val="20"/>
          <w:sz-cs w:val="20"/>
          <w:spacing w:val="0"/>
        </w:rPr>
        <w:t xml:space="preserve"> El Sr. Genaro recurrió en apelación la sentencia de primera instancia.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7. </w:t>
      </w:r>
      <w:r>
        <w:rPr>
          <w:rFonts w:ascii="Verdana" w:hAnsi="Verdana" w:cs="Verdana"/>
          <w:sz w:val="20"/>
          <w:sz-cs w:val="20"/>
          <w:spacing w:val="0"/>
        </w:rPr>
        <w:t xml:space="preserve"> La </w:t>
      </w:r>
      <w:r>
        <w:rPr>
          <w:rFonts w:ascii="Verdana" w:hAnsi="Verdana" w:cs="Verdana"/>
          <w:sz w:val="20"/>
          <w:sz-cs w:val="20"/>
          <w:i/>
          <w:spacing w:val="0"/>
        </w:rPr>
        <w:t xml:space="preserve"> Audiencia Provincial de Huesca (Sección Única) en su sentencia n.º 212/2025, de 27 de mayo </w:t>
      </w:r>
      <w:r>
        <w:rPr>
          <w:rFonts w:ascii="Verdana" w:hAnsi="Verdana" w:cs="Verdana"/>
          <w:sz w:val="20"/>
          <w:sz-cs w:val="20"/>
          <w:spacing w:val="0"/>
        </w:rPr>
        <w:t xml:space="preserve">, estima en parte el recurso de apelación, por lo que revoca la sentencia del juzgado, y condena a Renault a que pague al Sr. Genaro el 5 % del precio fijado en la columna </w:t>
      </w:r>
      <w:r>
        <w:rPr>
          <w:rFonts w:ascii="Verdana" w:hAnsi="Verdana" w:cs="Verdana"/>
          <w:sz w:val="20"/>
          <w:sz-cs w:val="20"/>
          <w:i/>
          <w:spacing w:val="0"/>
        </w:rPr>
        <w:t xml:space="preserve"> price </w:t>
      </w:r>
      <w:r>
        <w:rPr>
          <w:rFonts w:ascii="Verdana" w:hAnsi="Verdana" w:cs="Verdana"/>
          <w:sz w:val="20"/>
          <w:sz-cs w:val="20"/>
          <w:spacing w:val="0"/>
        </w:rPr>
        <w:t xml:space="preserve"> contenida en el informe pericial de la actora, más los intereses moratorios computados desde la fecha de compra del camión, sin expreso pronunciamiento sobre las costas de la apelación.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Como fundamento de su resolución, la audiencia provincial comienza por afirmar la legitimación activa del Sr. Genaro, a partir de la doctrina jurisprudencial sobre el concepto amplio de «perjudicado» en el ámbito de los ilícitos </w:t>
      </w:r>
      <w:r>
        <w:rPr>
          <w:rFonts w:ascii="Verdana" w:hAnsi="Verdana" w:cs="Verdana"/>
          <w:sz w:val="20"/>
          <w:sz-cs w:val="20"/>
          <w:i/>
          <w:spacing w:val="0"/>
        </w:rPr>
        <w:t xml:space="preserve"> antitrust, </w:t>
      </w:r>
      <w:r>
        <w:rPr>
          <w:rFonts w:ascii="Verdana" w:hAnsi="Verdana" w:cs="Verdana"/>
          <w:sz w:val="20"/>
          <w:sz-cs w:val="20"/>
          <w:spacing w:val="0"/>
        </w:rPr>
        <w:t xml:space="preserve"> y concluye que la certificación administrativa (emitida por la DGT) es un indicio extraordinariamente relevante sobre la adquisición de la propiedad del vehículo, pues no constan actuaciones fraudulentas respecto de la adquisición del camión, por lo que aplica la presunción judicial y las máximas de experiencia común.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cuanto al régimen legal aplicable </w:t>
      </w:r>
      <w:r>
        <w:rPr>
          <w:rFonts w:ascii="Verdana" w:hAnsi="Verdana" w:cs="Verdana"/>
          <w:sz w:val="20"/>
          <w:sz-cs w:val="20"/>
          <w:i/>
          <w:spacing w:val="0"/>
        </w:rPr>
        <w:t xml:space="preserve"> ratione temporis, </w:t>
      </w:r>
      <w:r>
        <w:rPr>
          <w:rFonts w:ascii="Verdana" w:hAnsi="Verdana" w:cs="Verdana"/>
          <w:sz w:val="20"/>
          <w:sz-cs w:val="20"/>
          <w:spacing w:val="0"/>
        </w:rPr>
        <w:t xml:space="preserve"> no cabe aplicar la presunción </w:t>
      </w:r>
      <w:r>
        <w:rPr>
          <w:rFonts w:ascii="Verdana" w:hAnsi="Verdana" w:cs="Verdana"/>
          <w:sz w:val="20"/>
          <w:sz-cs w:val="20"/>
          <w:i/>
          <w:spacing w:val="0"/>
        </w:rPr>
        <w:t xml:space="preserve"> iuris tantum </w:t>
      </w:r>
      <w:r>
        <w:rPr>
          <w:rFonts w:ascii="Verdana" w:hAnsi="Verdana" w:cs="Verdana"/>
          <w:sz w:val="20"/>
          <w:sz-cs w:val="20"/>
          <w:spacing w:val="0"/>
        </w:rPr>
        <w:t xml:space="preserve"> de causación de perjuicio por el cártel ( </w:t>
      </w:r>
      <w:r>
        <w:rPr>
          <w:rFonts w:ascii="Verdana" w:hAnsi="Verdana" w:cs="Verdana"/>
          <w:sz w:val="20"/>
          <w:sz-cs w:val="20"/>
          <w:i/>
          <w:spacing w:val="0"/>
        </w:rPr>
        <w:t xml:space="preserve"> art. 17.2 Directiva 2014/104 </w:t>
      </w:r>
      <w:r>
        <w:rPr>
          <w:rFonts w:ascii="Verdana" w:hAnsi="Verdana" w:cs="Verdana"/>
          <w:sz w:val="20"/>
          <w:sz-cs w:val="20"/>
          <w:spacing w:val="0"/>
        </w:rPr>
        <w:t xml:space="preserve">, </w:t>
      </w:r>
      <w:r>
        <w:rPr>
          <w:rFonts w:ascii="Verdana" w:hAnsi="Verdana" w:cs="Verdana"/>
          <w:sz w:val="20"/>
          <w:sz-cs w:val="20"/>
          <w:i/>
          <w:spacing w:val="0"/>
        </w:rPr>
        <w:t xml:space="preserve"> art. 76.3 LDC </w:t>
      </w:r>
      <w:r>
        <w:rPr>
          <w:rFonts w:ascii="Verdana" w:hAnsi="Verdana" w:cs="Verdana"/>
          <w:sz w:val="20"/>
          <w:sz-cs w:val="20"/>
          <w:spacing w:val="0"/>
        </w:rPr>
        <w:t xml:space="preserve">  </w:t>
      </w:r>
      <w:r>
        <w:rPr>
          <w:rFonts w:ascii="Verdana" w:hAnsi="Verdana" w:cs="Verdana"/>
          <w:sz w:val="20"/>
          <w:sz-cs w:val="20"/>
          <w:i/>
          <w:spacing w:val="0"/>
        </w:rPr>
        <w:t xml:space="preserve"> ex </w:t>
      </w:r>
      <w:r>
        <w:rPr>
          <w:rFonts w:ascii="Verdana" w:hAnsi="Verdana" w:cs="Verdana"/>
          <w:sz w:val="20"/>
          <w:sz-cs w:val="20"/>
          <w:spacing w:val="0"/>
        </w:rPr>
        <w:t xml:space="preserve"> RD-l 9/2017), pero sí la facultad de estimación judicial del perjuicio ( </w:t>
      </w:r>
      <w:r>
        <w:rPr>
          <w:rFonts w:ascii="Verdana" w:hAnsi="Verdana" w:cs="Verdana"/>
          <w:sz w:val="20"/>
          <w:sz-cs w:val="20"/>
          <w:i/>
          <w:spacing w:val="0"/>
        </w:rPr>
        <w:t xml:space="preserve"> art. 17.1 Directiva 2014/104 </w:t>
      </w:r>
      <w:r>
        <w:rPr>
          <w:rFonts w:ascii="Verdana" w:hAnsi="Verdana" w:cs="Verdana"/>
          <w:sz w:val="20"/>
          <w:sz-cs w:val="20"/>
          <w:spacing w:val="0"/>
        </w:rPr>
        <w:t xml:space="preserve">, </w:t>
      </w:r>
      <w:r>
        <w:rPr>
          <w:rFonts w:ascii="Verdana" w:hAnsi="Verdana" w:cs="Verdana"/>
          <w:sz w:val="20"/>
          <w:sz-cs w:val="20"/>
          <w:i/>
          <w:spacing w:val="0"/>
        </w:rPr>
        <w:t xml:space="preserve"> art. 76.2 LDC </w:t>
      </w:r>
      <w:r>
        <w:rPr>
          <w:rFonts w:ascii="Verdana" w:hAnsi="Verdana" w:cs="Verdana"/>
          <w:sz w:val="20"/>
          <w:sz-cs w:val="20"/>
          <w:spacing w:val="0"/>
        </w:rPr>
        <w:t xml:space="preserve">  </w:t>
      </w:r>
      <w:r>
        <w:rPr>
          <w:rFonts w:ascii="Verdana" w:hAnsi="Verdana" w:cs="Verdana"/>
          <w:sz w:val="20"/>
          <w:sz-cs w:val="20"/>
          <w:i/>
          <w:spacing w:val="0"/>
        </w:rPr>
        <w:t xml:space="preserve"> ex </w:t>
      </w:r>
      <w:r>
        <w:rPr>
          <w:rFonts w:ascii="Verdana" w:hAnsi="Verdana" w:cs="Verdana"/>
          <w:sz w:val="20"/>
          <w:sz-cs w:val="20"/>
          <w:spacing w:val="0"/>
        </w:rPr>
        <w:t xml:space="preserve"> RD-l 9/2017), a la luz de la </w:t>
      </w:r>
      <w:r>
        <w:rPr>
          <w:rFonts w:ascii="Verdana" w:hAnsi="Verdana" w:cs="Verdana"/>
          <w:sz w:val="20"/>
          <w:sz-cs w:val="20"/>
          <w:i/>
          <w:spacing w:val="0"/>
        </w:rPr>
        <w:t xml:space="preserve"> sentencia del TJUE de 22 de junio de 2022 (asunto C-267/2020 </w:t>
      </w:r>
      <w:r>
        <w:rPr>
          <w:rFonts w:ascii="Verdana" w:hAnsi="Verdana" w:cs="Verdana"/>
          <w:sz w:val="20"/>
          <w:sz-cs w:val="20"/>
          <w:spacing w:val="0"/>
        </w:rPr>
        <w:t xml:space="preserve">, «Volvo»). En relación con la realidad del daño, acude a su facilitación o presunción por la doctrina </w:t>
      </w:r>
      <w:r>
        <w:rPr>
          <w:rFonts w:ascii="Verdana" w:hAnsi="Verdana" w:cs="Verdana"/>
          <w:sz w:val="20"/>
          <w:sz-cs w:val="20"/>
          <w:i/>
          <w:spacing w:val="0"/>
        </w:rPr>
        <w:t xml:space="preserve"> ex re ipsa. </w:t>
      </w:r>
      <w:r>
        <w:rPr>
          <w:rFonts w:ascii="Verdana" w:hAnsi="Verdana" w:cs="Verdana"/>
          <w:sz w:val="20"/>
          <w:sz-cs w:val="20"/>
          <w:spacing w:val="0"/>
        </w:rPr>
        <w:t xml:space="preserve"> Y respecto de su cuantificación, atiende al esfuerzo suficiente para su recreación en un escenario hipotético, pero razonable, de la estimación de los daños sufridos. A tal fin, se refiere a la eficacia directa del </w:t>
      </w:r>
      <w:r>
        <w:rPr>
          <w:rFonts w:ascii="Verdana" w:hAnsi="Verdana" w:cs="Verdana"/>
          <w:sz w:val="20"/>
          <w:sz-cs w:val="20"/>
          <w:i/>
          <w:spacing w:val="0"/>
        </w:rPr>
        <w:t xml:space="preserve"> art. 101 TFUE </w:t>
      </w:r>
      <w:r>
        <w:rPr>
          <w:rFonts w:ascii="Verdana" w:hAnsi="Verdana" w:cs="Verdana"/>
          <w:sz w:val="20"/>
          <w:sz-cs w:val="20"/>
          <w:spacing w:val="0"/>
        </w:rPr>
        <w:t xml:space="preserve">, a los principios comunitarios de equivalencia y efectividad, al acervo comunitario sobre el ejercicio de acciones de daños por infracciones del Derecho de la competencia, al derecho del perjudicado al pleno resarcimiento, y al principio de facilidad probatoria ( </w:t>
      </w:r>
      <w:r>
        <w:rPr>
          <w:rFonts w:ascii="Verdana" w:hAnsi="Verdana" w:cs="Verdana"/>
          <w:sz w:val="20"/>
          <w:sz-cs w:val="20"/>
          <w:i/>
          <w:spacing w:val="0"/>
        </w:rPr>
        <w:t xml:space="preserve"> art. 217.7 LEC </w:t>
      </w:r>
      <w:r>
        <w:rPr>
          <w:rFonts w:ascii="Verdana" w:hAnsi="Verdana" w:cs="Verdana"/>
          <w:sz w:val="20"/>
          <w:sz-cs w:val="20"/>
          <w:spacing w:val="0"/>
        </w:rPr>
        <w:t xml:space="preserve"> ). Reproduce la doctrina emanada de la </w:t>
      </w:r>
      <w:r>
        <w:rPr>
          <w:rFonts w:ascii="Verdana" w:hAnsi="Verdana" w:cs="Verdana"/>
          <w:sz w:val="20"/>
          <w:sz-cs w:val="20"/>
          <w:i/>
          <w:spacing w:val="0"/>
        </w:rPr>
        <w:t xml:space="preserve"> sentencia del Tribunal Supremo n.º 947/2023 </w:t>
      </w:r>
      <w:r>
        <w:rPr>
          <w:rFonts w:ascii="Verdana" w:hAnsi="Verdana" w:cs="Verdana"/>
          <w:sz w:val="20"/>
          <w:sz-cs w:val="20"/>
          <w:spacing w:val="0"/>
        </w:rPr>
        <w:t xml:space="preserve"> respecto de la presunción judicial de la existencia del daño ( </w:t>
      </w:r>
      <w:r>
        <w:rPr>
          <w:rFonts w:ascii="Verdana" w:hAnsi="Verdana" w:cs="Verdana"/>
          <w:sz w:val="20"/>
          <w:sz-cs w:val="20"/>
          <w:i/>
          <w:spacing w:val="0"/>
        </w:rPr>
        <w:t xml:space="preserve"> art. 386 LEC </w:t>
      </w:r>
      <w:r>
        <w:rPr>
          <w:rFonts w:ascii="Verdana" w:hAnsi="Verdana" w:cs="Verdana"/>
          <w:sz w:val="20"/>
          <w:sz-cs w:val="20"/>
          <w:spacing w:val="0"/>
        </w:rPr>
        <w:t xml:space="preserve"> ) en el caso de este cártel de los camiones.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Para la cuantificación del daño, considera el informe pericial emitido por Caballer/Herrerías, aportado por el demandante, y rechaza las conclusiones del informe pericial de KPMG, aportado por la demandada. Y acoge el criterio establecido por la </w:t>
      </w:r>
      <w:r>
        <w:rPr>
          <w:rFonts w:ascii="Verdana" w:hAnsi="Verdana" w:cs="Verdana"/>
          <w:sz w:val="20"/>
          <w:sz-cs w:val="20"/>
          <w:i/>
          <w:spacing w:val="0"/>
        </w:rPr>
        <w:t xml:space="preserve"> sentencia del Tribunal Supremo n.º 927/2023, de 12 de junio </w:t>
      </w:r>
      <w:r>
        <w:rPr>
          <w:rFonts w:ascii="Verdana" w:hAnsi="Verdana" w:cs="Verdana"/>
          <w:sz w:val="20"/>
          <w:sz-cs w:val="20"/>
          <w:spacing w:val="0"/>
        </w:rPr>
        <w:t xml:space="preserve">, que establece como criterio general en la cuantificación del sobreprecio el 5 % respecto del precio pagado por la adquisición del camión.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8. </w:t>
      </w:r>
      <w:r>
        <w:rPr>
          <w:rFonts w:ascii="Verdana" w:hAnsi="Verdana" w:cs="Verdana"/>
          <w:sz w:val="20"/>
          <w:sz-cs w:val="20"/>
          <w:spacing w:val="0"/>
        </w:rPr>
        <w:t xml:space="preserve"> Frente a la sentencia de apelación, Renault formula un recurso de casación, articulado en dos motivos.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w:t>
      </w:r>
      <w:r>
        <w:rPr>
          <w:rFonts w:ascii="Verdana" w:hAnsi="Verdana" w:cs="Verdana"/>
          <w:sz w:val="20"/>
          <w:sz-cs w:val="20"/>
          <w:i/>
          <w:spacing w:val="0"/>
        </w:rPr>
        <w:t xml:space="preserve"> Motivos primero y segundo del recurso de casación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w:t>
      </w:r>
      <w:r>
        <w:rPr>
          <w:rFonts w:ascii="Verdana" w:hAnsi="Verdana" w:cs="Verdana"/>
          <w:sz w:val="20"/>
          <w:sz-cs w:val="20"/>
          <w:i/>
          <w:spacing w:val="0"/>
        </w:rPr>
        <w:t xml:space="preserve"> Planteamiento. </w:t>
      </w:r>
      <w:r>
        <w:rPr>
          <w:rFonts w:ascii="Verdana" w:hAnsi="Verdana" w:cs="Verdana"/>
          <w:sz w:val="20"/>
          <w:sz-cs w:val="20"/>
          <w:spacing w:val="0"/>
        </w:rPr>
        <w:t xml:space="preserve"> Los dos motivos del recurso de casación están estrechamente vinculados, como la recurrente reconoce expresamente en los respectivos encabezamientos. Por ello, ambos motivos requieren un tratamiento conjunto.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motivo primero la recurrente denuncia,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la infracción de las normas reguladoras de la sentencia (y la carga de la prueba) por aplicación indebida del </w:t>
      </w:r>
      <w:r>
        <w:rPr>
          <w:rFonts w:ascii="Verdana" w:hAnsi="Verdana" w:cs="Verdana"/>
          <w:sz w:val="20"/>
          <w:sz-cs w:val="20"/>
          <w:i/>
          <w:spacing w:val="0"/>
        </w:rPr>
        <w:t xml:space="preserve"> art. 217.1 LEC </w:t>
      </w:r>
      <w:r>
        <w:rPr>
          <w:rFonts w:ascii="Verdana" w:hAnsi="Verdana" w:cs="Verdana"/>
          <w:sz w:val="20"/>
          <w:sz-cs w:val="20"/>
          <w:spacing w:val="0"/>
        </w:rPr>
        <w:t xml:space="preserve"> en relación con el </w:t>
      </w:r>
      <w:r>
        <w:rPr>
          <w:rFonts w:ascii="Verdana" w:hAnsi="Verdana" w:cs="Verdana"/>
          <w:sz w:val="20"/>
          <w:sz-cs w:val="20"/>
          <w:i/>
          <w:spacing w:val="0"/>
        </w:rPr>
        <w:t xml:space="preserve"> art. 217.2 LEC </w:t>
      </w:r>
      <w:r>
        <w:rPr>
          <w:rFonts w:ascii="Verdana" w:hAnsi="Verdana" w:cs="Verdana"/>
          <w:sz w:val="20"/>
          <w:sz-cs w:val="20"/>
          <w:spacing w:val="0"/>
        </w:rPr>
        <w:t xml:space="preserve">, en tanto que la sentencia de apelación ha reconocido una indemnización por la compra del único camión del caso, sin que la parte actora acreditara el precio de adquisición del referido camión.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desarrollo de este motivo la recurrente alega que es un hecho incontrovertido que el demandante no aportó ni factura de compra del camión, ni contrato, ni documentación contable que acreditase el precio real del vehículo, sino una estimación econométrica recogida en el documento 10 (pág. 435) de la demanda, que asigna un precio de adquisición de 68.131,25 &amp;#8364;. Y la sentencia recurrida ha aceptado el indicio sobre la titularidad del camión en atención a que se trata de un camión adquirido hace más de 20 años.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segundo motivo se formula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por jurisprudencia contradictoria de audiencias provinciales en relación con el </w:t>
      </w:r>
      <w:r>
        <w:rPr>
          <w:rFonts w:ascii="Verdana" w:hAnsi="Verdana" w:cs="Verdana"/>
          <w:sz w:val="20"/>
          <w:sz-cs w:val="20"/>
          <w:i/>
          <w:spacing w:val="0"/>
        </w:rPr>
        <w:t xml:space="preserve"> art. 217 LEC </w:t>
      </w:r>
      <w:r>
        <w:rPr>
          <w:rFonts w:ascii="Verdana" w:hAnsi="Verdana" w:cs="Verdana"/>
          <w:sz w:val="20"/>
          <w:sz-cs w:val="20"/>
          <w:spacing w:val="0"/>
        </w:rPr>
        <w:t xml:space="preserve">. Según arguye la recurrente, en casos en los que la parte actora no aporta ni factura de compra, ni contrato de arrendamiento financiero ni documentos contables tendentes a acreditar el precio real del camión, la sentencia de apelación -y la Sección 4.ª de la Audiencia Provincial de Murcia- valida la estimación econométrica de Caballer-Herrerías para asignar artificialmente una magnitud como precio de adquisición. En cambio, la Sección 28.ª de la Audiencia Provincial de Madrid (así como la Sección 32.ª de la misma audiencia provincial, y la Sección 1.ª de la Audiencia Provincial de Segovia) rechaza este modelo econométrico para la determinación del precio de adquisición del vehículo.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b/>
          <w:i/>
          <w:spacing w:val="0"/>
        </w:rPr>
        <w:t xml:space="preserve"> </w:t>
      </w:r>
      <w:r>
        <w:rPr>
          <w:rFonts w:ascii="Verdana" w:hAnsi="Verdana" w:cs="Verdana"/>
          <w:sz w:val="20"/>
          <w:sz-cs w:val="20"/>
          <w:b/>
          <w:spacing w:val="0"/>
        </w:rPr>
        <w:t xml:space="preserve">  </w:t>
      </w:r>
      <w:r>
        <w:rPr>
          <w:rFonts w:ascii="Verdana" w:hAnsi="Verdana" w:cs="Verdana"/>
          <w:sz w:val="20"/>
          <w:sz-cs w:val="20"/>
          <w:spacing w:val="0"/>
        </w:rPr>
        <w:t xml:space="preserve"> Resolución del tribunal. Procede desestimar los dos motivos por las razones que exponemos a continuación.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recurrente empieza por considerar que la sentencia recurrida ha infringido los </w:t>
      </w:r>
      <w:r>
        <w:rPr>
          <w:rFonts w:ascii="Verdana" w:hAnsi="Verdana" w:cs="Verdana"/>
          <w:sz w:val="20"/>
          <w:sz-cs w:val="20"/>
          <w:i/>
          <w:spacing w:val="0"/>
        </w:rPr>
        <w:t xml:space="preserve"> apdos. 1 </w:t>
      </w:r>
      <w:r>
        <w:rPr>
          <w:rFonts w:ascii="Verdana" w:hAnsi="Verdana" w:cs="Verdana"/>
          <w:sz w:val="20"/>
          <w:sz-cs w:val="20"/>
          <w:spacing w:val="0"/>
        </w:rPr>
        <w:t xml:space="preserve"> y </w:t>
      </w:r>
      <w:r>
        <w:rPr>
          <w:rFonts w:ascii="Verdana" w:hAnsi="Verdana" w:cs="Verdana"/>
          <w:sz w:val="20"/>
          <w:sz-cs w:val="20"/>
          <w:i/>
          <w:spacing w:val="0"/>
        </w:rPr>
        <w:t xml:space="preserve"> 2 del art. 217 LEC </w:t>
      </w:r>
      <w:r>
        <w:rPr>
          <w:rFonts w:ascii="Verdana" w:hAnsi="Verdana" w:cs="Verdana"/>
          <w:sz w:val="20"/>
          <w:sz-cs w:val="20"/>
          <w:spacing w:val="0"/>
        </w:rPr>
        <w:t xml:space="preserve">, al haber establecido la indemnización por la compra del camión que corresponde al demandante, sin que éste hubiera acreditado el precio de adquisición.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w:t>
      </w:r>
      <w:r>
        <w:rPr>
          <w:rFonts w:ascii="Verdana" w:hAnsi="Verdana" w:cs="Verdana"/>
          <w:sz w:val="20"/>
          <w:sz-cs w:val="20"/>
          <w:i/>
          <w:spacing w:val="0"/>
        </w:rPr>
        <w:t xml:space="preserve"> art. 217 LEC </w:t>
      </w:r>
      <w:r>
        <w:rPr>
          <w:rFonts w:ascii="Verdana" w:hAnsi="Verdana" w:cs="Verdana"/>
          <w:sz w:val="20"/>
          <w:sz-cs w:val="20"/>
          <w:spacing w:val="0"/>
        </w:rPr>
        <w:t xml:space="preserve"> (bajo la rúbrica «Carga de la prueba») establece las consecuencias de la falta de prueba. Así, en su apdo. 1 determina: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 Cuando, al tiempo de dictar sentencia o resolución semejante, el tribunal considerase dudosos unos hechos relevantes para la decisión, desestimará las pretensiones del actor o del reconviniente, o las del demandado o reconvenido, según corresponda a unos u otros la carga de probar los hechos que permanezcan inciertos y fundamenten las pretensiones».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 continuación, el </w:t>
      </w:r>
      <w:r>
        <w:rPr>
          <w:rFonts w:ascii="Verdana" w:hAnsi="Verdana" w:cs="Verdana"/>
          <w:sz w:val="20"/>
          <w:sz-cs w:val="20"/>
          <w:i/>
          <w:spacing w:val="0"/>
        </w:rPr>
        <w:t xml:space="preserve"> art. 217.2 LEC </w:t>
      </w:r>
      <w:r>
        <w:rPr>
          <w:rFonts w:ascii="Verdana" w:hAnsi="Verdana" w:cs="Verdana"/>
          <w:sz w:val="20"/>
          <w:sz-cs w:val="20"/>
          <w:spacing w:val="0"/>
        </w:rPr>
        <w:t xml:space="preserve"> establece: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 Corresponde al actor y al demandado reconviniente la carga de probar la certeza de los hechos de los que ordinariamente se desprenda, según las normas jurídicas a ellos aplicables, el efecto jurídico correspondiente a las pretensiones de la demanda y de la reconvención».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doctrina jurisprudencial ha declarado, de manera reiterada y constante, que las normas sobre la carga de la prueba sólo pueden infringirse cuando no se haya considerado probado el hecho relevante. Así lo señala, entre otras, la </w:t>
      </w:r>
      <w:r>
        <w:rPr>
          <w:rFonts w:ascii="Verdana" w:hAnsi="Verdana" w:cs="Verdana"/>
          <w:sz w:val="20"/>
          <w:sz-cs w:val="20"/>
          <w:i/>
          <w:spacing w:val="0"/>
        </w:rPr>
        <w:t xml:space="preserve"> sentencia de esta sala n.º 649/2014, de 13 de enero de 2015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«Sólo se infringe el precepto legal invocado (el </w:t>
      </w:r>
      <w:r>
        <w:rPr>
          <w:rFonts w:ascii="Verdana" w:hAnsi="Verdana" w:cs="Verdana"/>
          <w:sz w:val="20"/>
          <w:sz-cs w:val="20"/>
          <w:i/>
          <w:spacing w:val="0"/>
        </w:rPr>
        <w:t xml:space="preserve"> art. 217 LEC </w:t>
      </w:r>
      <w:r>
        <w:rPr>
          <w:rFonts w:ascii="Verdana" w:hAnsi="Verdana" w:cs="Verdana"/>
          <w:sz w:val="20"/>
          <w:sz-cs w:val="20"/>
          <w:spacing w:val="0"/>
        </w:rPr>
        <w:t xml:space="preserve"> ) si la sentencia adopta un pronunciamiento sobre la base de que no se ha probado un hecho relevante para la decisión del litigio, y atribuye las consecuencias de la falta de prueba a la parte a la que no le correspondía la carga de la prueba, según las reglas aplicables para su atribución a una y otra de las partes, establecidas en dicho precepto legal y desarrolladas por la jurisprudencia.»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Sin embargo, esto no ocurre en el presente caso. La sentencia recurrida no ha dispensado al demandante de la prueba de un hecho constitutivo de su pretensión indemnizatoria (la acreditación del precio de adquisición del vehículo), sino que ha considerado suficientemente probado este hecho relevante, a través de la prueba aportada con la demanda (la tasación contenida en el documento 10, pág. 435, a la que se refiere el recurso de casación). Así pues, el pago del precio no es un hecho que se haya declarado no probado, por falta total de prueba o por no considerarse suficiente la practicada. La sentencia recurrida no ha atribuido las consecuencias desfavorables de la falta de prueba a la parte demandada, a la que no incumbía dicha prueba, por la sencilla razón de que la audiencia provincial sí ha considerado suficientemente acreditada la certeza del precio de adquisición del vehículo en cuestión: 68.131,25 &amp;#8364;, por el camión matrícula NUM000. Por tanto, la sentencia recurrida no ha infringido la doctrina de la carga de la prueba material, por lo que este primer motivo del recurso ha de desestimarse.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validez de la metodología utilizada, con la estimación o regresión econométrica en la tasación aportada por el demandante (a partir de los datos oficiales obrantes en el historial de la DGT, en especial, el informe de vehículo emitido por la DGT), no es discutida, contradicha o desvirtuada en el recurso. Ni la demandada recurrente ha aportado prueba alguna sobre el precio efectivamente satisfecho por el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necesidad de acudir a la metodología empleada se explica por las enormes dificultades prácticas de conservar el contrato de compraventa (o de arrendamiento financiero) o las facturas referidas a la adquisición del vehículo, en casos como el presente, en que ha transcurrido tanto tiempo desde la adquisición. En este caso, la compra del camión tuvo lugar el 9 de mayo de 2000 (por tanto, casi 20 años antes de interponer la demanda el Sr. Genaro ) y el cártel duró 14 años (del 17 de enero de 1997 al 19 de enero de 2011). La admisión de esta forma de acreditación del precio se justifica también en aras del principio de efectividad en la interpretación del </w:t>
      </w:r>
      <w:r>
        <w:rPr>
          <w:rFonts w:ascii="Verdana" w:hAnsi="Verdana" w:cs="Verdana"/>
          <w:sz w:val="20"/>
          <w:sz-cs w:val="20"/>
          <w:i/>
          <w:spacing w:val="0"/>
        </w:rPr>
        <w:t xml:space="preserve"> art. 101 TFUE </w:t>
      </w:r>
      <w:r>
        <w:rPr>
          <w:rFonts w:ascii="Verdana" w:hAnsi="Verdana" w:cs="Verdana"/>
          <w:sz w:val="20"/>
          <w:sz-cs w:val="20"/>
          <w:spacing w:val="0"/>
        </w:rPr>
        <w:t xml:space="preserve">, y su aplicación por el Tribunal de Justicia: </w:t>
      </w:r>
      <w:r>
        <w:rPr>
          <w:rFonts w:ascii="Verdana" w:hAnsi="Verdana" w:cs="Verdana"/>
          <w:sz w:val="20"/>
          <w:sz-cs w:val="20"/>
          <w:i/>
          <w:spacing w:val="0"/>
        </w:rPr>
        <w:t xml:space="preserve"> sentencias de 13 de julio de 2006 (C-295/04 </w:t>
      </w:r>
      <w:r>
        <w:rPr>
          <w:rFonts w:ascii="Verdana" w:hAnsi="Verdana" w:cs="Verdana"/>
          <w:sz w:val="20"/>
          <w:sz-cs w:val="20"/>
          <w:spacing w:val="0"/>
        </w:rPr>
        <w:t xml:space="preserve">  </w:t>
      </w:r>
      <w:r>
        <w:rPr>
          <w:rFonts w:ascii="Verdana" w:hAnsi="Verdana" w:cs="Verdana"/>
          <w:sz w:val="20"/>
          <w:sz-cs w:val="20"/>
          <w:i/>
          <w:spacing w:val="0"/>
        </w:rPr>
        <w:t xml:space="preserve"> a C-298/04 </w:t>
      </w:r>
      <w:r>
        <w:rPr>
          <w:rFonts w:ascii="Verdana" w:hAnsi="Verdana" w:cs="Verdana"/>
          <w:sz w:val="20"/>
          <w:sz-cs w:val="20"/>
          <w:spacing w:val="0"/>
        </w:rPr>
        <w:t xml:space="preserve">, «Manfredi»), de 5 de junio de 2014 ( </w:t>
      </w:r>
      <w:r>
        <w:rPr>
          <w:rFonts w:ascii="Verdana" w:hAnsi="Verdana" w:cs="Verdana"/>
          <w:sz w:val="20"/>
          <w:sz-cs w:val="20"/>
          <w:i/>
          <w:spacing w:val="0"/>
        </w:rPr>
        <w:t xml:space="preserve"> C-557/12 </w:t>
      </w:r>
      <w:r>
        <w:rPr>
          <w:rFonts w:ascii="Verdana" w:hAnsi="Verdana" w:cs="Verdana"/>
          <w:sz w:val="20"/>
          <w:sz-cs w:val="20"/>
          <w:spacing w:val="0"/>
        </w:rPr>
        <w:t xml:space="preserve">, «Kone»), de 22 de junio de 2022 ( </w:t>
      </w:r>
      <w:r>
        <w:rPr>
          <w:rFonts w:ascii="Verdana" w:hAnsi="Verdana" w:cs="Verdana"/>
          <w:sz w:val="20"/>
          <w:sz-cs w:val="20"/>
          <w:i/>
          <w:spacing w:val="0"/>
        </w:rPr>
        <w:t xml:space="preserve"> C-267/20 </w:t>
      </w:r>
      <w:r>
        <w:rPr>
          <w:rFonts w:ascii="Verdana" w:hAnsi="Verdana" w:cs="Verdana"/>
          <w:sz w:val="20"/>
          <w:sz-cs w:val="20"/>
          <w:spacing w:val="0"/>
        </w:rPr>
        <w:t xml:space="preserve">, «Volvo»), de 16 de febrero de 2023 ( </w:t>
      </w:r>
      <w:r>
        <w:rPr>
          <w:rFonts w:ascii="Verdana" w:hAnsi="Verdana" w:cs="Verdana"/>
          <w:sz w:val="20"/>
          <w:sz-cs w:val="20"/>
          <w:i/>
          <w:spacing w:val="0"/>
        </w:rPr>
        <w:t xml:space="preserve"> C-312/21 </w:t>
      </w:r>
      <w:r>
        <w:rPr>
          <w:rFonts w:ascii="Verdana" w:hAnsi="Verdana" w:cs="Verdana"/>
          <w:sz w:val="20"/>
          <w:sz-cs w:val="20"/>
          <w:spacing w:val="0"/>
        </w:rPr>
        <w:t xml:space="preserve">, «Tráficos Manuel Ferrer»).</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Recientemente, en la </w:t>
      </w:r>
      <w:r>
        <w:rPr>
          <w:rFonts w:ascii="Verdana" w:hAnsi="Verdana" w:cs="Verdana"/>
          <w:sz w:val="20"/>
          <w:sz-cs w:val="20"/>
          <w:i/>
          <w:spacing w:val="0"/>
        </w:rPr>
        <w:t xml:space="preserve"> sentencia n.º 71/2026, de 27 de enero </w:t>
      </w:r>
      <w:r>
        <w:rPr>
          <w:rFonts w:ascii="Verdana" w:hAnsi="Verdana" w:cs="Verdana"/>
          <w:sz w:val="20"/>
          <w:sz-cs w:val="20"/>
          <w:spacing w:val="0"/>
        </w:rPr>
        <w:t xml:space="preserve">, hemos declarado que la contabilidad del adquirente (en concreto, las fichas contables aportadas con la demanda) es prueba adecuada del precio pagado por los camiones en cuestión, con el siguiente razonamiento: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efecto, las circunstancias concurrentes en el llamado cártel de los camiones, en concreto, su larga duración, condicionan la valoración de la prueba del daño sufrido por los compradores de camiones afectados por el cártel. En concreto, no puede exigirse que para acreditar el precio de compra de un camión adquirido hace un largo periodo de tiempo (en este caso, unos 20 años) el afectado por el cártel conserve las facturas de compra. Debe recordarse que, conforme al </w:t>
      </w:r>
      <w:r>
        <w:rPr>
          <w:rFonts w:ascii="Verdana" w:hAnsi="Verdana" w:cs="Verdana"/>
          <w:sz w:val="20"/>
          <w:sz-cs w:val="20"/>
          <w:i/>
          <w:spacing w:val="0"/>
        </w:rPr>
        <w:t xml:space="preserve"> art. 30.1 CCom </w:t>
      </w:r>
      <w:r>
        <w:rPr>
          <w:rFonts w:ascii="Verdana" w:hAnsi="Verdana" w:cs="Verdana"/>
          <w:sz w:val="20"/>
          <w:sz-cs w:val="20"/>
          <w:spacing w:val="0"/>
        </w:rPr>
        <w:t xml:space="preserve">, la obligación de conservación de los libros, correspondencia, documentación y justificantes concernientes a su negocio se impone a los empresarios durante seis años, por lo que resulta excesivo negar eficacia probatoria a la contabilidad del empresario respecto del precio de compra de unos camiones acaecida unos 20 años antes de la interposición de la demanda, en especial cuando no se ha practicado una prueba que acredite que el importe del precio consignado en la contabilidad del empresario era excesivo y no ajustado a las horquillas de precios habituales en aquellas fechas para los camiones de esas características, pese a que la parte demandada, fabricante de los camiones, por la información de que dispone debido a su posición en el mercado, podía estar en condiciones de probarlo si efectivamente el precio consignado en la contabilidad hubiera excedido de la horquilla de precios habitual en aquel periodo.»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presente caso, otro tanto se ha de afirmar sobre el precio calculado mediante las referidas tasaciones en las que se emplea dicha regresión econométrica (a partir de los datos oficiales obrantes en el historial de la DGT y del informe de vehículo emitido por la DGT), y a las que se ha aplicado la estimación judicial del 5 %.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w:t>
      </w:r>
      <w:r>
        <w:rPr>
          <w:rFonts w:ascii="Verdana" w:hAnsi="Verdana" w:cs="Verdana"/>
          <w:sz w:val="20"/>
          <w:sz-cs w:val="20"/>
          <w:i/>
          <w:spacing w:val="0"/>
        </w:rPr>
        <w:t xml:space="preserve"> Costas y depósito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Desestimado el recurso de casación, imponemos las costas del recurso a la parte recurrente, en aplicación de la regla contenida en el </w:t>
      </w:r>
      <w:r>
        <w:rPr>
          <w:rFonts w:ascii="Verdana" w:hAnsi="Verdana" w:cs="Verdana"/>
          <w:sz w:val="20"/>
          <w:sz-cs w:val="20"/>
          <w:i/>
          <w:spacing w:val="0"/>
        </w:rPr>
        <w:t xml:space="preserve"> art. 398.1 LEC </w:t>
      </w:r>
      <w:r>
        <w:rPr>
          <w:rFonts w:ascii="Verdana" w:hAnsi="Verdana" w:cs="Verdana"/>
          <w:sz w:val="20"/>
          <w:sz-cs w:val="20"/>
          <w:spacing w:val="0"/>
        </w:rPr>
        <w:t xml:space="preserve">, con pérdida del depósito constituido para recurrir, de conformidad con la disp. adic. 15.ª.9.ª LOPJ.</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 A L L 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Por todo lo expuesto, en nombre del Rey y por la autoridad que le confiere la Constitución, esta sala ha decidido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1.º </w:t>
      </w:r>
      <w:r>
        <w:rPr>
          <w:rFonts w:ascii="Verdana" w:hAnsi="Verdana" w:cs="Verdana"/>
          <w:sz w:val="20"/>
          <w:sz-cs w:val="20"/>
          <w:spacing w:val="0"/>
        </w:rPr>
        <w:t xml:space="preserve"> Desestimar el recurso de casación interpuesto por Renault Trucks S.A.S. contra la </w:t>
      </w:r>
      <w:r>
        <w:rPr>
          <w:rFonts w:ascii="Verdana" w:hAnsi="Verdana" w:cs="Verdana"/>
          <w:sz w:val="20"/>
          <w:sz-cs w:val="20"/>
          <w:i/>
          <w:spacing w:val="0"/>
        </w:rPr>
        <w:t xml:space="preserve"> sentencia n.º 212/2025, de 27 de mayo, dictada por la Sección Única de la Audiencia Provincial de Huesca (rollo n.º 41/2022 </w:t>
      </w:r>
      <w:r>
        <w:rPr>
          <w:rFonts w:ascii="Verdana" w:hAnsi="Verdana" w:cs="Verdana"/>
          <w:sz w:val="20"/>
          <w:sz-cs w:val="20"/>
          <w:spacing w:val="0"/>
        </w:rPr>
        <w:t xml:space="preserve"> ), que conoció de la apelación de la </w:t>
      </w:r>
      <w:r>
        <w:rPr>
          <w:rFonts w:ascii="Verdana" w:hAnsi="Verdana" w:cs="Verdana"/>
          <w:sz w:val="20"/>
          <w:sz-cs w:val="20"/>
          <w:i/>
          <w:spacing w:val="0"/>
        </w:rPr>
        <w:t xml:space="preserve"> sentencia n.º 147/2021, de 25 de agosto, del Juzgado de Primera Instancia e Instrucción n.º 3 de Huesca (procedimiento ordinario n.º 157/2020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2.º </w:t>
      </w:r>
      <w:r>
        <w:rPr>
          <w:rFonts w:ascii="Verdana" w:hAnsi="Verdana" w:cs="Verdana"/>
          <w:sz w:val="20"/>
          <w:sz-cs w:val="20"/>
          <w:spacing w:val="0"/>
        </w:rPr>
        <w:t xml:space="preserve"> Imponer a la parte recurrente las costas generadas con sus recursos.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3.º </w:t>
      </w:r>
      <w:r>
        <w:rPr>
          <w:rFonts w:ascii="Verdana" w:hAnsi="Verdana" w:cs="Verdana"/>
          <w:sz w:val="20"/>
          <w:sz-cs w:val="20"/>
          <w:spacing w:val="0"/>
        </w:rPr>
        <w:t xml:space="preserve"> Acordar la pérdida de los depósitos constituidos para recurrir.</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Líbrese a la mencionada audiencia provincial la certificación correspondiente con devolución de los autos y rollo de apelación remitidos.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Notifíquese esta resolución a las partes e insértese en la colección legislativa.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Así se acuerda y firma.</w:t>
      </w:r>
    </w:p>
    <w:p>
      <w:pPr>
        <w:jc w:val="both"/>
      </w:pPr>
      <w:r>
        <w:rPr>
          <w:rFonts w:ascii="Verdana" w:hAnsi="Verdana" w:cs="Verdana"/>
          <w:sz w:val="20"/>
          <w:sz-cs w:val="20"/>
          <w:spacing w:val="0"/>
        </w:rPr>
        <w:t xml:space="preserve"/>
        <w:tab/>
        <w:t xml:space="preserve"/>
      </w:r>
      <w:r>
        <w:rPr>
          <w:rFonts w:ascii="Times New Roman" w:hAnsi="Times New Roman" w:cs="Times New Roman"/>
          <w:sz w:val="24"/>
          <w:sz-cs w:val="24"/>
        </w:rPr>
        <w:t xml:space="preserve"/>
      </w:r>
    </w:p>
    <w:sectPr>
      <w:pgSz w:w="12240" w:h="15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Aranzazu Ortiz Gonzalez</dc:creator>
</cp:coreProperties>
</file>

<file path=docProps/meta.xml><?xml version="1.0" encoding="utf-8"?>
<meta xmlns="http://schemas.apple.com/cocoa/2006/metadata">
  <generator>CocoaOOXMLWriter/2685.6</generator>
</meta>
</file>