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2E2F" w:rsidRDefault="00D86529">
      <w:pPr>
        <w:pStyle w:val="Standard"/>
        <w:spacing w:line="360" w:lineRule="auto"/>
        <w:rPr>
          <w:b/>
          <w:bCs/>
        </w:rPr>
      </w:pPr>
      <w:bookmarkStart w:id="0" w:name="_GoBack"/>
      <w:bookmarkEnd w:id="0"/>
      <w:r>
        <w:t>Sygn. akt</w:t>
      </w:r>
      <w:r>
        <w:rPr>
          <w:b/>
        </w:rPr>
        <w:t xml:space="preserve"> XVII </w:t>
      </w:r>
      <w:proofErr w:type="spellStart"/>
      <w:r>
        <w:rPr>
          <w:b/>
        </w:rPr>
        <w:t>AmA</w:t>
      </w:r>
      <w:proofErr w:type="spellEnd"/>
      <w:r>
        <w:rPr>
          <w:b/>
        </w:rPr>
        <w:t xml:space="preserve"> 84/23</w:t>
      </w:r>
    </w:p>
    <w:p w:rsidR="006C2E2F" w:rsidRDefault="00D86529">
      <w:pPr>
        <w:spacing w:line="360" w:lineRule="auto"/>
        <w:jc w:val="center"/>
        <w:rPr>
          <w:rFonts w:ascii="Times New Roman" w:hAnsi="Times New Roman" w:cs="Times New Roman"/>
          <w:b/>
          <w:bCs/>
          <w:sz w:val="24"/>
          <w:szCs w:val="24"/>
        </w:rPr>
      </w:pPr>
      <w:r>
        <w:rPr>
          <w:rFonts w:ascii="Times New Roman" w:hAnsi="Times New Roman" w:cs="Times New Roman"/>
          <w:noProof/>
          <w:sz w:val="24"/>
          <w:szCs w:val="24"/>
          <w:lang w:eastAsia="pl-PL"/>
        </w:rPr>
        <w:drawing>
          <wp:anchor distT="0" distB="0" distL="114300" distR="114300" simplePos="0" relativeHeight="10" behindDoc="0" locked="0" layoutInCell="1" allowOverlap="0">
            <wp:simplePos x="0" y="0"/>
            <wp:positionH relativeFrom="margin">
              <wp:align>center</wp:align>
            </wp:positionH>
            <wp:positionV relativeFrom="paragraph">
              <wp:posOffset>16510</wp:posOffset>
            </wp:positionV>
            <wp:extent cx="791845" cy="821055"/>
            <wp:effectExtent l="0" t="0" r="8255" b="0"/>
            <wp:wrapTopAndBottom/>
            <wp:docPr id="1" name="Obraz 1" descr="ORZ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RZEL"/>
                    <pic:cNvPicPr>
                      <a:picLocks noChangeAspect="1" noChangeArrowheads="1"/>
                    </pic:cNvPicPr>
                  </pic:nvPicPr>
                  <pic:blipFill dpi="0">
                    <a:blip r:embed="rId7"/>
                    <a:srcRect/>
                    <a:stretch>
                      <a:fillRect/>
                    </a:stretch>
                  </pic:blipFill>
                  <pic:spPr bwMode="auto">
                    <a:xfrm>
                      <a:off x="0" y="0"/>
                      <a:ext cx="791845" cy="821055"/>
                    </a:xfrm>
                    <a:prstGeom prst="rect">
                      <a:avLst/>
                    </a:prstGeom>
                    <a:noFill/>
                  </pic:spPr>
                </pic:pic>
              </a:graphicData>
            </a:graphic>
          </wp:anchor>
        </w:drawing>
      </w:r>
      <w:r>
        <w:rPr>
          <w:rFonts w:ascii="Times New Roman" w:hAnsi="Times New Roman" w:cs="Times New Roman"/>
          <w:b/>
          <w:bCs/>
          <w:sz w:val="24"/>
          <w:szCs w:val="24"/>
        </w:rPr>
        <w:t>WYROK</w:t>
      </w:r>
    </w:p>
    <w:p w:rsidR="006C2E2F" w:rsidRDefault="00D8652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W IMIENIU RZECZYPOSPOLITEJ POLSKIEJ</w:t>
      </w:r>
    </w:p>
    <w:p w:rsidR="006C2E2F" w:rsidRDefault="006C2E2F">
      <w:pPr>
        <w:spacing w:line="360" w:lineRule="auto"/>
        <w:jc w:val="center"/>
        <w:rPr>
          <w:rFonts w:ascii="Times New Roman" w:hAnsi="Times New Roman" w:cs="Times New Roman"/>
          <w:b/>
          <w:bCs/>
          <w:sz w:val="24"/>
          <w:szCs w:val="24"/>
        </w:rPr>
      </w:pPr>
    </w:p>
    <w:p w:rsidR="006C2E2F" w:rsidRDefault="00D86529">
      <w:pPr>
        <w:spacing w:line="360" w:lineRule="auto"/>
        <w:jc w:val="right"/>
        <w:rPr>
          <w:rFonts w:ascii="Times New Roman" w:hAnsi="Times New Roman" w:cs="Times New Roman"/>
          <w:sz w:val="24"/>
          <w:szCs w:val="24"/>
        </w:rPr>
      </w:pPr>
      <w:r>
        <w:rPr>
          <w:rFonts w:ascii="Times New Roman" w:hAnsi="Times New Roman" w:cs="Times New Roman"/>
          <w:sz w:val="24"/>
          <w:szCs w:val="24"/>
        </w:rPr>
        <w:t>Dnia 5 grudnia 2025 r.</w:t>
      </w:r>
    </w:p>
    <w:p w:rsidR="006C2E2F" w:rsidRDefault="00D865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Sąd Okręgowy w Warszawie, XVII Wydział Sąd Ochrony Konkurencji i Konsumentów </w:t>
      </w:r>
      <w:r>
        <w:rPr>
          <w:rFonts w:ascii="Times New Roman" w:hAnsi="Times New Roman" w:cs="Times New Roman"/>
          <w:sz w:val="24"/>
          <w:szCs w:val="24"/>
        </w:rPr>
        <w:br/>
        <w:t xml:space="preserve">w składzie: </w:t>
      </w:r>
    </w:p>
    <w:tbl>
      <w:tblPr>
        <w:tblW w:w="4120" w:type="pct"/>
        <w:tblInd w:w="77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70" w:type="dxa"/>
          <w:right w:w="70" w:type="dxa"/>
        </w:tblCellMar>
        <w:tblLook w:val="04A0" w:firstRow="1" w:lastRow="0" w:firstColumn="1" w:lastColumn="0" w:noHBand="0" w:noVBand="1"/>
      </w:tblPr>
      <w:tblGrid>
        <w:gridCol w:w="1979"/>
        <w:gridCol w:w="5488"/>
      </w:tblGrid>
      <w:tr w:rsidR="006C2E2F">
        <w:tc>
          <w:tcPr>
            <w:tcW w:w="1325" w:type="pct"/>
            <w:tcBorders>
              <w:top w:val="single" w:sz="4" w:space="0" w:color="FFFFFF"/>
              <w:left w:val="single" w:sz="4" w:space="0" w:color="FFFFFF"/>
              <w:bottom w:val="single" w:sz="4" w:space="0" w:color="FFFFFF"/>
              <w:right w:val="single" w:sz="4" w:space="0" w:color="FFFFFF"/>
            </w:tcBorders>
            <w:hideMark/>
          </w:tcPr>
          <w:p w:rsidR="006C2E2F" w:rsidRDefault="00D86529">
            <w:p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Przewodniczący – </w:t>
            </w:r>
          </w:p>
        </w:tc>
        <w:tc>
          <w:tcPr>
            <w:tcW w:w="3675" w:type="pct"/>
            <w:tcBorders>
              <w:top w:val="single" w:sz="4" w:space="0" w:color="FFFFFF"/>
              <w:left w:val="single" w:sz="4" w:space="0" w:color="FFFFFF"/>
              <w:bottom w:val="single" w:sz="4" w:space="0" w:color="FFFFFF"/>
              <w:right w:val="single" w:sz="4" w:space="0" w:color="FFFFFF"/>
            </w:tcBorders>
            <w:hideMark/>
          </w:tcPr>
          <w:p w:rsidR="006C2E2F" w:rsidRDefault="00D86529">
            <w:pPr>
              <w:spacing w:line="360" w:lineRule="auto"/>
              <w:rPr>
                <w:rFonts w:ascii="Times New Roman" w:eastAsia="Times New Roman" w:hAnsi="Times New Roman" w:cs="Times New Roman"/>
                <w:sz w:val="24"/>
                <w:szCs w:val="24"/>
              </w:rPr>
            </w:pPr>
            <w:r>
              <w:rPr>
                <w:rFonts w:ascii="Times New Roman" w:hAnsi="Times New Roman" w:cs="Times New Roman"/>
                <w:sz w:val="24"/>
                <w:szCs w:val="24"/>
              </w:rPr>
              <w:t xml:space="preserve">sędzia SO </w:t>
            </w:r>
            <w:bookmarkStart w:id="1" w:name="_Hlk179790653"/>
            <w:r>
              <w:rPr>
                <w:rFonts w:ascii="Times New Roman" w:hAnsi="Times New Roman" w:cs="Times New Roman"/>
                <w:sz w:val="24"/>
                <w:szCs w:val="24"/>
              </w:rPr>
              <w:t>A</w:t>
            </w:r>
            <w:bookmarkEnd w:id="1"/>
            <w:r>
              <w:rPr>
                <w:rFonts w:ascii="Times New Roman" w:hAnsi="Times New Roman" w:cs="Times New Roman"/>
                <w:sz w:val="24"/>
                <w:szCs w:val="24"/>
              </w:rPr>
              <w:t xml:space="preserve">nna </w:t>
            </w:r>
            <w:proofErr w:type="spellStart"/>
            <w:r>
              <w:rPr>
                <w:rFonts w:ascii="Times New Roman" w:hAnsi="Times New Roman" w:cs="Times New Roman"/>
                <w:sz w:val="24"/>
                <w:szCs w:val="24"/>
              </w:rPr>
              <w:t>Gałas</w:t>
            </w:r>
            <w:proofErr w:type="spellEnd"/>
          </w:p>
        </w:tc>
      </w:tr>
      <w:tr w:rsidR="006C2E2F">
        <w:tc>
          <w:tcPr>
            <w:tcW w:w="1325" w:type="pct"/>
            <w:tcBorders>
              <w:top w:val="single" w:sz="4" w:space="0" w:color="FFFFFF"/>
              <w:left w:val="single" w:sz="4" w:space="0" w:color="FFFFFF"/>
              <w:bottom w:val="single" w:sz="4" w:space="0" w:color="FFFFFF"/>
              <w:right w:val="single" w:sz="4" w:space="0" w:color="FFFFFF"/>
            </w:tcBorders>
            <w:hideMark/>
          </w:tcPr>
          <w:p w:rsidR="006C2E2F" w:rsidRDefault="00D86529">
            <w:p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Protokolant – </w:t>
            </w:r>
          </w:p>
        </w:tc>
        <w:tc>
          <w:tcPr>
            <w:tcW w:w="3675" w:type="pct"/>
            <w:tcBorders>
              <w:top w:val="single" w:sz="4" w:space="0" w:color="FFFFFF"/>
              <w:left w:val="single" w:sz="4" w:space="0" w:color="FFFFFF"/>
              <w:bottom w:val="single" w:sz="4" w:space="0" w:color="FFFFFF"/>
              <w:right w:val="single" w:sz="4" w:space="0" w:color="FFFFFF"/>
            </w:tcBorders>
            <w:hideMark/>
          </w:tcPr>
          <w:p w:rsidR="006C2E2F" w:rsidRDefault="00D8652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sekr. sądowy </w:t>
            </w:r>
            <w:r>
              <w:rPr>
                <w:rFonts w:ascii="Times New Roman" w:eastAsia="Times New Roman" w:hAnsi="Times New Roman" w:cs="Times New Roman"/>
                <w:sz w:val="24"/>
                <w:szCs w:val="24"/>
              </w:rPr>
              <w:t>Magdalena Ratajczyk</w:t>
            </w:r>
          </w:p>
        </w:tc>
      </w:tr>
    </w:tbl>
    <w:p w:rsidR="006C2E2F" w:rsidRDefault="00D86529">
      <w:pPr>
        <w:spacing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po rozpoznaniu w dniu 5 grudnia 2025 r. w Warszawie</w:t>
      </w:r>
    </w:p>
    <w:p w:rsidR="006C2E2F" w:rsidRDefault="00D8652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na rozprawie </w:t>
      </w:r>
    </w:p>
    <w:p w:rsidR="006C2E2F" w:rsidRDefault="00D86529">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 sprawach połączonych do wspólnego rozpoznania i rozstrzygnięcia:</w:t>
      </w:r>
    </w:p>
    <w:p w:rsidR="006C2E2F" w:rsidRDefault="00D86529">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o sygn. akt XVII </w:t>
      </w:r>
      <w:proofErr w:type="spellStart"/>
      <w:r>
        <w:rPr>
          <w:rFonts w:ascii="Times New Roman" w:hAnsi="Times New Roman" w:cs="Times New Roman"/>
          <w:color w:val="000000" w:themeColor="text1"/>
          <w:sz w:val="24"/>
          <w:szCs w:val="24"/>
        </w:rPr>
        <w:t>AmA</w:t>
      </w:r>
      <w:proofErr w:type="spellEnd"/>
      <w:r>
        <w:rPr>
          <w:rFonts w:ascii="Times New Roman" w:hAnsi="Times New Roman" w:cs="Times New Roman"/>
          <w:color w:val="000000" w:themeColor="text1"/>
          <w:sz w:val="24"/>
          <w:szCs w:val="24"/>
        </w:rPr>
        <w:t xml:space="preserve"> 84/23 z odwołania Polskiego Związku Motorowego w Warszawie</w:t>
      </w:r>
    </w:p>
    <w:p w:rsidR="006C2E2F" w:rsidRDefault="00D86529">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przeciwko Prezesowi Urzędu Ochrony Konkurencji i Konsumentów  </w:t>
      </w:r>
    </w:p>
    <w:p w:rsidR="006C2E2F" w:rsidRDefault="00D86529">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 udziałem zainteresowanego Ekstraliga Żużlowa spółka z ograniczoną odpowiedzialnością w Bydgoszczy</w:t>
      </w:r>
    </w:p>
    <w:p w:rsidR="006C2E2F" w:rsidRDefault="00D86529">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 zawarcie porozumienia ograniczającego konkurencję</w:t>
      </w:r>
    </w:p>
    <w:p w:rsidR="006C2E2F" w:rsidRDefault="00D86529">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II. o sygn. akt XVII </w:t>
      </w:r>
      <w:proofErr w:type="spellStart"/>
      <w:r>
        <w:rPr>
          <w:rFonts w:ascii="Times New Roman" w:hAnsi="Times New Roman" w:cs="Times New Roman"/>
          <w:color w:val="000000" w:themeColor="text1"/>
          <w:sz w:val="24"/>
          <w:szCs w:val="24"/>
        </w:rPr>
        <w:t>AmA</w:t>
      </w:r>
      <w:proofErr w:type="spellEnd"/>
      <w:r>
        <w:rPr>
          <w:rFonts w:ascii="Times New Roman" w:hAnsi="Times New Roman" w:cs="Times New Roman"/>
          <w:color w:val="000000" w:themeColor="text1"/>
          <w:sz w:val="24"/>
          <w:szCs w:val="24"/>
        </w:rPr>
        <w:t xml:space="preserve"> 85/23 z </w:t>
      </w:r>
      <w:r>
        <w:rPr>
          <w:rFonts w:ascii="Times New Roman" w:hAnsi="Times New Roman" w:cs="Times New Roman"/>
          <w:color w:val="000000" w:themeColor="text1"/>
          <w:sz w:val="24"/>
          <w:szCs w:val="24"/>
        </w:rPr>
        <w:t>odwołania</w:t>
      </w:r>
      <w:r>
        <w:rPr>
          <w:rFonts w:ascii="Times New Roman" w:hAnsi="Times New Roman" w:cs="Times New Roman"/>
          <w:b/>
          <w:color w:val="000000" w:themeColor="text1"/>
          <w:sz w:val="24"/>
          <w:szCs w:val="24"/>
        </w:rPr>
        <w:t xml:space="preserve"> </w:t>
      </w:r>
      <w:r>
        <w:rPr>
          <w:rFonts w:ascii="Times New Roman" w:hAnsi="Times New Roman" w:cs="Times New Roman"/>
          <w:sz w:val="24"/>
          <w:szCs w:val="24"/>
        </w:rPr>
        <w:t>Ekstraliga Żużlowa spółki z ograniczoną odpowiedzialnością w Bydgoszczy</w:t>
      </w:r>
    </w:p>
    <w:p w:rsidR="006C2E2F" w:rsidRDefault="00D86529">
      <w:pPr>
        <w:spacing w:line="240" w:lineRule="auto"/>
        <w:jc w:val="both"/>
        <w:rPr>
          <w:rFonts w:ascii="Times New Roman" w:hAnsi="Times New Roman" w:cs="Times New Roman"/>
          <w:sz w:val="24"/>
          <w:szCs w:val="24"/>
        </w:rPr>
      </w:pPr>
      <w:r>
        <w:rPr>
          <w:rFonts w:ascii="Times New Roman" w:hAnsi="Times New Roman" w:cs="Times New Roman"/>
          <w:sz w:val="24"/>
          <w:szCs w:val="24"/>
        </w:rPr>
        <w:t>przeciwko Prezesowi Urzędu Ochrony Konkurencji i Konsumentów</w:t>
      </w:r>
    </w:p>
    <w:p w:rsidR="006C2E2F" w:rsidRDefault="00D86529">
      <w:pPr>
        <w:spacing w:line="240" w:lineRule="auto"/>
        <w:jc w:val="both"/>
        <w:rPr>
          <w:rFonts w:ascii="Times New Roman" w:hAnsi="Times New Roman" w:cs="Times New Roman"/>
          <w:sz w:val="24"/>
          <w:szCs w:val="24"/>
        </w:rPr>
      </w:pPr>
      <w:bookmarkStart w:id="2" w:name="_Hlk179878219"/>
      <w:r>
        <w:rPr>
          <w:rFonts w:ascii="Times New Roman" w:hAnsi="Times New Roman" w:cs="Times New Roman"/>
          <w:sz w:val="24"/>
          <w:szCs w:val="24"/>
        </w:rPr>
        <w:t>z udziałem zainteresowanego Polskiego Związku Motorowego w Warszawie</w:t>
      </w:r>
    </w:p>
    <w:bookmarkEnd w:id="2"/>
    <w:p w:rsidR="006C2E2F" w:rsidRDefault="00D86529">
      <w:pPr>
        <w:spacing w:line="240" w:lineRule="auto"/>
        <w:jc w:val="both"/>
        <w:rPr>
          <w:rFonts w:ascii="Times New Roman" w:hAnsi="Times New Roman" w:cs="Times New Roman"/>
          <w:sz w:val="24"/>
          <w:szCs w:val="24"/>
        </w:rPr>
      </w:pPr>
      <w:r>
        <w:rPr>
          <w:rFonts w:ascii="Times New Roman" w:hAnsi="Times New Roman" w:cs="Times New Roman"/>
          <w:sz w:val="24"/>
          <w:szCs w:val="24"/>
        </w:rPr>
        <w:t>o zawarcie porozumienia ograniczającego konk</w:t>
      </w:r>
      <w:r>
        <w:rPr>
          <w:rFonts w:ascii="Times New Roman" w:hAnsi="Times New Roman" w:cs="Times New Roman"/>
          <w:sz w:val="24"/>
          <w:szCs w:val="24"/>
        </w:rPr>
        <w:t>urencję</w:t>
      </w:r>
    </w:p>
    <w:p w:rsidR="006C2E2F" w:rsidRDefault="00D86529">
      <w:pPr>
        <w:pStyle w:val="Stopka"/>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 skutek </w:t>
      </w:r>
      <w:proofErr w:type="spellStart"/>
      <w:r>
        <w:rPr>
          <w:rFonts w:ascii="Times New Roman" w:hAnsi="Times New Roman" w:cs="Times New Roman"/>
          <w:sz w:val="24"/>
          <w:szCs w:val="24"/>
        </w:rPr>
        <w:t>odwoła</w:t>
      </w:r>
      <w:r>
        <w:rPr>
          <w:rFonts w:ascii="Times New Roman" w:hAnsi="Times New Roman" w:cs="Times New Roman"/>
          <w:sz w:val="24"/>
          <w:szCs w:val="24"/>
        </w:rPr>
        <w:t>ń</w:t>
      </w:r>
      <w:proofErr w:type="spellEnd"/>
      <w:r>
        <w:rPr>
          <w:rFonts w:ascii="Times New Roman" w:hAnsi="Times New Roman" w:cs="Times New Roman"/>
          <w:sz w:val="24"/>
          <w:szCs w:val="24"/>
        </w:rPr>
        <w:t xml:space="preserve"> </w:t>
      </w:r>
      <w:r>
        <w:rPr>
          <w:rFonts w:ascii="Times New Roman" w:hAnsi="Times New Roman" w:cs="Times New Roman"/>
          <w:sz w:val="24"/>
          <w:szCs w:val="24"/>
        </w:rPr>
        <w:t>od decyzji Prezesa Urzędu Ochrony Konkurencji i Konsumentów</w:t>
      </w:r>
      <w:r>
        <w:rPr>
          <w:rFonts w:ascii="Times New Roman" w:hAnsi="Times New Roman" w:cs="Times New Roman"/>
          <w:sz w:val="24"/>
          <w:szCs w:val="24"/>
        </w:rPr>
        <w:t xml:space="preserve"> z dnia 5 czerwca 2023 r., </w:t>
      </w:r>
      <w:r>
        <w:rPr>
          <w:rFonts w:ascii="Times New Roman" w:hAnsi="Times New Roman" w:cs="Times New Roman"/>
          <w:sz w:val="24"/>
          <w:szCs w:val="24"/>
        </w:rPr>
        <w:t>Nr</w:t>
      </w:r>
      <w:r>
        <w:rPr>
          <w:rFonts w:ascii="Times New Roman" w:hAnsi="Times New Roman" w:cs="Times New Roman"/>
          <w:sz w:val="24"/>
          <w:szCs w:val="24"/>
        </w:rPr>
        <w:t xml:space="preserve"> DOK-1/2023</w:t>
      </w:r>
      <w:r>
        <w:rPr>
          <w:rFonts w:ascii="Times New Roman" w:hAnsi="Times New Roman" w:cs="Times New Roman"/>
          <w:sz w:val="24"/>
          <w:szCs w:val="24"/>
        </w:rPr>
        <w:t xml:space="preserve"> </w:t>
      </w:r>
    </w:p>
    <w:p w:rsidR="006C2E2F" w:rsidRDefault="006C2E2F">
      <w:pPr>
        <w:pStyle w:val="Akapitzlist1"/>
        <w:spacing w:after="0" w:line="360" w:lineRule="auto"/>
        <w:contextualSpacing/>
        <w:jc w:val="both"/>
        <w:rPr>
          <w:rFonts w:ascii="Times New Roman" w:hAnsi="Times New Roman"/>
          <w:sz w:val="24"/>
          <w:szCs w:val="24"/>
        </w:rPr>
      </w:pPr>
    </w:p>
    <w:p w:rsidR="006C2E2F" w:rsidRDefault="00D86529">
      <w:pPr>
        <w:pStyle w:val="Akapitzlist"/>
        <w:numPr>
          <w:ilvl w:val="0"/>
          <w:numId w:val="47"/>
        </w:numPr>
        <w:spacing w:line="360" w:lineRule="auto"/>
        <w:jc w:val="both"/>
        <w:rPr>
          <w:rFonts w:ascii="Times New Roman" w:hAnsi="Times New Roman" w:cs="Times New Roman"/>
          <w:sz w:val="24"/>
          <w:szCs w:val="24"/>
        </w:rPr>
      </w:pPr>
      <w:r>
        <w:rPr>
          <w:rFonts w:ascii="Times New Roman" w:hAnsi="Times New Roman" w:cs="Times New Roman"/>
          <w:sz w:val="24"/>
          <w:szCs w:val="24"/>
        </w:rPr>
        <w:t>uchyla zaskarżoną decyzję;</w:t>
      </w:r>
    </w:p>
    <w:p w:rsidR="006C2E2F" w:rsidRDefault="00D86529">
      <w:pPr>
        <w:numPr>
          <w:ilvl w:val="0"/>
          <w:numId w:val="4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zasądza od Prezesa Urzędu Ochrony Konkurencji i Konsumentów na rzecz </w:t>
      </w:r>
      <w:r>
        <w:rPr>
          <w:rFonts w:ascii="Times New Roman" w:hAnsi="Times New Roman" w:cs="Times New Roman"/>
          <w:color w:val="000000" w:themeColor="text1"/>
          <w:sz w:val="24"/>
          <w:szCs w:val="24"/>
        </w:rPr>
        <w:t>Polskiego Związku Motorowego w W</w:t>
      </w:r>
      <w:r>
        <w:rPr>
          <w:rFonts w:ascii="Times New Roman" w:hAnsi="Times New Roman" w:cs="Times New Roman"/>
          <w:color w:val="000000" w:themeColor="text1"/>
          <w:sz w:val="24"/>
          <w:szCs w:val="24"/>
        </w:rPr>
        <w:t>arszawie</w:t>
      </w:r>
      <w:r>
        <w:rPr>
          <w:rFonts w:ascii="Times New Roman" w:eastAsia="Times New Roman" w:hAnsi="Times New Roman" w:cs="Times New Roman"/>
          <w:sz w:val="24"/>
          <w:szCs w:val="24"/>
        </w:rPr>
        <w:t xml:space="preserve"> kwotę 720,00 zł (siedemset dwadzieścia złotych) </w:t>
      </w:r>
      <w:r>
        <w:rPr>
          <w:rFonts w:ascii="Times New Roman" w:eastAsia="Times New Roman" w:hAnsi="Times New Roman" w:cs="Times New Roman"/>
          <w:sz w:val="24"/>
          <w:szCs w:val="24"/>
        </w:rPr>
        <w:lastRenderedPageBreak/>
        <w:t>tytułem zwrotu kosztów zastępstwa procesowego z odsetkami ustawowymi za opóźnienie w spełnieniu świadczenia pieniężnego od dnia uprawomocnienia się orzeczenia, którym je zasądzono, do dnia zapłaty.</w:t>
      </w:r>
    </w:p>
    <w:p w:rsidR="006C2E2F" w:rsidRDefault="00D86529">
      <w:pPr>
        <w:numPr>
          <w:ilvl w:val="0"/>
          <w:numId w:val="4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Pr>
          <w:rFonts w:ascii="Times New Roman" w:eastAsia="Times New Roman" w:hAnsi="Times New Roman" w:cs="Times New Roman"/>
          <w:sz w:val="24"/>
          <w:szCs w:val="24"/>
        </w:rPr>
        <w:t xml:space="preserve">asądza od Prezesa Urzędu Ochrony Konkurencji i Konsumentów na rzecz </w:t>
      </w:r>
      <w:r>
        <w:rPr>
          <w:rFonts w:ascii="Times New Roman" w:hAnsi="Times New Roman" w:cs="Times New Roman"/>
          <w:color w:val="000000" w:themeColor="text1"/>
          <w:sz w:val="24"/>
          <w:szCs w:val="24"/>
        </w:rPr>
        <w:t>Ekstraliga Żużlowa spółki z ograniczoną odpowiedzialnością w Bydgoszczy</w:t>
      </w:r>
      <w:r>
        <w:rPr>
          <w:rFonts w:ascii="Times New Roman" w:eastAsia="Times New Roman" w:hAnsi="Times New Roman" w:cs="Times New Roman"/>
          <w:sz w:val="24"/>
          <w:szCs w:val="24"/>
        </w:rPr>
        <w:t xml:space="preserve"> kwotę 720,00 zł (siedemset dwadzieścia złotych) tytułem zwrotu kosztów zastępstwa procesowego z odsetkami ustawowymi</w:t>
      </w:r>
      <w:r>
        <w:rPr>
          <w:rFonts w:ascii="Times New Roman" w:eastAsia="Times New Roman" w:hAnsi="Times New Roman" w:cs="Times New Roman"/>
          <w:sz w:val="24"/>
          <w:szCs w:val="24"/>
        </w:rPr>
        <w:t xml:space="preserve"> za opóźnienie w spełnieniu świadczenia pieniężnego od dnia uprawomocnienia się orzeczenia, którym je zasądzono, do dnia zapłaty.</w:t>
      </w:r>
    </w:p>
    <w:p w:rsidR="006C2E2F" w:rsidRDefault="006C2E2F">
      <w:pPr>
        <w:rPr>
          <w:rFonts w:ascii="Times New Roman" w:hAnsi="Times New Roman" w:cs="Times New Roman"/>
          <w:sz w:val="24"/>
          <w:szCs w:val="24"/>
        </w:rPr>
      </w:pPr>
    </w:p>
    <w:p w:rsidR="006C2E2F" w:rsidRDefault="006C2E2F">
      <w:pPr>
        <w:rPr>
          <w:rFonts w:ascii="Times New Roman" w:hAnsi="Times New Roman" w:cs="Times New Roman"/>
          <w:sz w:val="24"/>
          <w:szCs w:val="24"/>
        </w:rPr>
      </w:pPr>
    </w:p>
    <w:p w:rsidR="006C2E2F" w:rsidRDefault="00D86529">
      <w:pPr>
        <w:jc w:val="center"/>
        <w:rPr>
          <w:rFonts w:ascii="Times New Roman" w:hAnsi="Times New Roman" w:cs="Times New Roman"/>
          <w:i/>
          <w:sz w:val="24"/>
          <w:szCs w:val="24"/>
        </w:rPr>
      </w:pPr>
      <w:r>
        <w:rPr>
          <w:rFonts w:ascii="Times New Roman" w:hAnsi="Times New Roman" w:cs="Times New Roman"/>
          <w:i/>
          <w:sz w:val="24"/>
          <w:szCs w:val="24"/>
        </w:rPr>
        <w:t xml:space="preserve">sędzia Anna </w:t>
      </w:r>
      <w:proofErr w:type="spellStart"/>
      <w:r>
        <w:rPr>
          <w:rFonts w:ascii="Times New Roman" w:hAnsi="Times New Roman" w:cs="Times New Roman"/>
          <w:i/>
          <w:sz w:val="24"/>
          <w:szCs w:val="24"/>
        </w:rPr>
        <w:t>Gałas</w:t>
      </w:r>
      <w:proofErr w:type="spellEnd"/>
    </w:p>
    <w:p w:rsidR="006C2E2F" w:rsidRDefault="006C2E2F"/>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6C2E2F">
      <w:pPr>
        <w:spacing w:before="240" w:after="0" w:line="360" w:lineRule="auto"/>
        <w:rPr>
          <w:rFonts w:ascii="Times New Roman" w:hAnsi="Times New Roman" w:cs="Times New Roman"/>
          <w:b/>
          <w:sz w:val="24"/>
          <w:szCs w:val="24"/>
        </w:rPr>
      </w:pPr>
    </w:p>
    <w:p w:rsidR="006C2E2F" w:rsidRDefault="00D86529">
      <w:pPr>
        <w:spacing w:before="240"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Sygn. akt XVII </w:t>
      </w:r>
      <w:proofErr w:type="spellStart"/>
      <w:r>
        <w:rPr>
          <w:rFonts w:ascii="Times New Roman" w:hAnsi="Times New Roman" w:cs="Times New Roman"/>
          <w:b/>
          <w:sz w:val="24"/>
          <w:szCs w:val="24"/>
        </w:rPr>
        <w:t>AmA</w:t>
      </w:r>
      <w:proofErr w:type="spellEnd"/>
      <w:r>
        <w:rPr>
          <w:rFonts w:ascii="Times New Roman" w:hAnsi="Times New Roman" w:cs="Times New Roman"/>
          <w:b/>
          <w:sz w:val="24"/>
          <w:szCs w:val="24"/>
        </w:rPr>
        <w:t xml:space="preserve"> 84/23</w:t>
      </w:r>
    </w:p>
    <w:p w:rsidR="006C2E2F" w:rsidRDefault="00D86529">
      <w:pPr>
        <w:spacing w:before="240" w:after="0" w:line="360" w:lineRule="auto"/>
        <w:jc w:val="center"/>
        <w:rPr>
          <w:rFonts w:ascii="Times New Roman" w:hAnsi="Times New Roman" w:cs="Times New Roman"/>
          <w:b/>
          <w:sz w:val="24"/>
          <w:szCs w:val="24"/>
        </w:rPr>
      </w:pPr>
      <w:r>
        <w:rPr>
          <w:rFonts w:ascii="Times New Roman" w:hAnsi="Times New Roman" w:cs="Times New Roman"/>
          <w:b/>
          <w:sz w:val="24"/>
          <w:szCs w:val="24"/>
        </w:rPr>
        <w:t>UZASADNIENIE</w:t>
      </w:r>
    </w:p>
    <w:p w:rsidR="006C2E2F" w:rsidRDefault="00D86529">
      <w:pPr>
        <w:spacing w:before="240" w:after="0" w:line="360" w:lineRule="auto"/>
        <w:jc w:val="center"/>
        <w:rPr>
          <w:rFonts w:ascii="Times New Roman" w:hAnsi="Times New Roman" w:cs="Times New Roman"/>
          <w:b/>
          <w:sz w:val="24"/>
          <w:szCs w:val="24"/>
        </w:rPr>
      </w:pPr>
      <w:r>
        <w:rPr>
          <w:rFonts w:ascii="Times New Roman" w:hAnsi="Times New Roman" w:cs="Times New Roman"/>
          <w:b/>
          <w:sz w:val="24"/>
          <w:szCs w:val="24"/>
        </w:rPr>
        <w:t>wyroku z 5 grudnia 2025 r. w całości</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Prezes Urzędu </w:t>
      </w:r>
      <w:r>
        <w:rPr>
          <w:rFonts w:ascii="Times New Roman" w:hAnsi="Times New Roman" w:cs="Times New Roman"/>
          <w:bCs/>
          <w:sz w:val="24"/>
          <w:szCs w:val="24"/>
        </w:rPr>
        <w:t>Ochrony Konkurencji i Konsumentów (dalej: organ, pozwany, Prezes UOKiK) decyzją z 5 czerwca 2023 r., nr DOK-1.410.1.2022.MK:</w:t>
      </w:r>
    </w:p>
    <w:p w:rsidR="006C2E2F" w:rsidRDefault="00D86529">
      <w:pPr>
        <w:pStyle w:val="Akapitzlist"/>
        <w:numPr>
          <w:ilvl w:val="0"/>
          <w:numId w:val="2"/>
        </w:numPr>
        <w:spacing w:before="240" w:after="0" w:line="360" w:lineRule="auto"/>
        <w:ind w:left="567" w:hanging="567"/>
        <w:jc w:val="both"/>
        <w:rPr>
          <w:rFonts w:ascii="Times New Roman" w:hAnsi="Times New Roman" w:cs="Times New Roman"/>
          <w:bCs/>
          <w:sz w:val="24"/>
          <w:szCs w:val="24"/>
        </w:rPr>
      </w:pPr>
      <w:r>
        <w:rPr>
          <w:rFonts w:ascii="Times New Roman" w:hAnsi="Times New Roman" w:cs="Times New Roman"/>
          <w:bCs/>
          <w:sz w:val="24"/>
          <w:szCs w:val="24"/>
        </w:rPr>
        <w:t>uznał –  na podstawie art. 10 ust. 1 ustawy z 16 lutego 2007 r. o ochronie konkurencji i konsumentów (Dz. U. z 2021 r., poz. 275 ze</w:t>
      </w:r>
      <w:r>
        <w:rPr>
          <w:rFonts w:ascii="Times New Roman" w:hAnsi="Times New Roman" w:cs="Times New Roman"/>
          <w:bCs/>
          <w:sz w:val="24"/>
          <w:szCs w:val="24"/>
        </w:rPr>
        <w:t xml:space="preserve"> zm., dalej: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oraz art. 3 ust. 1 i art. 5 Rozporządzenia Rady UE nr 1/2003 z 16 grudnia 2002 r. w sprawie wprowadzenia w życie reguł konkurencji ustanowionych w art. 81 i 82 Traktatu (Dz. Urz. UE L 1 z 4 stycznia 2003 r., wersja skonsolidowana Dz. Ur</w:t>
      </w:r>
      <w:r>
        <w:rPr>
          <w:rFonts w:ascii="Times New Roman" w:hAnsi="Times New Roman" w:cs="Times New Roman"/>
          <w:bCs/>
          <w:sz w:val="24"/>
          <w:szCs w:val="24"/>
        </w:rPr>
        <w:t>z. UE L 148 z 11 czerwca 2009 r.) – za praktykę ograniczającą konkurencję na polskim rynku zakupu usług świadczonych przez profesjonalnych zawodników sportu żużlowego udział:</w:t>
      </w:r>
    </w:p>
    <w:p w:rsidR="006C2E2F" w:rsidRDefault="00D86529">
      <w:pPr>
        <w:pStyle w:val="Akapitzlist"/>
        <w:numPr>
          <w:ilvl w:val="0"/>
          <w:numId w:val="1"/>
        </w:numPr>
        <w:spacing w:before="240" w:after="0" w:line="360" w:lineRule="auto"/>
        <w:ind w:left="1276"/>
        <w:jc w:val="both"/>
        <w:rPr>
          <w:rFonts w:ascii="Times New Roman" w:hAnsi="Times New Roman" w:cs="Times New Roman"/>
          <w:bCs/>
          <w:sz w:val="24"/>
          <w:szCs w:val="24"/>
        </w:rPr>
      </w:pPr>
      <w:r>
        <w:rPr>
          <w:rFonts w:ascii="Times New Roman" w:hAnsi="Times New Roman" w:cs="Times New Roman"/>
          <w:bCs/>
          <w:sz w:val="24"/>
          <w:szCs w:val="24"/>
        </w:rPr>
        <w:t>Polskiego Związku Motorowego z siedzibą w Warszawie (dalej: PZM) oraz</w:t>
      </w:r>
    </w:p>
    <w:p w:rsidR="006C2E2F" w:rsidRDefault="00D86529">
      <w:pPr>
        <w:pStyle w:val="Akapitzlist"/>
        <w:numPr>
          <w:ilvl w:val="0"/>
          <w:numId w:val="1"/>
        </w:numPr>
        <w:spacing w:before="240" w:after="0" w:line="360" w:lineRule="auto"/>
        <w:ind w:left="1276"/>
        <w:jc w:val="both"/>
        <w:rPr>
          <w:rFonts w:ascii="Times New Roman" w:hAnsi="Times New Roman" w:cs="Times New Roman"/>
          <w:bCs/>
          <w:sz w:val="24"/>
          <w:szCs w:val="24"/>
        </w:rPr>
      </w:pPr>
      <w:r>
        <w:rPr>
          <w:rFonts w:ascii="Times New Roman" w:hAnsi="Times New Roman" w:cs="Times New Roman"/>
          <w:bCs/>
          <w:sz w:val="24"/>
          <w:szCs w:val="24"/>
        </w:rPr>
        <w:t xml:space="preserve">Ekstraligi </w:t>
      </w:r>
      <w:r>
        <w:rPr>
          <w:rFonts w:ascii="Times New Roman" w:hAnsi="Times New Roman" w:cs="Times New Roman"/>
          <w:bCs/>
          <w:sz w:val="24"/>
          <w:szCs w:val="24"/>
        </w:rPr>
        <w:t>Żużlowej sp. z o.o. z siedzibą w Bydgoszczy (dalej: EŻ)</w:t>
      </w:r>
    </w:p>
    <w:p w:rsidR="006C2E2F" w:rsidRDefault="00D86529">
      <w:pPr>
        <w:pStyle w:val="Akapitzlist"/>
        <w:spacing w:before="240" w:after="0" w:line="360" w:lineRule="auto"/>
        <w:ind w:left="567"/>
        <w:jc w:val="both"/>
        <w:rPr>
          <w:rFonts w:ascii="Times New Roman" w:hAnsi="Times New Roman" w:cs="Times New Roman"/>
          <w:bCs/>
          <w:sz w:val="24"/>
          <w:szCs w:val="24"/>
        </w:rPr>
      </w:pPr>
      <w:r>
        <w:rPr>
          <w:rFonts w:ascii="Times New Roman" w:hAnsi="Times New Roman" w:cs="Times New Roman"/>
          <w:bCs/>
          <w:sz w:val="24"/>
          <w:szCs w:val="24"/>
        </w:rPr>
        <w:t>w porozumieniu (w rozumieniu art. 4 pkt 5 ustawy o ochronie konkurencji i konsumentów, a zarazem decyzji związku przedsiębiorstw oraz praktyce uzgodnionej w rozumieniu art. 101 ust. 1 Traktatu o funkc</w:t>
      </w:r>
      <w:r>
        <w:rPr>
          <w:rFonts w:ascii="Times New Roman" w:hAnsi="Times New Roman" w:cs="Times New Roman"/>
          <w:bCs/>
          <w:sz w:val="24"/>
          <w:szCs w:val="24"/>
        </w:rPr>
        <w:t>jonowaniu Unii Europejskiej), polegającym na ustalaniu maksymalnych stawek wynagrodzeń zawodników biorących udział w rozgrywkach ligowych sportu żużlowego, co stanowi naruszenie 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101 ust. 1 lit. a Traktatu o funkcjonowani</w:t>
      </w:r>
      <w:r>
        <w:rPr>
          <w:rFonts w:ascii="Times New Roman" w:hAnsi="Times New Roman" w:cs="Times New Roman"/>
          <w:bCs/>
          <w:sz w:val="24"/>
          <w:szCs w:val="24"/>
        </w:rPr>
        <w:t>u Unii Europejskiej.</w:t>
      </w:r>
    </w:p>
    <w:p w:rsidR="006C2E2F" w:rsidRDefault="00D86529">
      <w:pPr>
        <w:pStyle w:val="Akapitzlist"/>
        <w:numPr>
          <w:ilvl w:val="0"/>
          <w:numId w:val="2"/>
        </w:numPr>
        <w:spacing w:before="240" w:after="0" w:line="360" w:lineRule="auto"/>
        <w:ind w:left="567" w:hanging="513"/>
        <w:jc w:val="both"/>
        <w:rPr>
          <w:rFonts w:ascii="Times New Roman" w:hAnsi="Times New Roman" w:cs="Times New Roman"/>
          <w:bCs/>
          <w:sz w:val="24"/>
          <w:szCs w:val="24"/>
        </w:rPr>
      </w:pPr>
      <w:r>
        <w:rPr>
          <w:rFonts w:ascii="Times New Roman" w:hAnsi="Times New Roman" w:cs="Times New Roman"/>
          <w:bCs/>
          <w:sz w:val="24"/>
          <w:szCs w:val="24"/>
        </w:rPr>
        <w:t xml:space="preserve">nałożył – na podstawie art. 106 ust. 1 pkt 1 i 2 w zw. z ust. 7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5 Rozporządzenia Rady UE nr 1/2003 w sprawie wprowadzenia w życie reguł konkurencji ustanowionych w art. 81 i 82 Traktatu – z tytułu naruszenia zakazów, o których mowa w </w:t>
      </w:r>
      <w:r>
        <w:rPr>
          <w:rFonts w:ascii="Times New Roman" w:hAnsi="Times New Roman" w:cs="Times New Roman"/>
          <w:bCs/>
          <w:sz w:val="24"/>
          <w:szCs w:val="24"/>
        </w:rPr>
        <w:t xml:space="preserve">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w art. 101 ust. 1 lit. a Traktatu o funkcjonowaniu Unii Europejskiej (dalej: TFUE) w sposób, o którym mowa w pkt I. sentencji decyzji, na:  </w:t>
      </w:r>
    </w:p>
    <w:p w:rsidR="006C2E2F" w:rsidRDefault="00D86529">
      <w:pPr>
        <w:pStyle w:val="Akapitzlist"/>
        <w:numPr>
          <w:ilvl w:val="0"/>
          <w:numId w:val="4"/>
        </w:numPr>
        <w:spacing w:before="240" w:after="0" w:line="360" w:lineRule="auto"/>
        <w:ind w:left="993"/>
        <w:jc w:val="both"/>
        <w:rPr>
          <w:rFonts w:ascii="Times New Roman" w:hAnsi="Times New Roman" w:cs="Times New Roman"/>
          <w:bCs/>
          <w:sz w:val="24"/>
          <w:szCs w:val="24"/>
        </w:rPr>
      </w:pPr>
      <w:r>
        <w:rPr>
          <w:rFonts w:ascii="Times New Roman" w:hAnsi="Times New Roman" w:cs="Times New Roman"/>
          <w:bCs/>
          <w:sz w:val="24"/>
          <w:szCs w:val="24"/>
        </w:rPr>
        <w:t>Polski Związek Motorowy karę pieniężną w wysokości 2.908.178,78 zł (dwa miliony dzie</w:t>
      </w:r>
      <w:r>
        <w:rPr>
          <w:rFonts w:ascii="Times New Roman" w:hAnsi="Times New Roman" w:cs="Times New Roman"/>
          <w:bCs/>
          <w:sz w:val="24"/>
          <w:szCs w:val="24"/>
        </w:rPr>
        <w:t>więćset osiem tysięcy sto siedemdziesiąt osiem złotych i siedemdziesiąt osiem groszy), płatną do budżetu państwa;</w:t>
      </w:r>
    </w:p>
    <w:p w:rsidR="006C2E2F" w:rsidRDefault="00D86529">
      <w:pPr>
        <w:pStyle w:val="Akapitzlist"/>
        <w:numPr>
          <w:ilvl w:val="0"/>
          <w:numId w:val="4"/>
        </w:numPr>
        <w:spacing w:before="240" w:after="0" w:line="360" w:lineRule="auto"/>
        <w:ind w:left="993"/>
        <w:jc w:val="both"/>
        <w:rPr>
          <w:rFonts w:ascii="Times New Roman" w:hAnsi="Times New Roman" w:cs="Times New Roman"/>
          <w:bCs/>
          <w:sz w:val="24"/>
          <w:szCs w:val="24"/>
        </w:rPr>
      </w:pPr>
      <w:r>
        <w:rPr>
          <w:rFonts w:ascii="Times New Roman" w:hAnsi="Times New Roman" w:cs="Times New Roman"/>
          <w:bCs/>
          <w:sz w:val="24"/>
          <w:szCs w:val="24"/>
        </w:rPr>
        <w:t xml:space="preserve">Ekstraligę Żużlową sp. z o.o. karę pieniężną w wysokości 2.300.921,67 zł (dwa miliony trzysta tysięcy dziewięćset dwadzieścia jeden złotych i </w:t>
      </w:r>
      <w:r>
        <w:rPr>
          <w:rFonts w:ascii="Times New Roman" w:hAnsi="Times New Roman" w:cs="Times New Roman"/>
          <w:bCs/>
          <w:sz w:val="24"/>
          <w:szCs w:val="24"/>
        </w:rPr>
        <w:t>sześćdziesiąt siedem groszy), płatną do budżetu państwa.</w:t>
      </w:r>
    </w:p>
    <w:p w:rsidR="006C2E2F" w:rsidRDefault="00D86529">
      <w:pPr>
        <w:pStyle w:val="Akapitzlist"/>
        <w:numPr>
          <w:ilvl w:val="0"/>
          <w:numId w:val="2"/>
        </w:numPr>
        <w:spacing w:before="240" w:after="0" w:line="360" w:lineRule="auto"/>
        <w:ind w:left="567" w:hanging="513"/>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obciążył kosztami postępowania antymonopolowego – na podstawie art. 77 ust. 1 oraz art. 80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263 i art. 264 § 1 ustawy z 14 czerwca 1960 r. Kodeks postępowania administracyjnego (Dz. U.</w:t>
      </w:r>
      <w:r>
        <w:rPr>
          <w:rFonts w:ascii="Times New Roman" w:hAnsi="Times New Roman" w:cs="Times New Roman"/>
          <w:bCs/>
          <w:sz w:val="24"/>
          <w:szCs w:val="24"/>
        </w:rPr>
        <w:t xml:space="preserve"> z 2023 r., poz. 775, dalej k.p.a.) w związku z art. 83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 następujące podmioty:</w:t>
      </w:r>
    </w:p>
    <w:p w:rsidR="006C2E2F" w:rsidRDefault="00D86529">
      <w:pPr>
        <w:pStyle w:val="Akapitzlist"/>
        <w:numPr>
          <w:ilvl w:val="0"/>
          <w:numId w:val="5"/>
        </w:numPr>
        <w:spacing w:before="240" w:after="0"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Polski Związek Motorowy – 94,20 zł;</w:t>
      </w:r>
    </w:p>
    <w:p w:rsidR="006C2E2F" w:rsidRDefault="00D86529">
      <w:pPr>
        <w:pStyle w:val="Akapitzlist"/>
        <w:numPr>
          <w:ilvl w:val="0"/>
          <w:numId w:val="5"/>
        </w:numPr>
        <w:spacing w:before="240" w:after="0"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Ekstraligę Żużlową sp. z o.o.– 94,20 zł,</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zobowiązując do uiszczenia tych kosztów na rzecz Prezesa Urzędu Ochrony Konkurencji i Konsume</w:t>
      </w:r>
      <w:r>
        <w:rPr>
          <w:rFonts w:ascii="Times New Roman" w:hAnsi="Times New Roman" w:cs="Times New Roman"/>
          <w:bCs/>
          <w:sz w:val="24"/>
          <w:szCs w:val="24"/>
        </w:rPr>
        <w:t>ntów w terminie 14 dni od daty uprawomocnienia się decyzji.</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(decyzja Prezesa UOKiK z 5 czerwca 2023 r., k. 7 – 49 akt sąd.)</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Od powyższej decyzji odwołali się, osobnymi </w:t>
      </w:r>
      <w:proofErr w:type="spellStart"/>
      <w:r>
        <w:rPr>
          <w:rFonts w:ascii="Times New Roman" w:hAnsi="Times New Roman" w:cs="Times New Roman"/>
          <w:bCs/>
          <w:sz w:val="24"/>
          <w:szCs w:val="24"/>
        </w:rPr>
        <w:t>odwołaniami</w:t>
      </w:r>
      <w:proofErr w:type="spellEnd"/>
      <w:r>
        <w:rPr>
          <w:rFonts w:ascii="Times New Roman" w:hAnsi="Times New Roman" w:cs="Times New Roman"/>
          <w:bCs/>
          <w:sz w:val="24"/>
          <w:szCs w:val="24"/>
        </w:rPr>
        <w:t xml:space="preserve">: </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Polski Związek Motorowy (sprawa zarejestrowana pod sygn. akt XVII </w:t>
      </w:r>
      <w:proofErr w:type="spellStart"/>
      <w:r>
        <w:rPr>
          <w:rFonts w:ascii="Times New Roman" w:hAnsi="Times New Roman" w:cs="Times New Roman"/>
          <w:bCs/>
          <w:sz w:val="24"/>
          <w:szCs w:val="24"/>
        </w:rPr>
        <w:t>AmA</w:t>
      </w:r>
      <w:proofErr w:type="spellEnd"/>
      <w:r>
        <w:rPr>
          <w:rFonts w:ascii="Times New Roman" w:hAnsi="Times New Roman" w:cs="Times New Roman"/>
          <w:bCs/>
          <w:sz w:val="24"/>
          <w:szCs w:val="24"/>
        </w:rPr>
        <w:t xml:space="preserve"> 84/</w:t>
      </w:r>
      <w:r>
        <w:rPr>
          <w:rFonts w:ascii="Times New Roman" w:hAnsi="Times New Roman" w:cs="Times New Roman"/>
          <w:bCs/>
          <w:sz w:val="24"/>
          <w:szCs w:val="24"/>
        </w:rPr>
        <w:t xml:space="preserve">23), jak i Ekstraliga Żużlowa sp. z o.o. (sprawa zarejestrowana pod sygn. akt XVII </w:t>
      </w:r>
      <w:proofErr w:type="spellStart"/>
      <w:r>
        <w:rPr>
          <w:rFonts w:ascii="Times New Roman" w:hAnsi="Times New Roman" w:cs="Times New Roman"/>
          <w:bCs/>
          <w:sz w:val="24"/>
          <w:szCs w:val="24"/>
        </w:rPr>
        <w:t>AmA</w:t>
      </w:r>
      <w:proofErr w:type="spellEnd"/>
      <w:r>
        <w:rPr>
          <w:rFonts w:ascii="Times New Roman" w:hAnsi="Times New Roman" w:cs="Times New Roman"/>
          <w:bCs/>
          <w:sz w:val="24"/>
          <w:szCs w:val="24"/>
        </w:rPr>
        <w:t xml:space="preserve"> 83/23).</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Polski Związek Motorowy zaskarżył decyzję w całości, zarzucając rażące naruszenie:</w:t>
      </w:r>
    </w:p>
    <w:p w:rsidR="006C2E2F" w:rsidRDefault="00D86529">
      <w:pPr>
        <w:pStyle w:val="Akapitzlist"/>
        <w:numPr>
          <w:ilvl w:val="0"/>
          <w:numId w:val="7"/>
        </w:numPr>
        <w:spacing w:before="240"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 xml:space="preserve">przepisów prawa materialnego, tj.: </w:t>
      </w:r>
    </w:p>
    <w:p w:rsidR="006C2E2F" w:rsidRDefault="00D86529">
      <w:pPr>
        <w:pStyle w:val="Akapitzlist"/>
        <w:numPr>
          <w:ilvl w:val="0"/>
          <w:numId w:val="6"/>
        </w:numPr>
        <w:spacing w:before="240" w:after="0" w:line="360" w:lineRule="auto"/>
        <w:ind w:left="714" w:hanging="43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art. 6 ust. 1 pkt 1 w zw. z art. 4 pkt 1 </w:t>
      </w:r>
      <w:r>
        <w:rPr>
          <w:rFonts w:ascii="Times New Roman" w:hAnsi="Times New Roman" w:cs="Times New Roman"/>
          <w:bCs/>
          <w:sz w:val="24"/>
          <w:szCs w:val="24"/>
        </w:rPr>
        <w:t xml:space="preserve">lit. d w zw. z art. 4 pkt 2 w zw. z art. 4 pkt 3 w zw. z art. 4 pkt 14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101 ust. 1 lit. a Traktatu o Funkcjonowaniu Unii Europejskiej (Dz. Urz. UE C 202 z 7 czerwca 2016 r.), przez ich błędne zastosowanie i uznanie, że doszło do zawarcia por</w:t>
      </w:r>
      <w:r>
        <w:rPr>
          <w:rFonts w:ascii="Times New Roman" w:hAnsi="Times New Roman" w:cs="Times New Roman"/>
          <w:bCs/>
          <w:sz w:val="24"/>
          <w:szCs w:val="24"/>
        </w:rPr>
        <w:t xml:space="preserve">ozumienia ograniczającego konkurencję, polegającego na ustalaniu cen pomiędzy PZM i EŻ, podczas gdy podmioty te tworzą jedną grupę kapitałową na gruncie prawa krajowego oraz jeden organizm gospodarczy na gruncie prawa unijnego (samodzielną kontrolę nad EŻ </w:t>
      </w:r>
      <w:r>
        <w:rPr>
          <w:rFonts w:ascii="Times New Roman" w:hAnsi="Times New Roman" w:cs="Times New Roman"/>
          <w:bCs/>
          <w:sz w:val="24"/>
          <w:szCs w:val="24"/>
        </w:rPr>
        <w:t xml:space="preserve">sprawuje PZM), a w ramach grupy kapitałowej nie jest możliwe zawarcie porozumienia ograniczającego konkurencję. </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W przypadku nieuwzględnienia powyższego zarzutu, PZM zarzucił decyzji naruszenie:  </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t xml:space="preserve">art. 101 ust. 1 lit. a TFUE oraz 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w:t>
      </w:r>
      <w:r>
        <w:rPr>
          <w:rFonts w:ascii="Times New Roman" w:hAnsi="Times New Roman" w:cs="Times New Roman"/>
          <w:bCs/>
          <w:sz w:val="24"/>
          <w:szCs w:val="24"/>
        </w:rPr>
        <w:t xml:space="preserve"> przez ich błędną wykładnię i niewłaściwe zastosowanie polegające na zakwalifikowaniu działań PZM jako udziału w zakazanym, horyzontalnym porozumieniu cenowym (kartel cenowy), którego drugą stroną jest EŻ, podczas gdy:</w:t>
      </w:r>
    </w:p>
    <w:p w:rsidR="006C2E2F" w:rsidRDefault="00D86529">
      <w:pPr>
        <w:pStyle w:val="Akapitzlist"/>
        <w:numPr>
          <w:ilvl w:val="0"/>
          <w:numId w:val="8"/>
        </w:numPr>
        <w:spacing w:before="240" w:after="0" w:line="360" w:lineRule="auto"/>
        <w:ind w:left="1276" w:hanging="425"/>
        <w:jc w:val="both"/>
        <w:rPr>
          <w:rFonts w:ascii="Times New Roman" w:hAnsi="Times New Roman" w:cs="Times New Roman"/>
          <w:bCs/>
          <w:sz w:val="24"/>
          <w:szCs w:val="24"/>
        </w:rPr>
      </w:pPr>
      <w:r>
        <w:rPr>
          <w:rFonts w:ascii="Times New Roman" w:hAnsi="Times New Roman" w:cs="Times New Roman"/>
          <w:bCs/>
          <w:sz w:val="24"/>
          <w:szCs w:val="24"/>
        </w:rPr>
        <w:lastRenderedPageBreak/>
        <w:t>działania PZM opisane w decyzji nie s</w:t>
      </w:r>
      <w:r>
        <w:rPr>
          <w:rFonts w:ascii="Times New Roman" w:hAnsi="Times New Roman" w:cs="Times New Roman"/>
          <w:bCs/>
          <w:sz w:val="24"/>
          <w:szCs w:val="24"/>
        </w:rPr>
        <w:t>tanowiły udziału w jakimkolwiek porozumieniu lub uzgodnionej praktyce (świadomej koordynacji) z EŻ, a co najwyżej mogły stanowić jednostronną, legalną i dopuszczalną prawnie decyzję PZM co do reguł organizacyjnych w sporcie żużlowym, w tym co do treści Reg</w:t>
      </w:r>
      <w:r>
        <w:rPr>
          <w:rFonts w:ascii="Times New Roman" w:hAnsi="Times New Roman" w:cs="Times New Roman"/>
          <w:bCs/>
          <w:sz w:val="24"/>
          <w:szCs w:val="24"/>
        </w:rPr>
        <w:t>ulaminu Przynależności Klubowej w Sporcie Żużlowym (dalej: Regulamin) i załącznika do regulaminu - Zbiorze Zasad Regulujących Stosunki pomiędzy Zawodnikiem i Klubem (dalej: Załącznik);</w:t>
      </w:r>
    </w:p>
    <w:p w:rsidR="006C2E2F" w:rsidRDefault="00D86529">
      <w:pPr>
        <w:pStyle w:val="Akapitzlist"/>
        <w:numPr>
          <w:ilvl w:val="0"/>
          <w:numId w:val="8"/>
        </w:numPr>
        <w:spacing w:before="240" w:after="0" w:line="360" w:lineRule="auto"/>
        <w:ind w:left="1276" w:hanging="425"/>
        <w:jc w:val="both"/>
        <w:rPr>
          <w:rFonts w:ascii="Times New Roman" w:hAnsi="Times New Roman" w:cs="Times New Roman"/>
          <w:bCs/>
          <w:sz w:val="24"/>
          <w:szCs w:val="24"/>
        </w:rPr>
      </w:pPr>
      <w:r>
        <w:rPr>
          <w:rFonts w:ascii="Times New Roman" w:hAnsi="Times New Roman" w:cs="Times New Roman"/>
          <w:bCs/>
          <w:sz w:val="24"/>
          <w:szCs w:val="24"/>
        </w:rPr>
        <w:t>udział EŻ w rzekomym naruszeniu został w istocie określony w decyzji ja</w:t>
      </w:r>
      <w:r>
        <w:rPr>
          <w:rFonts w:ascii="Times New Roman" w:hAnsi="Times New Roman" w:cs="Times New Roman"/>
          <w:bCs/>
          <w:sz w:val="24"/>
          <w:szCs w:val="24"/>
        </w:rPr>
        <w:t xml:space="preserve">ko „pomocnictwo”, podczas gdy przepisy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TFUE nie przewidują możliwości przypisania odpowiedzialności za taką, tj. zjawiskową, formę naruszenia, a tym bardziej nałożenia, na tak rozumianego „pomocnika”, administracyjnej kary pieniężnej; dodatkowo,</w:t>
      </w:r>
      <w:r>
        <w:rPr>
          <w:rFonts w:ascii="Times New Roman" w:hAnsi="Times New Roman" w:cs="Times New Roman"/>
          <w:bCs/>
          <w:sz w:val="24"/>
          <w:szCs w:val="24"/>
        </w:rPr>
        <w:t xml:space="preserve"> z istoty porozumienia ograniczającego konkurencję wynika, że zawierają je co najmniej dwa podmioty niezależne od siebie i działające na takich samych zasadach, dlatego „pomocnictwo” nie może być tym samym uznane za udział w porozumieniu, o którym mowa w p</w:t>
      </w:r>
      <w:r>
        <w:rPr>
          <w:rFonts w:ascii="Times New Roman" w:hAnsi="Times New Roman" w:cs="Times New Roman"/>
          <w:bCs/>
          <w:sz w:val="24"/>
          <w:szCs w:val="24"/>
        </w:rPr>
        <w:t xml:space="preserve">rzepisach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i TFUE;</w:t>
      </w:r>
    </w:p>
    <w:p w:rsidR="006C2E2F" w:rsidRDefault="00D86529">
      <w:pPr>
        <w:pStyle w:val="Akapitzlist"/>
        <w:numPr>
          <w:ilvl w:val="0"/>
          <w:numId w:val="8"/>
        </w:numPr>
        <w:spacing w:before="240" w:after="0" w:line="360" w:lineRule="auto"/>
        <w:ind w:left="1276" w:hanging="425"/>
        <w:contextualSpacing w:val="0"/>
        <w:jc w:val="both"/>
        <w:rPr>
          <w:rFonts w:ascii="Times New Roman" w:hAnsi="Times New Roman" w:cs="Times New Roman"/>
          <w:bCs/>
          <w:sz w:val="24"/>
          <w:szCs w:val="24"/>
        </w:rPr>
      </w:pPr>
      <w:r>
        <w:rPr>
          <w:rFonts w:ascii="Times New Roman" w:hAnsi="Times New Roman" w:cs="Times New Roman"/>
          <w:bCs/>
          <w:sz w:val="24"/>
          <w:szCs w:val="24"/>
        </w:rPr>
        <w:t>PZM oraz EŻ nie są wobec siebie aktualnymi lub potencjalnymi konkurentami oraz nie pozostają w relacji wertykalnej i tym samym nie mogło dojść pomiędzy nimi do cenowej zmowy konkurentów rynkowych lub też do innego ograniczenia konku</w:t>
      </w:r>
      <w:r>
        <w:rPr>
          <w:rFonts w:ascii="Times New Roman" w:hAnsi="Times New Roman" w:cs="Times New Roman"/>
          <w:bCs/>
          <w:sz w:val="24"/>
          <w:szCs w:val="24"/>
        </w:rPr>
        <w:t xml:space="preserve">rencji o charakterze wertykalnym. </w:t>
      </w:r>
    </w:p>
    <w:p w:rsidR="006C2E2F" w:rsidRDefault="00D86529">
      <w:pPr>
        <w:pStyle w:val="Akapitzlist"/>
        <w:spacing w:before="240" w:after="0" w:line="360" w:lineRule="auto"/>
        <w:ind w:left="0" w:firstLine="708"/>
        <w:contextualSpacing w:val="0"/>
        <w:jc w:val="both"/>
        <w:rPr>
          <w:rFonts w:ascii="Times New Roman" w:hAnsi="Times New Roman" w:cs="Times New Roman"/>
          <w:bCs/>
          <w:sz w:val="24"/>
          <w:szCs w:val="24"/>
        </w:rPr>
      </w:pPr>
      <w:r>
        <w:rPr>
          <w:rFonts w:ascii="Times New Roman" w:hAnsi="Times New Roman" w:cs="Times New Roman"/>
          <w:bCs/>
          <w:sz w:val="24"/>
          <w:szCs w:val="24"/>
        </w:rPr>
        <w:t>Powyższe, w konsekwencji, doprowadziło także do naruszenia art. 2 oraz art. 7 Konstytucji RP, art. 6 k.p.a., art. 7a § 1 k.p.a. oraz art. 11 ust. 1, art. 10 ust. 1 oraz art. 12 ustawy z 6 marca 2018 r. – Prawo przedsiębio</w:t>
      </w:r>
      <w:r>
        <w:rPr>
          <w:rFonts w:ascii="Times New Roman" w:hAnsi="Times New Roman" w:cs="Times New Roman"/>
          <w:bCs/>
          <w:sz w:val="24"/>
          <w:szCs w:val="24"/>
        </w:rPr>
        <w:t xml:space="preserve">rców (Dz. U. z 2021 r. poz. 162, </w:t>
      </w:r>
      <w:proofErr w:type="spellStart"/>
      <w:r>
        <w:rPr>
          <w:rFonts w:ascii="Times New Roman" w:hAnsi="Times New Roman" w:cs="Times New Roman"/>
          <w:bCs/>
          <w:sz w:val="24"/>
          <w:szCs w:val="24"/>
        </w:rPr>
        <w:t>t.j</w:t>
      </w:r>
      <w:proofErr w:type="spellEnd"/>
      <w:r>
        <w:rPr>
          <w:rFonts w:ascii="Times New Roman" w:hAnsi="Times New Roman" w:cs="Times New Roman"/>
          <w:bCs/>
          <w:sz w:val="24"/>
          <w:szCs w:val="24"/>
        </w:rPr>
        <w:t xml:space="preserve">., dalej: </w:t>
      </w:r>
      <w:proofErr w:type="spellStart"/>
      <w:r>
        <w:rPr>
          <w:rFonts w:ascii="Times New Roman" w:hAnsi="Times New Roman" w:cs="Times New Roman"/>
          <w:bCs/>
          <w:sz w:val="24"/>
          <w:szCs w:val="24"/>
        </w:rPr>
        <w:t>PrPrzed</w:t>
      </w:r>
      <w:proofErr w:type="spellEnd"/>
      <w:r>
        <w:rPr>
          <w:rFonts w:ascii="Times New Roman" w:hAnsi="Times New Roman" w:cs="Times New Roman"/>
          <w:bCs/>
          <w:sz w:val="24"/>
          <w:szCs w:val="24"/>
        </w:rPr>
        <w:t>) oraz art. 13 ust. 1 pkt 1 i 2 ustawy z 25 czerwca 2010 r. o sporcie (Dz. U. z 2022 r. poz. 1599).</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W przypadku nieuwzględnienia powyższego zarzutu, PZM zarzucił decyzji naruszenie:  </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t>art. 6 ust. 1 pkt 1</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przepisu art. 101 ust.1 lit a TFUE,  przez ich błędną wykładnię i niewłaściwe zastosowanie, polegające na zaniechaniu badania celu, funkcji oraz kontekstu gospodarczego i prawnego zakwestionowanych postanowień zawartych w Regulaminie i Załączni</w:t>
      </w:r>
      <w:r>
        <w:rPr>
          <w:rFonts w:ascii="Times New Roman" w:hAnsi="Times New Roman" w:cs="Times New Roman"/>
          <w:bCs/>
          <w:sz w:val="24"/>
          <w:szCs w:val="24"/>
        </w:rPr>
        <w:t>ku, które należało przeprowadzić na potrzeby dokonania prawidłowej kwalifikacji zarzuconego naruszenia, głównie bez wzięcia pod uwagę szczególnej roli sportu profesjonalnego (i amatorskiego) w życiu społecznym, co znalazło swoje odbicie zarówno w przepisac</w:t>
      </w:r>
      <w:r>
        <w:rPr>
          <w:rFonts w:ascii="Times New Roman" w:hAnsi="Times New Roman" w:cs="Times New Roman"/>
          <w:bCs/>
          <w:sz w:val="24"/>
          <w:szCs w:val="24"/>
        </w:rPr>
        <w:t xml:space="preserve">h TFUE jak i Konstytucji RP. </w:t>
      </w:r>
      <w:r>
        <w:rPr>
          <w:rFonts w:ascii="Times New Roman" w:hAnsi="Times New Roman" w:cs="Times New Roman"/>
          <w:bCs/>
          <w:sz w:val="24"/>
          <w:szCs w:val="24"/>
        </w:rPr>
        <w:lastRenderedPageBreak/>
        <w:t>W konsekwencji błędne uznanie, że kwestionowane zachowanie stanowi porozumienie typu hard-</w:t>
      </w:r>
      <w:proofErr w:type="spellStart"/>
      <w:r>
        <w:rPr>
          <w:rFonts w:ascii="Times New Roman" w:hAnsi="Times New Roman" w:cs="Times New Roman"/>
          <w:bCs/>
          <w:sz w:val="24"/>
          <w:szCs w:val="24"/>
        </w:rPr>
        <w:t>core</w:t>
      </w:r>
      <w:proofErr w:type="spellEnd"/>
      <w:r>
        <w:rPr>
          <w:rFonts w:ascii="Times New Roman" w:hAnsi="Times New Roman" w:cs="Times New Roman"/>
          <w:bCs/>
          <w:sz w:val="24"/>
          <w:szCs w:val="24"/>
        </w:rPr>
        <w:t>, zakazane z uwagi na cel (przedmiot), podczas gdy nie istniały podstawy nie tylko do takiej kwalifikacji, ale do jakiegokolwiek kwes</w:t>
      </w:r>
      <w:r>
        <w:rPr>
          <w:rFonts w:ascii="Times New Roman" w:hAnsi="Times New Roman" w:cs="Times New Roman"/>
          <w:bCs/>
          <w:sz w:val="24"/>
          <w:szCs w:val="24"/>
        </w:rPr>
        <w:t>tionowania legalności takiego ustalania;</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t xml:space="preserve">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101 ust. 1 lit a TFUE, poprzez ich błędną wykładnię i niewłaściwe zastosowanie, polegające na uznaniu, że wprowadzanie maksymalnych stawek jednego z elementów wynagrodzenia zawodni</w:t>
      </w:r>
      <w:r>
        <w:rPr>
          <w:rFonts w:ascii="Times New Roman" w:hAnsi="Times New Roman" w:cs="Times New Roman"/>
          <w:bCs/>
          <w:sz w:val="24"/>
          <w:szCs w:val="24"/>
        </w:rPr>
        <w:t xml:space="preserve">ków, biorących udział w rozgrywkach ligowych sportu żużlowego, stanowi porozumienie cenowe, podczas gdy mogłoby stanowić co najwyżej praktykę nienazwaną w oparciu o przepis art. 6 ust.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lub art. 101 ust. 1 TFUE, której </w:t>
      </w:r>
      <w:proofErr w:type="spellStart"/>
      <w:r>
        <w:rPr>
          <w:rFonts w:ascii="Times New Roman" w:hAnsi="Times New Roman" w:cs="Times New Roman"/>
          <w:bCs/>
          <w:sz w:val="24"/>
          <w:szCs w:val="24"/>
        </w:rPr>
        <w:t>antykonkurencyjne</w:t>
      </w:r>
      <w:proofErr w:type="spellEnd"/>
      <w:r>
        <w:rPr>
          <w:rFonts w:ascii="Times New Roman" w:hAnsi="Times New Roman" w:cs="Times New Roman"/>
          <w:bCs/>
          <w:sz w:val="24"/>
          <w:szCs w:val="24"/>
        </w:rPr>
        <w:t xml:space="preserve"> skutki powin</w:t>
      </w:r>
      <w:r>
        <w:rPr>
          <w:rFonts w:ascii="Times New Roman" w:hAnsi="Times New Roman" w:cs="Times New Roman"/>
          <w:bCs/>
          <w:sz w:val="24"/>
          <w:szCs w:val="24"/>
        </w:rPr>
        <w:t>ny zostać udowodnione przez Prezesa Urzędu;</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względnie, naruszenie:</w:t>
      </w:r>
    </w:p>
    <w:p w:rsidR="006C2E2F" w:rsidRDefault="00D86529">
      <w:pPr>
        <w:pStyle w:val="Akapitzlist"/>
        <w:numPr>
          <w:ilvl w:val="0"/>
          <w:numId w:val="6"/>
        </w:numPr>
        <w:spacing w:before="240" w:after="0" w:line="360" w:lineRule="auto"/>
        <w:ind w:left="714" w:hanging="43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art. 101 ust. 3 TFUE i art. 8 ust.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w zw. z 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101 ust. 1 lit. a TFUE, poprzez ich niewłaściwe zastosowanie, skutkujące uznaniem, że stwierdzone w de</w:t>
      </w:r>
      <w:r>
        <w:rPr>
          <w:rFonts w:ascii="Times New Roman" w:hAnsi="Times New Roman" w:cs="Times New Roman"/>
          <w:bCs/>
          <w:sz w:val="24"/>
          <w:szCs w:val="24"/>
        </w:rPr>
        <w:t xml:space="preserve">cyzji naruszenie nie podlega wyłączeniu spod zakazu zawierania </w:t>
      </w:r>
      <w:proofErr w:type="spellStart"/>
      <w:r>
        <w:rPr>
          <w:rFonts w:ascii="Times New Roman" w:hAnsi="Times New Roman" w:cs="Times New Roman"/>
          <w:bCs/>
          <w:sz w:val="24"/>
          <w:szCs w:val="24"/>
        </w:rPr>
        <w:t>antykonkurencyjnych</w:t>
      </w:r>
      <w:proofErr w:type="spellEnd"/>
      <w:r>
        <w:rPr>
          <w:rFonts w:ascii="Times New Roman" w:hAnsi="Times New Roman" w:cs="Times New Roman"/>
          <w:bCs/>
          <w:sz w:val="24"/>
          <w:szCs w:val="24"/>
        </w:rPr>
        <w:t xml:space="preserve"> porozumień, podczas gdy szereg okoliczności wykazywanych przez PZM, środkami dowodowymi niedopuszczonymi przez Prezesa UOKiK w postępowaniu antymonopolowym, świadczy o spełn</w:t>
      </w:r>
      <w:r>
        <w:rPr>
          <w:rFonts w:ascii="Times New Roman" w:hAnsi="Times New Roman" w:cs="Times New Roman"/>
          <w:bCs/>
          <w:sz w:val="24"/>
          <w:szCs w:val="24"/>
        </w:rPr>
        <w:t>ieniu przesłanek wynikających z powyższych norm prawnych, co Prezes UOKiK powinien wziąć pod uwagę z urzędu; brak przeprowadzenia wnioskowanych dowodów stanowi rażące naruszenie prawa i prowadzi do uznania, iż przepisów tych w praktyce nie zastosowano w to</w:t>
      </w:r>
      <w:r>
        <w:rPr>
          <w:rFonts w:ascii="Times New Roman" w:hAnsi="Times New Roman" w:cs="Times New Roman"/>
          <w:bCs/>
          <w:sz w:val="24"/>
          <w:szCs w:val="24"/>
        </w:rPr>
        <w:t>ku postępowania (nie stworzono nawet ku temu możliwości), nie mogą bowiem one funkcjonować w próżni, a jedynie na tle wyczerpującego materiału dowodowego;</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dodatkowo PZM zarzucił naruszenie:</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t>art. 3 ust 2 Rozporządzenia Rady (WE) nr 1/2003 w sprawie wprowadz</w:t>
      </w:r>
      <w:r>
        <w:rPr>
          <w:rFonts w:ascii="Times New Roman" w:hAnsi="Times New Roman" w:cs="Times New Roman"/>
          <w:bCs/>
          <w:sz w:val="24"/>
          <w:szCs w:val="24"/>
        </w:rPr>
        <w:t xml:space="preserve">enia w życie reguł konkurencji ustanowionych w art. 81 i 82 Traktatu (tj. reguły konwergencji) w zw. z art. 101 ust. 1 lit. a TFUE oraz 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przez ich niewłaściwe zastosowanie i uznanie za praktykę ograniczającą konkurencję wprowadzen</w:t>
      </w:r>
      <w:r>
        <w:rPr>
          <w:rFonts w:ascii="Times New Roman" w:hAnsi="Times New Roman" w:cs="Times New Roman"/>
          <w:bCs/>
          <w:sz w:val="24"/>
          <w:szCs w:val="24"/>
        </w:rPr>
        <w:t>ie maksymalnych stawek jednego z elementów wynagrodzenia zawodników biorących udział w rozgrywkach ligowych sportu żużlowego („</w:t>
      </w:r>
      <w:proofErr w:type="spellStart"/>
      <w:r>
        <w:rPr>
          <w:rFonts w:ascii="Times New Roman" w:hAnsi="Times New Roman" w:cs="Times New Roman"/>
          <w:bCs/>
          <w:sz w:val="24"/>
          <w:szCs w:val="24"/>
        </w:rPr>
        <w:t>Salary</w:t>
      </w:r>
      <w:proofErr w:type="spellEnd"/>
      <w:r>
        <w:rPr>
          <w:rFonts w:ascii="Times New Roman" w:hAnsi="Times New Roman" w:cs="Times New Roman"/>
          <w:bCs/>
          <w:sz w:val="24"/>
          <w:szCs w:val="24"/>
        </w:rPr>
        <w:t xml:space="preserve"> Cap” lub „Maksymalna Stawka”), podczas gdy takie działanie nie ogranicza konkurencji na gruncie prawa unijnego (tj. nie zo</w:t>
      </w:r>
      <w:r>
        <w:rPr>
          <w:rFonts w:ascii="Times New Roman" w:hAnsi="Times New Roman" w:cs="Times New Roman"/>
          <w:bCs/>
          <w:sz w:val="24"/>
          <w:szCs w:val="24"/>
        </w:rPr>
        <w:t>stałoby na gruncie prawa unijnego uznane za ograniczające konkurencję w rozumieniu przepisu art. 101 ust. 1 lit a TFUE);</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art. 4 pkt 9 w zw. z art. 6 ust.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przez ich niewłaściwe zastosowanie skutkujące błędnym zdefiniowaniem rynku właściwego w jego </w:t>
      </w:r>
      <w:r>
        <w:rPr>
          <w:rFonts w:ascii="Times New Roman" w:hAnsi="Times New Roman" w:cs="Times New Roman"/>
          <w:bCs/>
          <w:sz w:val="24"/>
          <w:szCs w:val="24"/>
        </w:rPr>
        <w:t>wymiarze geograficznym, jako krajowego rynku zakupu usług świadczonych przez profesjonalnych zawodników, biorących udział w rozgrywkach ligowych sportu żużlowego, podczas gdy w świetle wszystkich okoliczności sprawy znanych Prezesowi UOKiK, rynek ten powin</w:t>
      </w:r>
      <w:r>
        <w:rPr>
          <w:rFonts w:ascii="Times New Roman" w:hAnsi="Times New Roman" w:cs="Times New Roman"/>
          <w:bCs/>
          <w:sz w:val="24"/>
          <w:szCs w:val="24"/>
        </w:rPr>
        <w:t>ien zostać określony co najmniej jako europejski;</w:t>
      </w:r>
    </w:p>
    <w:p w:rsidR="006C2E2F" w:rsidRDefault="00D86529">
      <w:pPr>
        <w:pStyle w:val="Akapitzlist"/>
        <w:numPr>
          <w:ilvl w:val="0"/>
          <w:numId w:val="6"/>
        </w:numPr>
        <w:spacing w:before="240" w:after="0" w:line="360" w:lineRule="auto"/>
        <w:ind w:left="714" w:hanging="43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art. 13 ust. 1 pkt 1 i 2 ustawy o sporcie, poprzez błędną wykładnię i uznanie, że regulacje dotyczące </w:t>
      </w:r>
      <w:proofErr w:type="spellStart"/>
      <w:r>
        <w:rPr>
          <w:rFonts w:ascii="Times New Roman" w:hAnsi="Times New Roman" w:cs="Times New Roman"/>
          <w:bCs/>
          <w:sz w:val="24"/>
          <w:szCs w:val="24"/>
        </w:rPr>
        <w:t>Salary</w:t>
      </w:r>
      <w:proofErr w:type="spellEnd"/>
      <w:r>
        <w:rPr>
          <w:rFonts w:ascii="Times New Roman" w:hAnsi="Times New Roman" w:cs="Times New Roman"/>
          <w:bCs/>
          <w:sz w:val="24"/>
          <w:szCs w:val="24"/>
        </w:rPr>
        <w:t xml:space="preserve"> Cap nie mieszczą się w zakresie ustanawiania i realizacji reguł sportowych lub organizacyjnych sp</w:t>
      </w:r>
      <w:r>
        <w:rPr>
          <w:rFonts w:ascii="Times New Roman" w:hAnsi="Times New Roman" w:cs="Times New Roman"/>
          <w:bCs/>
          <w:sz w:val="24"/>
          <w:szCs w:val="24"/>
        </w:rPr>
        <w:t>ortu żużlowego, w tym w szczególności dotyczących organizowanego i prowadzonego przez PZM współzawodnictwa sportowego o tytuł Mistrza Polski, co doprowadziło do błędnego uznania, że PZM nie był ustawowo uprawniony do ustanawiania i realizacji tych regulacj</w:t>
      </w:r>
      <w:r>
        <w:rPr>
          <w:rFonts w:ascii="Times New Roman" w:hAnsi="Times New Roman" w:cs="Times New Roman"/>
          <w:bCs/>
          <w:sz w:val="24"/>
          <w:szCs w:val="24"/>
        </w:rPr>
        <w:t>i.</w:t>
      </w:r>
    </w:p>
    <w:p w:rsidR="006C2E2F" w:rsidRDefault="00D86529">
      <w:pPr>
        <w:pStyle w:val="Akapitzlist"/>
        <w:numPr>
          <w:ilvl w:val="0"/>
          <w:numId w:val="7"/>
        </w:numPr>
        <w:spacing w:before="240"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naruszenie przepisów postępowania:</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t xml:space="preserve">rażące naruszenie art. 74 w zw. z art. 88 ust. 2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w zw. z art. 110 § 1 w zw. z art. 126 k.p.a. oraz art. 10 § 1 k.p.a. w zw. z art. 83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poprzez istotne rozszerzenie w decyzji zakresu zarzutów postawionych st</w:t>
      </w:r>
      <w:r>
        <w:rPr>
          <w:rFonts w:ascii="Times New Roman" w:hAnsi="Times New Roman" w:cs="Times New Roman"/>
          <w:bCs/>
          <w:sz w:val="24"/>
          <w:szCs w:val="24"/>
        </w:rPr>
        <w:t>ronom w postanowieniu Prezesa UOKiK z 12 maja 2022 r. o wszczęciu postępowania; w postanowieniu zarzucono bowiem wyłącznie: „zawarcie porozumienia w rozumieniu art. 4 pkt 5 ustawy o ochronie konkurencji i konsumentów, a zarazem porozumienia, decyzji związk</w:t>
      </w:r>
      <w:r>
        <w:rPr>
          <w:rFonts w:ascii="Times New Roman" w:hAnsi="Times New Roman" w:cs="Times New Roman"/>
          <w:bCs/>
          <w:sz w:val="24"/>
          <w:szCs w:val="24"/>
        </w:rPr>
        <w:t xml:space="preserve">u przedsiębiorstw lub praktyki uzgodnionej w rozumieniu art. 101 ust. 1 Traktatu o Funkcjonowaniu Unii Europejskie, polegającego na ustalaniu maksymalnych stawek wynagrodzeń zawodników biorących udział w rozgrywkach ligowych sportu żużlowego", podczas gdy </w:t>
      </w:r>
      <w:r>
        <w:rPr>
          <w:rFonts w:ascii="Times New Roman" w:hAnsi="Times New Roman" w:cs="Times New Roman"/>
          <w:bCs/>
          <w:sz w:val="24"/>
          <w:szCs w:val="24"/>
        </w:rPr>
        <w:t>w uzasadnieniu decyzji stwierdzono naruszenie w znacznie bardziej rozbudowanej i zasadniczo odmiennej postaci: (i) po pierwsze, podjęcie uchwały związku przedsiębiorców, a (ii) po drugie, współdziałania EŻ przy wydawaniu przedmiotowej uchwały przez PZM, co</w:t>
      </w:r>
      <w:r>
        <w:rPr>
          <w:rFonts w:ascii="Times New Roman" w:hAnsi="Times New Roman" w:cs="Times New Roman"/>
          <w:bCs/>
          <w:sz w:val="24"/>
          <w:szCs w:val="24"/>
        </w:rPr>
        <w:t xml:space="preserve"> miało wpływ na wynik postępowania, a jednocześnie doprowadziło do rażącego naruszenia prawa strony do obrony (nie można się bronić nie znając istoty zarzutu);</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t xml:space="preserve">art. 6, 8 § 1 i 107 § 1 pkt 5 i 6 oraz § 3 k.p.a. w zw. z art. 83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przez ich niewłaściwe z</w:t>
      </w:r>
      <w:r>
        <w:rPr>
          <w:rFonts w:ascii="Times New Roman" w:hAnsi="Times New Roman" w:cs="Times New Roman"/>
          <w:bCs/>
          <w:sz w:val="24"/>
          <w:szCs w:val="24"/>
        </w:rPr>
        <w:t>astosowanie, skutkujące rozbieżnością między treścią sentencji decyzji a uzasadnieniem prawnym, polegającą na stwierdzeniu w uzasadnieniu decyzji zawarcia dwóch porozumień: (i) pierwszego w postaci uchwały PZM oraz (ii) drugiego w postaci współdziałania EŻ</w:t>
      </w:r>
      <w:r>
        <w:rPr>
          <w:rFonts w:ascii="Times New Roman" w:hAnsi="Times New Roman" w:cs="Times New Roman"/>
          <w:bCs/>
          <w:sz w:val="24"/>
          <w:szCs w:val="24"/>
        </w:rPr>
        <w:t xml:space="preserve"> w zawarciu </w:t>
      </w:r>
      <w:proofErr w:type="spellStart"/>
      <w:r>
        <w:rPr>
          <w:rFonts w:ascii="Times New Roman" w:hAnsi="Times New Roman" w:cs="Times New Roman"/>
          <w:bCs/>
          <w:sz w:val="24"/>
          <w:szCs w:val="24"/>
        </w:rPr>
        <w:t>antykonkurencyjnego</w:t>
      </w:r>
      <w:proofErr w:type="spellEnd"/>
      <w:r>
        <w:rPr>
          <w:rFonts w:ascii="Times New Roman" w:hAnsi="Times New Roman" w:cs="Times New Roman"/>
          <w:bCs/>
          <w:sz w:val="24"/>
          <w:szCs w:val="24"/>
        </w:rPr>
        <w:t xml:space="preserve"> porozumienia, podczas </w:t>
      </w:r>
      <w:r>
        <w:rPr>
          <w:rFonts w:ascii="Times New Roman" w:hAnsi="Times New Roman" w:cs="Times New Roman"/>
          <w:bCs/>
          <w:sz w:val="24"/>
          <w:szCs w:val="24"/>
        </w:rPr>
        <w:lastRenderedPageBreak/>
        <w:t>gdy w sentencji decyzji stwierdzono naruszenie w postaci zawarcia jednego porozumienia przez PZM oraz EŻ („udział (i) Polskiego Związku Motorowego (ii) Ekstraligi Żużlowej sp. z o.o. w porozumieniu, w r</w:t>
      </w:r>
      <w:r>
        <w:rPr>
          <w:rFonts w:ascii="Times New Roman" w:hAnsi="Times New Roman" w:cs="Times New Roman"/>
          <w:bCs/>
          <w:sz w:val="24"/>
          <w:szCs w:val="24"/>
        </w:rPr>
        <w:t xml:space="preserve">ozumieniu art. 4 pkt 5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a zarazem decyzji związku przedsiębiorstw i praktyce uzgodnionej w rozumieniu art. 101 ust. 1 Traktatu o Funkcjonowaniu Unii Europejskiej, polegającym na ustalaniu maksymalnych stawek wynagrodzeń zawodników biorących udział w </w:t>
      </w:r>
      <w:r>
        <w:rPr>
          <w:rFonts w:ascii="Times New Roman" w:hAnsi="Times New Roman" w:cs="Times New Roman"/>
          <w:bCs/>
          <w:sz w:val="24"/>
          <w:szCs w:val="24"/>
        </w:rPr>
        <w:t>rozgrywkach ligowych sportu żużlowego (...)”);</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t xml:space="preserve">art. 233 § 1 k.p.c. w zw. z art. 84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w zw. z art. 7 k.p.a. w zw. z art. 83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 ust. 1 i 2 oraz art. 12 </w:t>
      </w:r>
      <w:proofErr w:type="spellStart"/>
      <w:r>
        <w:rPr>
          <w:rFonts w:ascii="Times New Roman" w:hAnsi="Times New Roman" w:cs="Times New Roman"/>
          <w:bCs/>
          <w:sz w:val="24"/>
          <w:szCs w:val="24"/>
        </w:rPr>
        <w:t>PrPrzed</w:t>
      </w:r>
      <w:proofErr w:type="spellEnd"/>
      <w:r>
        <w:rPr>
          <w:rFonts w:ascii="Times New Roman" w:hAnsi="Times New Roman" w:cs="Times New Roman"/>
          <w:bCs/>
          <w:sz w:val="24"/>
          <w:szCs w:val="24"/>
        </w:rPr>
        <w:t>, poprzez:</w:t>
      </w:r>
    </w:p>
    <w:p w:rsidR="006C2E2F" w:rsidRDefault="00D86529">
      <w:pPr>
        <w:pStyle w:val="Akapitzlist"/>
        <w:numPr>
          <w:ilvl w:val="0"/>
          <w:numId w:val="10"/>
        </w:numPr>
        <w:spacing w:before="240" w:after="0" w:line="360" w:lineRule="auto"/>
        <w:ind w:left="1276" w:hanging="498"/>
        <w:jc w:val="both"/>
        <w:rPr>
          <w:rFonts w:ascii="Times New Roman" w:hAnsi="Times New Roman" w:cs="Times New Roman"/>
          <w:bCs/>
          <w:sz w:val="24"/>
          <w:szCs w:val="24"/>
        </w:rPr>
      </w:pPr>
      <w:r>
        <w:rPr>
          <w:rFonts w:ascii="Times New Roman" w:hAnsi="Times New Roman" w:cs="Times New Roman"/>
          <w:bCs/>
          <w:sz w:val="24"/>
          <w:szCs w:val="24"/>
        </w:rPr>
        <w:t>błędne, sprzeczne ze zgromadzonym materiałem dowodowym ustalenie, że</w:t>
      </w:r>
      <w:r>
        <w:rPr>
          <w:rFonts w:ascii="Times New Roman" w:hAnsi="Times New Roman" w:cs="Times New Roman"/>
          <w:bCs/>
          <w:sz w:val="24"/>
          <w:szCs w:val="24"/>
        </w:rPr>
        <w:t xml:space="preserve"> PZM posiada ok. 44,4% udziałów w kapitale zakładowym EŻ, podczas gdy PZM posiada 58,29% udziałów w EŻ oraz, że PZM nie kontroluje samodzielnie i nie wywiera decydującego wpływu na działalność EŻ, podczas gdy z przedstawionego materiału dowodowego wynika j</w:t>
      </w:r>
      <w:r>
        <w:rPr>
          <w:rFonts w:ascii="Times New Roman" w:hAnsi="Times New Roman" w:cs="Times New Roman"/>
          <w:bCs/>
          <w:sz w:val="24"/>
          <w:szCs w:val="24"/>
        </w:rPr>
        <w:t xml:space="preserve">ednoznacznie, że PZM sprawuje kontrolę nad EŻ, co miało wpływ na wynik postępowania i skutkowało uznaniem, że PZM oraz EŻ mogą podlegać odpowiedzialności antymonopolowej za zawarcie </w:t>
      </w:r>
      <w:proofErr w:type="spellStart"/>
      <w:r>
        <w:rPr>
          <w:rFonts w:ascii="Times New Roman" w:hAnsi="Times New Roman" w:cs="Times New Roman"/>
          <w:bCs/>
          <w:sz w:val="24"/>
          <w:szCs w:val="24"/>
        </w:rPr>
        <w:t>antykonkurencyjnego</w:t>
      </w:r>
      <w:proofErr w:type="spellEnd"/>
      <w:r>
        <w:rPr>
          <w:rFonts w:ascii="Times New Roman" w:hAnsi="Times New Roman" w:cs="Times New Roman"/>
          <w:bCs/>
          <w:sz w:val="24"/>
          <w:szCs w:val="24"/>
        </w:rPr>
        <w:t xml:space="preserve"> porozumienia, jako odrębni przedsiębiorcy;</w:t>
      </w:r>
    </w:p>
    <w:p w:rsidR="006C2E2F" w:rsidRDefault="00D86529">
      <w:pPr>
        <w:pStyle w:val="Akapitzlist"/>
        <w:numPr>
          <w:ilvl w:val="0"/>
          <w:numId w:val="10"/>
        </w:numPr>
        <w:spacing w:before="240" w:after="0" w:line="360" w:lineRule="auto"/>
        <w:ind w:left="1276" w:hanging="498"/>
        <w:jc w:val="both"/>
        <w:rPr>
          <w:rFonts w:ascii="Times New Roman" w:hAnsi="Times New Roman" w:cs="Times New Roman"/>
          <w:bCs/>
          <w:sz w:val="24"/>
          <w:szCs w:val="24"/>
        </w:rPr>
      </w:pPr>
      <w:r>
        <w:rPr>
          <w:rFonts w:ascii="Times New Roman" w:hAnsi="Times New Roman" w:cs="Times New Roman"/>
          <w:bCs/>
          <w:sz w:val="24"/>
          <w:szCs w:val="24"/>
        </w:rPr>
        <w:t>wadliwą oce</w:t>
      </w:r>
      <w:r>
        <w:rPr>
          <w:rFonts w:ascii="Times New Roman" w:hAnsi="Times New Roman" w:cs="Times New Roman"/>
          <w:bCs/>
          <w:sz w:val="24"/>
          <w:szCs w:val="24"/>
        </w:rPr>
        <w:t>nę umów o zarządzanie ligą zawodową, określających podział kompetencji w zakresie prowadzenia rozgrywek o Drużynowe Mistrzostwo Polski na żużlu, odpowiednio z 16 września 2020 r. („Umowa o zarządzanie”), 1 sierpnia 2017 r. oraz 30 października 2015 r. oraz</w:t>
      </w:r>
      <w:r>
        <w:rPr>
          <w:rFonts w:ascii="Times New Roman" w:hAnsi="Times New Roman" w:cs="Times New Roman"/>
          <w:bCs/>
          <w:sz w:val="24"/>
          <w:szCs w:val="24"/>
        </w:rPr>
        <w:t xml:space="preserve"> korespondencji e-mail z 30 stycznia 2022 r. i wyprowadzenie wniosków, które z nich nie wynikają, tj., że EŻ ma wiążący wpływ na ustalenie treści Regulaminu i Załącznika, podczas gdy ustalenie treści Regulaminu i Załącznika należy do wyłącznych uprawnień u</w:t>
      </w:r>
      <w:r>
        <w:rPr>
          <w:rFonts w:ascii="Times New Roman" w:hAnsi="Times New Roman" w:cs="Times New Roman"/>
          <w:bCs/>
          <w:sz w:val="24"/>
          <w:szCs w:val="24"/>
        </w:rPr>
        <w:t>stawowych PZM (określonych w przepisie art. 13 ust 1 pkt 1 i 2 ustawy o sporcie), zaś kolejne ww. umowy o zarządzanie ligą zawodową, nie wymagały konsultacji w zakresie stawek wynagrodzeń, co miało wpływ na wynik postępowania, doprowadziło bowiem do błędny</w:t>
      </w:r>
      <w:r>
        <w:rPr>
          <w:rFonts w:ascii="Times New Roman" w:hAnsi="Times New Roman" w:cs="Times New Roman"/>
          <w:bCs/>
          <w:sz w:val="24"/>
          <w:szCs w:val="24"/>
        </w:rPr>
        <w:t xml:space="preserve">ch ustaleń faktycznych i uznania, że pomiędzy stronami doszło do zawarcia </w:t>
      </w:r>
      <w:proofErr w:type="spellStart"/>
      <w:r>
        <w:rPr>
          <w:rFonts w:ascii="Times New Roman" w:hAnsi="Times New Roman" w:cs="Times New Roman"/>
          <w:bCs/>
          <w:sz w:val="24"/>
          <w:szCs w:val="24"/>
        </w:rPr>
        <w:t>antykonkurencyjnego</w:t>
      </w:r>
      <w:proofErr w:type="spellEnd"/>
      <w:r>
        <w:rPr>
          <w:rFonts w:ascii="Times New Roman" w:hAnsi="Times New Roman" w:cs="Times New Roman"/>
          <w:bCs/>
          <w:sz w:val="24"/>
          <w:szCs w:val="24"/>
        </w:rPr>
        <w:t xml:space="preserve"> porozumienia;</w:t>
      </w:r>
    </w:p>
    <w:p w:rsidR="006C2E2F" w:rsidRDefault="00D86529">
      <w:pPr>
        <w:pStyle w:val="Akapitzlist"/>
        <w:numPr>
          <w:ilvl w:val="0"/>
          <w:numId w:val="10"/>
        </w:numPr>
        <w:spacing w:before="240" w:after="0" w:line="360" w:lineRule="auto"/>
        <w:ind w:left="1276" w:hanging="498"/>
        <w:jc w:val="both"/>
        <w:rPr>
          <w:rFonts w:ascii="Times New Roman" w:hAnsi="Times New Roman" w:cs="Times New Roman"/>
          <w:bCs/>
          <w:sz w:val="24"/>
          <w:szCs w:val="24"/>
        </w:rPr>
      </w:pPr>
      <w:r>
        <w:rPr>
          <w:rFonts w:ascii="Times New Roman" w:hAnsi="Times New Roman" w:cs="Times New Roman"/>
          <w:bCs/>
          <w:sz w:val="24"/>
          <w:szCs w:val="24"/>
        </w:rPr>
        <w:t>brak wszechstronnego rozważenia zebranego w sprawie materiału dowodowego, wyrażający się w bezpodstawnym pominięciu przy wydawaniu decyzji, znajdują</w:t>
      </w:r>
      <w:r>
        <w:rPr>
          <w:rFonts w:ascii="Times New Roman" w:hAnsi="Times New Roman" w:cs="Times New Roman"/>
          <w:bCs/>
          <w:sz w:val="24"/>
          <w:szCs w:val="24"/>
        </w:rPr>
        <w:t xml:space="preserve">cego się w aktach sprawy zestawienia transferów zawodników w latach 2007 – 2022, co miało istotny wpływ na wynik postępowania, doprowadziło bowiem do błędnych ustaleń faktycznych, skutkującym stwierdzeniem przez </w:t>
      </w:r>
      <w:r>
        <w:rPr>
          <w:rFonts w:ascii="Times New Roman" w:hAnsi="Times New Roman" w:cs="Times New Roman"/>
          <w:bCs/>
          <w:sz w:val="24"/>
          <w:szCs w:val="24"/>
        </w:rPr>
        <w:lastRenderedPageBreak/>
        <w:t>Prezesa UOKiK, że działanie zarzucane strono</w:t>
      </w:r>
      <w:r>
        <w:rPr>
          <w:rFonts w:ascii="Times New Roman" w:hAnsi="Times New Roman" w:cs="Times New Roman"/>
          <w:bCs/>
          <w:sz w:val="24"/>
          <w:szCs w:val="24"/>
        </w:rPr>
        <w:t>m miało na celu i doprowadziło do ograniczenia konkurencji pomiędzy klubami żużlowymi, podczas gdy postanowienia Regulaminu i Załącznika nie ograniczały swobody kontraktowania zawodników i transfer zawodników pomiędzy klubami był niezakłócony, zaś zarzucan</w:t>
      </w:r>
      <w:r>
        <w:rPr>
          <w:rFonts w:ascii="Times New Roman" w:hAnsi="Times New Roman" w:cs="Times New Roman"/>
          <w:bCs/>
          <w:sz w:val="24"/>
          <w:szCs w:val="24"/>
        </w:rPr>
        <w:t>a praktyka nie ograniczała konkurencji;</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t xml:space="preserve">art. 231 k.p.c. w zw. z art. 84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poprzez przyjęcie, że bez wsparcia i akceptacji EŻ, PZM nie byłby w stanie lub miał istotnie ograniczoną możliwość wprowadzenia i utrzymywania regulacji, dotyczących maksymalnyc</w:t>
      </w:r>
      <w:r>
        <w:rPr>
          <w:rFonts w:ascii="Times New Roman" w:hAnsi="Times New Roman" w:cs="Times New Roman"/>
          <w:bCs/>
          <w:sz w:val="24"/>
          <w:szCs w:val="24"/>
        </w:rPr>
        <w:t xml:space="preserve">h stawek wynagrodzeń zawodników, a także, że EŻ „współdziałała” w ustalaniu stawek od 4 listopada 2013 r., co nie wynika ze zgromadzonego materiału dowodowego, a co miało istotny wpływ na wynik postępowania, ponieważ miało wpływ na nieprawidłowe ustalenie </w:t>
      </w:r>
      <w:r>
        <w:rPr>
          <w:rFonts w:ascii="Times New Roman" w:hAnsi="Times New Roman" w:cs="Times New Roman"/>
          <w:bCs/>
          <w:sz w:val="24"/>
          <w:szCs w:val="24"/>
        </w:rPr>
        <w:t xml:space="preserve">okresu trwania zarzucanego naruszenia i doprowadziło do stwierdzenia przez organ, że strony nie stanowią jednego organizmu gospodarczego i zawarły </w:t>
      </w:r>
      <w:proofErr w:type="spellStart"/>
      <w:r>
        <w:rPr>
          <w:rFonts w:ascii="Times New Roman" w:hAnsi="Times New Roman" w:cs="Times New Roman"/>
          <w:bCs/>
          <w:sz w:val="24"/>
          <w:szCs w:val="24"/>
        </w:rPr>
        <w:t>antykonkurencyjne</w:t>
      </w:r>
      <w:proofErr w:type="spellEnd"/>
      <w:r>
        <w:rPr>
          <w:rFonts w:ascii="Times New Roman" w:hAnsi="Times New Roman" w:cs="Times New Roman"/>
          <w:bCs/>
          <w:sz w:val="24"/>
          <w:szCs w:val="24"/>
        </w:rPr>
        <w:t xml:space="preserve"> porozumienie, podczas gdy PZM posiada wyłączne kompetencje ustawowe w zakresie ustanawiania</w:t>
      </w:r>
      <w:r>
        <w:rPr>
          <w:rFonts w:ascii="Times New Roman" w:hAnsi="Times New Roman" w:cs="Times New Roman"/>
          <w:bCs/>
          <w:sz w:val="24"/>
          <w:szCs w:val="24"/>
        </w:rPr>
        <w:t xml:space="preserve"> i realizacji reguł sportowych, organizacyjnych i dyscyplinarnych we współzawodnictwie sportowym, organizowanym przez PZM, w tym w szczególności, w organizowanym i prowadzonym przez PZM współzawodnictwie sportowym o tytuł Mistrza Polski;</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t xml:space="preserve">rażące naruszenie </w:t>
      </w:r>
      <w:r>
        <w:rPr>
          <w:rFonts w:ascii="Times New Roman" w:hAnsi="Times New Roman" w:cs="Times New Roman"/>
          <w:bCs/>
          <w:sz w:val="24"/>
          <w:szCs w:val="24"/>
        </w:rPr>
        <w:t xml:space="preserve">art. 54 ust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w zw. z art. 227 k.p.c. w zw. z art. 235</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 1 pkt 2 k.p.c. w zw. z art. 84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poprzez bezpodstawne pominięcie wniosku o przeprowadzenie dowodu z opinii biegłego z zakresu sportu żużlowego, podczas gdy ustalenie wpływu regulacji limi</w:t>
      </w:r>
      <w:r>
        <w:rPr>
          <w:rFonts w:ascii="Times New Roman" w:hAnsi="Times New Roman" w:cs="Times New Roman"/>
          <w:bCs/>
          <w:sz w:val="24"/>
          <w:szCs w:val="24"/>
        </w:rPr>
        <w:t>tującej wynagrodzenie kontraktowe oraz źródeł przychodów zawodników sportu żużlowego było konieczne dla ustalenia celu, funkcji oraz kontekstu gospodarczego, które należało zbadać na potrzeby dokonania materialnoprawnej kwalifikacji zarzuconego naruszenia;</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t>art. 227 k.p.c. w zw. z art. 235</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 1 pkt 2 k.p.c. w zw. z art. 84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poprzez pominięcie wniosków dowodowych stron z zeznań świadków, przesłuchania stron, umów oraz dokumentów ze wzorami </w:t>
      </w:r>
      <w:proofErr w:type="spellStart"/>
      <w:r>
        <w:rPr>
          <w:rFonts w:ascii="Times New Roman" w:hAnsi="Times New Roman" w:cs="Times New Roman"/>
          <w:bCs/>
          <w:sz w:val="24"/>
          <w:szCs w:val="24"/>
        </w:rPr>
        <w:t>kevlarów</w:t>
      </w:r>
      <w:proofErr w:type="spellEnd"/>
      <w:r>
        <w:rPr>
          <w:rFonts w:ascii="Times New Roman" w:hAnsi="Times New Roman" w:cs="Times New Roman"/>
          <w:bCs/>
          <w:sz w:val="24"/>
          <w:szCs w:val="24"/>
        </w:rPr>
        <w:t>, kasków i obszyć motocykla, a także pisma stron z 2 wrz</w:t>
      </w:r>
      <w:r>
        <w:rPr>
          <w:rFonts w:ascii="Times New Roman" w:hAnsi="Times New Roman" w:cs="Times New Roman"/>
          <w:bCs/>
          <w:sz w:val="24"/>
          <w:szCs w:val="24"/>
        </w:rPr>
        <w:t xml:space="preserve">eśnia 2022 r., dotyczącego finalnej propozycji zobowiązania, podczas gdy dowody te miały na celu wykazać m.in. celowość, słuszność, proporcjonalność i funkcjonalność uchwalenia postanowień Regulaminu i Załącznika, wprowadzających </w:t>
      </w:r>
      <w:proofErr w:type="spellStart"/>
      <w:r>
        <w:rPr>
          <w:rFonts w:ascii="Times New Roman" w:hAnsi="Times New Roman" w:cs="Times New Roman"/>
          <w:bCs/>
          <w:sz w:val="24"/>
          <w:szCs w:val="24"/>
        </w:rPr>
        <w:t>Salary</w:t>
      </w:r>
      <w:proofErr w:type="spellEnd"/>
      <w:r>
        <w:rPr>
          <w:rFonts w:ascii="Times New Roman" w:hAnsi="Times New Roman" w:cs="Times New Roman"/>
          <w:bCs/>
          <w:sz w:val="24"/>
          <w:szCs w:val="24"/>
        </w:rPr>
        <w:t xml:space="preserve"> Cap oraz brak realn</w:t>
      </w:r>
      <w:r>
        <w:rPr>
          <w:rFonts w:ascii="Times New Roman" w:hAnsi="Times New Roman" w:cs="Times New Roman"/>
          <w:bCs/>
          <w:sz w:val="24"/>
          <w:szCs w:val="24"/>
        </w:rPr>
        <w:t xml:space="preserve">ego, jak i potencjalnego wpływu limitu stawek na konkurencję, zgodność działalności stron z prawem i dokonywania uzgodnień w tym zakresie z Ministrem Sportu i Turystyki oraz faktyczny charakter zarzucanego stronom naruszenia i tym </w:t>
      </w:r>
      <w:r>
        <w:rPr>
          <w:rFonts w:ascii="Times New Roman" w:hAnsi="Times New Roman" w:cs="Times New Roman"/>
          <w:bCs/>
          <w:sz w:val="24"/>
          <w:szCs w:val="24"/>
        </w:rPr>
        <w:lastRenderedPageBreak/>
        <w:t>samym wykazania, że zacho</w:t>
      </w:r>
      <w:r>
        <w:rPr>
          <w:rFonts w:ascii="Times New Roman" w:hAnsi="Times New Roman" w:cs="Times New Roman"/>
          <w:bCs/>
          <w:sz w:val="24"/>
          <w:szCs w:val="24"/>
        </w:rPr>
        <w:t xml:space="preserve">wanie stron nie stanowiło jednego z najpoważniejszych naruszeń prawa konkurencji (kartelu cenowego), a w razie uznania, że stanowiło, to spełniało warunki wyłączenia indywidualnego na podstawie przepisu art. 8 ust.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w:t>
      </w:r>
    </w:p>
    <w:p w:rsidR="006C2E2F" w:rsidRDefault="00D86529">
      <w:pPr>
        <w:pStyle w:val="Akapitzlist"/>
        <w:numPr>
          <w:ilvl w:val="0"/>
          <w:numId w:val="6"/>
        </w:numPr>
        <w:spacing w:before="240" w:after="0" w:line="360" w:lineRule="auto"/>
        <w:ind w:left="714" w:hanging="430"/>
        <w:contextualSpacing w:val="0"/>
        <w:jc w:val="both"/>
        <w:rPr>
          <w:rFonts w:ascii="Times New Roman" w:hAnsi="Times New Roman" w:cs="Times New Roman"/>
          <w:bCs/>
          <w:sz w:val="24"/>
          <w:szCs w:val="24"/>
        </w:rPr>
      </w:pPr>
      <w:r>
        <w:rPr>
          <w:rFonts w:ascii="Times New Roman" w:hAnsi="Times New Roman" w:cs="Times New Roman"/>
          <w:bCs/>
          <w:sz w:val="24"/>
          <w:szCs w:val="24"/>
        </w:rPr>
        <w:t>rażące naruszenie art. 60 ust. 1</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poprzez brak przeprowadzenia rozprawy administracyjnej wtoku postępowania antymonopolowego, pomimo że była ona konieczna dla prawidłowego ustalenia stanu faktycznego i rozpoznania sprawy.</w:t>
      </w:r>
    </w:p>
    <w:p w:rsidR="006C2E2F" w:rsidRDefault="00D86529">
      <w:pPr>
        <w:pStyle w:val="Akapitzlist"/>
        <w:numPr>
          <w:ilvl w:val="0"/>
          <w:numId w:val="7"/>
        </w:numPr>
        <w:spacing w:before="240"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naruszenie przepisów dotyczących wymiaru kary, tj.:</w:t>
      </w:r>
    </w:p>
    <w:p w:rsidR="006C2E2F" w:rsidRDefault="00D86529">
      <w:pPr>
        <w:pStyle w:val="Akapitzlist"/>
        <w:numPr>
          <w:ilvl w:val="0"/>
          <w:numId w:val="6"/>
        </w:numPr>
        <w:spacing w:before="240" w:after="0" w:line="360" w:lineRule="auto"/>
        <w:ind w:hanging="436"/>
        <w:jc w:val="both"/>
        <w:rPr>
          <w:rFonts w:ascii="Times New Roman" w:hAnsi="Times New Roman" w:cs="Times New Roman"/>
          <w:bCs/>
          <w:sz w:val="24"/>
          <w:szCs w:val="24"/>
        </w:rPr>
      </w:pPr>
      <w:r>
        <w:rPr>
          <w:rFonts w:ascii="Times New Roman" w:hAnsi="Times New Roman" w:cs="Times New Roman"/>
          <w:bCs/>
          <w:sz w:val="24"/>
          <w:szCs w:val="24"/>
        </w:rPr>
        <w:t xml:space="preserve">art. 106 </w:t>
      </w:r>
      <w:r>
        <w:rPr>
          <w:rFonts w:ascii="Times New Roman" w:hAnsi="Times New Roman" w:cs="Times New Roman"/>
          <w:bCs/>
          <w:sz w:val="24"/>
          <w:szCs w:val="24"/>
        </w:rPr>
        <w:t xml:space="preserve">ust. 1 pkt 1 i 2, art. 111 ust. 1 pkt 1 w zw. z ust. 2 oraz ust. 4 pkt 1 lit. d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poprzez ich niewłaściwe zastosowanie, polegające na wymierzeniu kary pieniężnej:</w:t>
      </w:r>
    </w:p>
    <w:p w:rsidR="006C2E2F" w:rsidRDefault="00D86529">
      <w:pPr>
        <w:pStyle w:val="Akapitzlist"/>
        <w:numPr>
          <w:ilvl w:val="0"/>
          <w:numId w:val="11"/>
        </w:numPr>
        <w:spacing w:before="240" w:after="0" w:line="360" w:lineRule="auto"/>
        <w:ind w:left="1276" w:hanging="426"/>
        <w:jc w:val="both"/>
        <w:rPr>
          <w:rFonts w:ascii="Times New Roman" w:hAnsi="Times New Roman" w:cs="Times New Roman"/>
          <w:bCs/>
          <w:sz w:val="24"/>
          <w:szCs w:val="24"/>
        </w:rPr>
      </w:pPr>
      <w:r>
        <w:rPr>
          <w:rFonts w:ascii="Times New Roman" w:hAnsi="Times New Roman" w:cs="Times New Roman"/>
          <w:bCs/>
          <w:sz w:val="24"/>
          <w:szCs w:val="24"/>
        </w:rPr>
        <w:t>pomimo precedensowego charakteru zarzucanego naruszenia, niespotykanego w dotychczasowym</w:t>
      </w:r>
      <w:r>
        <w:rPr>
          <w:rFonts w:ascii="Times New Roman" w:hAnsi="Times New Roman" w:cs="Times New Roman"/>
          <w:bCs/>
          <w:sz w:val="24"/>
          <w:szCs w:val="24"/>
        </w:rPr>
        <w:t xml:space="preserve"> orzecznictwie krajowym, co powinno skutkować odstąpieniem od wymierzenia kary pieniężnej;</w:t>
      </w:r>
    </w:p>
    <w:p w:rsidR="006C2E2F" w:rsidRDefault="00D86529">
      <w:pPr>
        <w:pStyle w:val="Akapitzlist"/>
        <w:numPr>
          <w:ilvl w:val="0"/>
          <w:numId w:val="11"/>
        </w:numPr>
        <w:spacing w:before="240" w:after="0" w:line="360" w:lineRule="auto"/>
        <w:ind w:left="1276" w:hanging="426"/>
        <w:jc w:val="both"/>
        <w:rPr>
          <w:rFonts w:ascii="Times New Roman" w:hAnsi="Times New Roman" w:cs="Times New Roman"/>
          <w:bCs/>
          <w:sz w:val="24"/>
          <w:szCs w:val="24"/>
        </w:rPr>
      </w:pPr>
      <w:r>
        <w:rPr>
          <w:rFonts w:ascii="Times New Roman" w:hAnsi="Times New Roman" w:cs="Times New Roman"/>
          <w:bCs/>
          <w:sz w:val="24"/>
          <w:szCs w:val="24"/>
        </w:rPr>
        <w:t xml:space="preserve">bez przeprowadzenia w tym zakresie jakiegokolwiek postępowania dowodowego i w konsekwencji przy błędnym przyjęciu umyślności PZM w naruszeniu, co stanowiło istotną </w:t>
      </w:r>
      <w:r>
        <w:rPr>
          <w:rFonts w:ascii="Times New Roman" w:hAnsi="Times New Roman" w:cs="Times New Roman"/>
          <w:bCs/>
          <w:sz w:val="24"/>
          <w:szCs w:val="24"/>
        </w:rPr>
        <w:t>okoliczność obciążającą i skutkowało podwyższeniem kary pieniężnej;</w:t>
      </w:r>
    </w:p>
    <w:p w:rsidR="006C2E2F" w:rsidRDefault="00D86529">
      <w:pPr>
        <w:pStyle w:val="Akapitzlist"/>
        <w:numPr>
          <w:ilvl w:val="0"/>
          <w:numId w:val="11"/>
        </w:numPr>
        <w:spacing w:before="240" w:after="0" w:line="360" w:lineRule="auto"/>
        <w:ind w:left="1276" w:hanging="426"/>
        <w:jc w:val="both"/>
        <w:rPr>
          <w:rFonts w:ascii="Times New Roman" w:hAnsi="Times New Roman" w:cs="Times New Roman"/>
          <w:bCs/>
          <w:sz w:val="24"/>
          <w:szCs w:val="24"/>
        </w:rPr>
      </w:pPr>
      <w:r>
        <w:rPr>
          <w:rFonts w:ascii="Times New Roman" w:hAnsi="Times New Roman" w:cs="Times New Roman"/>
          <w:bCs/>
          <w:sz w:val="24"/>
          <w:szCs w:val="24"/>
        </w:rPr>
        <w:t>z pominięciem, przy ustalaniu kwoty wyjściowej kary, że przychód ze sportu żużlowego PZM stanowi niewielką część względem całości obrotu osiągniętego przez PZM (który oprócz sportu żużlowe</w:t>
      </w:r>
      <w:r>
        <w:rPr>
          <w:rFonts w:ascii="Times New Roman" w:hAnsi="Times New Roman" w:cs="Times New Roman"/>
          <w:bCs/>
          <w:sz w:val="24"/>
          <w:szCs w:val="24"/>
        </w:rPr>
        <w:t>go działa także w sporcie samochodowym, motocyklowym i kartingowym);</w:t>
      </w:r>
    </w:p>
    <w:p w:rsidR="006C2E2F" w:rsidRDefault="00D86529">
      <w:pPr>
        <w:pStyle w:val="Akapitzlist"/>
        <w:numPr>
          <w:ilvl w:val="0"/>
          <w:numId w:val="11"/>
        </w:numPr>
        <w:spacing w:before="240" w:after="0" w:line="360" w:lineRule="auto"/>
        <w:ind w:left="1276" w:hanging="426"/>
        <w:jc w:val="both"/>
        <w:rPr>
          <w:rFonts w:ascii="Times New Roman" w:hAnsi="Times New Roman" w:cs="Times New Roman"/>
          <w:bCs/>
          <w:sz w:val="24"/>
          <w:szCs w:val="24"/>
        </w:rPr>
      </w:pPr>
      <w:r>
        <w:rPr>
          <w:rFonts w:ascii="Times New Roman" w:hAnsi="Times New Roman" w:cs="Times New Roman"/>
          <w:bCs/>
          <w:sz w:val="24"/>
          <w:szCs w:val="24"/>
        </w:rPr>
        <w:t>przy błędnym ustaleniu, że zarzucana PZM praktyka zaliczała się do „bardzo poważnych naruszeń” prawa konkurencji, podczas gdy pomiędzy PZM i EŻ – nawet gdyby nie stanowili jednolitego org</w:t>
      </w:r>
      <w:r>
        <w:rPr>
          <w:rFonts w:ascii="Times New Roman" w:hAnsi="Times New Roman" w:cs="Times New Roman"/>
          <w:bCs/>
          <w:sz w:val="24"/>
          <w:szCs w:val="24"/>
        </w:rPr>
        <w:t>anizmu gospodarczego – nie zachodzą relacje ani horyzontalne ani wertykalne, co wyklucza twierdzenie o poważnym naruszeniu prawa konkurencji, a co skutkowało podwyższeniem kary pieniężnej;</w:t>
      </w:r>
    </w:p>
    <w:p w:rsidR="006C2E2F" w:rsidRDefault="00D86529">
      <w:pPr>
        <w:pStyle w:val="Akapitzlist"/>
        <w:numPr>
          <w:ilvl w:val="0"/>
          <w:numId w:val="11"/>
        </w:numPr>
        <w:spacing w:before="240" w:after="0" w:line="360" w:lineRule="auto"/>
        <w:ind w:left="1276" w:hanging="426"/>
        <w:jc w:val="both"/>
        <w:rPr>
          <w:rFonts w:ascii="Times New Roman" w:hAnsi="Times New Roman" w:cs="Times New Roman"/>
          <w:bCs/>
          <w:sz w:val="24"/>
          <w:szCs w:val="24"/>
        </w:rPr>
      </w:pPr>
      <w:r>
        <w:rPr>
          <w:rFonts w:ascii="Times New Roman" w:hAnsi="Times New Roman" w:cs="Times New Roman"/>
          <w:bCs/>
          <w:sz w:val="24"/>
          <w:szCs w:val="24"/>
        </w:rPr>
        <w:t xml:space="preserve">z pominięciem uwzględnienia braku uprzedniego naruszenia przepisów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przez PZM;</w:t>
      </w:r>
    </w:p>
    <w:p w:rsidR="006C2E2F" w:rsidRDefault="00D86529">
      <w:pPr>
        <w:pStyle w:val="Akapitzlist"/>
        <w:numPr>
          <w:ilvl w:val="0"/>
          <w:numId w:val="11"/>
        </w:numPr>
        <w:spacing w:before="240" w:after="0" w:line="360" w:lineRule="auto"/>
        <w:ind w:left="1276" w:hanging="426"/>
        <w:jc w:val="both"/>
        <w:rPr>
          <w:rFonts w:ascii="Times New Roman" w:hAnsi="Times New Roman" w:cs="Times New Roman"/>
          <w:bCs/>
          <w:sz w:val="24"/>
          <w:szCs w:val="24"/>
        </w:rPr>
      </w:pPr>
      <w:r>
        <w:rPr>
          <w:rFonts w:ascii="Times New Roman" w:hAnsi="Times New Roman" w:cs="Times New Roman"/>
          <w:bCs/>
          <w:sz w:val="24"/>
          <w:szCs w:val="24"/>
        </w:rPr>
        <w:t>z pominięciem przesłanki łagodzącej w postaci braku zastrzeżeń Ministra Sportu i Turystyki wobec PZM w odniesieniu do Regulaminu i Załącznika, co świadczy również jednoznacznie o braku umyślności PZM w rzekomym naruszeniu;</w:t>
      </w:r>
    </w:p>
    <w:p w:rsidR="006C2E2F" w:rsidRDefault="00D86529">
      <w:pPr>
        <w:pStyle w:val="Akapitzlist"/>
        <w:numPr>
          <w:ilvl w:val="0"/>
          <w:numId w:val="11"/>
        </w:numPr>
        <w:spacing w:before="240" w:after="0" w:line="360" w:lineRule="auto"/>
        <w:ind w:left="1276" w:hanging="426"/>
        <w:jc w:val="both"/>
        <w:rPr>
          <w:rFonts w:ascii="Times New Roman" w:hAnsi="Times New Roman" w:cs="Times New Roman"/>
          <w:bCs/>
          <w:sz w:val="24"/>
          <w:szCs w:val="24"/>
        </w:rPr>
      </w:pPr>
      <w:r>
        <w:rPr>
          <w:rFonts w:ascii="Times New Roman" w:hAnsi="Times New Roman" w:cs="Times New Roman"/>
          <w:bCs/>
          <w:sz w:val="24"/>
          <w:szCs w:val="24"/>
        </w:rPr>
        <w:t>w wysokości rażą</w:t>
      </w:r>
      <w:r>
        <w:rPr>
          <w:rFonts w:ascii="Times New Roman" w:hAnsi="Times New Roman" w:cs="Times New Roman"/>
          <w:bCs/>
          <w:sz w:val="24"/>
          <w:szCs w:val="24"/>
        </w:rPr>
        <w:t xml:space="preserve">co nieadekwatnej do charakteru i skutków zarzucanego naruszenia przepisów ustawy </w:t>
      </w:r>
      <w:proofErr w:type="spellStart"/>
      <w:r>
        <w:rPr>
          <w:rFonts w:ascii="Times New Roman" w:hAnsi="Times New Roman" w:cs="Times New Roman"/>
          <w:bCs/>
          <w:sz w:val="24"/>
          <w:szCs w:val="24"/>
        </w:rPr>
        <w:t>o.k.k</w:t>
      </w:r>
      <w:proofErr w:type="spellEnd"/>
      <w:r>
        <w:rPr>
          <w:rFonts w:ascii="Times New Roman" w:hAnsi="Times New Roman" w:cs="Times New Roman"/>
          <w:bCs/>
          <w:sz w:val="24"/>
          <w:szCs w:val="24"/>
        </w:rPr>
        <w:t>. oraz okoliczności zarzucanego naruszenia;</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W oparciu o powyższe zarzuty PZM wniósł o:</w:t>
      </w:r>
    </w:p>
    <w:p w:rsidR="006C2E2F" w:rsidRDefault="00D86529">
      <w:pPr>
        <w:pStyle w:val="Akapitzlist"/>
        <w:numPr>
          <w:ilvl w:val="0"/>
          <w:numId w:val="12"/>
        </w:numPr>
        <w:spacing w:before="240" w:after="0" w:line="360" w:lineRule="auto"/>
        <w:ind w:left="425"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lastRenderedPageBreak/>
        <w:t>uchylenie decyzji w całości;</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względnie, z daleko idącej ostrożności, powód wniósł </w:t>
      </w:r>
      <w:r>
        <w:rPr>
          <w:rFonts w:ascii="Times New Roman" w:hAnsi="Times New Roman" w:cs="Times New Roman"/>
          <w:bCs/>
          <w:sz w:val="24"/>
          <w:szCs w:val="24"/>
        </w:rPr>
        <w:t>o:</w:t>
      </w:r>
    </w:p>
    <w:p w:rsidR="006C2E2F" w:rsidRDefault="00D86529">
      <w:pPr>
        <w:pStyle w:val="Akapitzlist"/>
        <w:numPr>
          <w:ilvl w:val="0"/>
          <w:numId w:val="12"/>
        </w:numPr>
        <w:spacing w:before="240" w:after="0" w:line="360" w:lineRule="auto"/>
        <w:ind w:left="425"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t>uchylenie decyzji w części, tj. pkt I.(i), przypisującej udział PZM w naruszeniu, polegającym na udziale w porozumieniu dotyczącym ustalania maksymalnych stawek wynagrodzeń zawodników biorących udział w rozgrywkach ligowych sportu żużlowego zakwalifikow</w:t>
      </w:r>
      <w:r>
        <w:rPr>
          <w:rFonts w:ascii="Times New Roman" w:hAnsi="Times New Roman" w:cs="Times New Roman"/>
          <w:bCs/>
          <w:sz w:val="24"/>
          <w:szCs w:val="24"/>
        </w:rPr>
        <w:t xml:space="preserve">anym jako naruszenie 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101 ust.1 lit. a TFUE;</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względnie, z daleko idącej ostrożności, powód wniósł o:</w:t>
      </w:r>
    </w:p>
    <w:p w:rsidR="006C2E2F" w:rsidRDefault="00D86529">
      <w:pPr>
        <w:pStyle w:val="Akapitzlist"/>
        <w:numPr>
          <w:ilvl w:val="0"/>
          <w:numId w:val="12"/>
        </w:numPr>
        <w:spacing w:before="240" w:after="0" w:line="360" w:lineRule="auto"/>
        <w:ind w:left="425"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t>wydanie orzeczenia, co do istoty sprawy, zmieniającego decyzję w całości poprzez stwierdzenie, że w niniejszej sprawie strony</w:t>
      </w:r>
      <w:r>
        <w:rPr>
          <w:rFonts w:ascii="Times New Roman" w:hAnsi="Times New Roman" w:cs="Times New Roman"/>
          <w:bCs/>
          <w:sz w:val="24"/>
          <w:szCs w:val="24"/>
        </w:rPr>
        <w:t xml:space="preserve"> nie dopuściły się praktyki ograniczającej konkurencję, o której mowa w pkt I. sentencji decyzji oraz dodatkowo stwierdzenie przez Sąd wydania decyzji z rażącym naruszeniem prawa;</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względnie, z ostrożności powód wniósł o:</w:t>
      </w:r>
    </w:p>
    <w:p w:rsidR="006C2E2F" w:rsidRDefault="00D86529">
      <w:pPr>
        <w:pStyle w:val="Akapitzlist"/>
        <w:numPr>
          <w:ilvl w:val="0"/>
          <w:numId w:val="12"/>
        </w:numPr>
        <w:spacing w:before="240" w:after="0" w:line="360" w:lineRule="auto"/>
        <w:ind w:left="714"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zmianę decyzji w części odnoszącej </w:t>
      </w:r>
      <w:r>
        <w:rPr>
          <w:rFonts w:ascii="Times New Roman" w:hAnsi="Times New Roman" w:cs="Times New Roman"/>
          <w:bCs/>
          <w:sz w:val="24"/>
          <w:szCs w:val="24"/>
        </w:rPr>
        <w:t>się do kary pieniężnej, poprzez odstąpienie od nałożenia na PZM kary pieniężnej, względnie jej istotne obniżenie.</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 xml:space="preserve">Polski Związek Motorowy wniósł o dopuszczenie i przeprowadzenie następujących dowodów: </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z dokumentów: a) aktualnej księgi udziałów Ekstrali</w:t>
      </w:r>
      <w:r>
        <w:rPr>
          <w:rFonts w:ascii="Times New Roman" w:hAnsi="Times New Roman" w:cs="Times New Roman"/>
          <w:bCs/>
          <w:sz w:val="24"/>
          <w:szCs w:val="24"/>
        </w:rPr>
        <w:t xml:space="preserve">ga Żużlowa sp. z o.o., b) umowy spółki Ekstraliga Żużlowa sp. z o.o. tekst jednolity z 25 lutego 2021 r., c) umowy o zarządzanie ligą zawodową, d) faktury nr 21-FVS/02/091 z 23 lutego 2021 r., e) faktury nr 21-FVS/02/092 z 23 lutego 2021 r., f) wzorów </w:t>
      </w:r>
      <w:proofErr w:type="spellStart"/>
      <w:r>
        <w:rPr>
          <w:rFonts w:ascii="Times New Roman" w:hAnsi="Times New Roman" w:cs="Times New Roman"/>
          <w:bCs/>
          <w:sz w:val="24"/>
          <w:szCs w:val="24"/>
        </w:rPr>
        <w:t>kevl</w:t>
      </w:r>
      <w:r>
        <w:rPr>
          <w:rFonts w:ascii="Times New Roman" w:hAnsi="Times New Roman" w:cs="Times New Roman"/>
          <w:bCs/>
          <w:sz w:val="24"/>
          <w:szCs w:val="24"/>
        </w:rPr>
        <w:t>arów</w:t>
      </w:r>
      <w:proofErr w:type="spellEnd"/>
      <w:r>
        <w:rPr>
          <w:rFonts w:ascii="Times New Roman" w:hAnsi="Times New Roman" w:cs="Times New Roman"/>
          <w:bCs/>
          <w:sz w:val="24"/>
          <w:szCs w:val="24"/>
        </w:rPr>
        <w:t xml:space="preserve"> Bartosza </w:t>
      </w:r>
      <w:proofErr w:type="spellStart"/>
      <w:r>
        <w:rPr>
          <w:rFonts w:ascii="Times New Roman" w:hAnsi="Times New Roman" w:cs="Times New Roman"/>
          <w:bCs/>
          <w:sz w:val="24"/>
          <w:szCs w:val="24"/>
        </w:rPr>
        <w:t>Zmarzlika</w:t>
      </w:r>
      <w:proofErr w:type="spellEnd"/>
      <w:r>
        <w:rPr>
          <w:rFonts w:ascii="Times New Roman" w:hAnsi="Times New Roman" w:cs="Times New Roman"/>
          <w:bCs/>
          <w:sz w:val="24"/>
          <w:szCs w:val="24"/>
        </w:rPr>
        <w:t>, Piotra Pawlickiego oraz Dominika Kubry w 2021 r., g) karty powierzchni reklamowych – Ekstraliga,</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z zeznań świadków: Michała </w:t>
      </w:r>
      <w:proofErr w:type="spellStart"/>
      <w:r>
        <w:rPr>
          <w:rFonts w:ascii="Times New Roman" w:hAnsi="Times New Roman" w:cs="Times New Roman"/>
          <w:bCs/>
          <w:sz w:val="24"/>
          <w:szCs w:val="24"/>
        </w:rPr>
        <w:t>Świącika</w:t>
      </w:r>
      <w:proofErr w:type="spellEnd"/>
      <w:r>
        <w:rPr>
          <w:rFonts w:ascii="Times New Roman" w:hAnsi="Times New Roman" w:cs="Times New Roman"/>
          <w:bCs/>
          <w:sz w:val="24"/>
          <w:szCs w:val="24"/>
        </w:rPr>
        <w:t xml:space="preserve"> – Prezesa Włókniarza Częstochowa S.A.; Jakuba Kępy - Prezesa Speedway Lublin S.A.; Marcina Muraw</w:t>
      </w:r>
      <w:r>
        <w:rPr>
          <w:rFonts w:ascii="Times New Roman" w:hAnsi="Times New Roman" w:cs="Times New Roman"/>
          <w:bCs/>
          <w:sz w:val="24"/>
          <w:szCs w:val="24"/>
        </w:rPr>
        <w:t xml:space="preserve">skiego – Prezesa Grudziądzkiego Klubu Motocyklowego S.A.; Ireneusza </w:t>
      </w:r>
      <w:proofErr w:type="spellStart"/>
      <w:r>
        <w:rPr>
          <w:rFonts w:ascii="Times New Roman" w:hAnsi="Times New Roman" w:cs="Times New Roman"/>
          <w:bCs/>
          <w:sz w:val="24"/>
          <w:szCs w:val="24"/>
        </w:rPr>
        <w:t>Igielskiego</w:t>
      </w:r>
      <w:proofErr w:type="spellEnd"/>
      <w:r>
        <w:rPr>
          <w:rFonts w:ascii="Times New Roman" w:hAnsi="Times New Roman" w:cs="Times New Roman"/>
          <w:bCs/>
          <w:sz w:val="24"/>
          <w:szCs w:val="24"/>
        </w:rPr>
        <w:t xml:space="preserve"> – Członka Zarządu Unii Leszno Sportowej Spółki Akcyjnej; Kamila </w:t>
      </w:r>
      <w:proofErr w:type="spellStart"/>
      <w:r>
        <w:rPr>
          <w:rFonts w:ascii="Times New Roman" w:hAnsi="Times New Roman" w:cs="Times New Roman"/>
          <w:bCs/>
          <w:sz w:val="24"/>
          <w:szCs w:val="24"/>
        </w:rPr>
        <w:t>Kawickiego</w:t>
      </w:r>
      <w:proofErr w:type="spellEnd"/>
      <w:r>
        <w:rPr>
          <w:rFonts w:ascii="Times New Roman" w:hAnsi="Times New Roman" w:cs="Times New Roman"/>
          <w:bCs/>
          <w:sz w:val="24"/>
          <w:szCs w:val="24"/>
        </w:rPr>
        <w:t xml:space="preserve"> – Prezesa Zarządu Stowarzyszenia Zielonogórskiego Klubu Żużlowego w Zielonej Górze; Adama </w:t>
      </w:r>
      <w:proofErr w:type="spellStart"/>
      <w:r>
        <w:rPr>
          <w:rFonts w:ascii="Times New Roman" w:hAnsi="Times New Roman" w:cs="Times New Roman"/>
          <w:bCs/>
          <w:sz w:val="24"/>
          <w:szCs w:val="24"/>
        </w:rPr>
        <w:t>Krużyńskieg</w:t>
      </w:r>
      <w:r>
        <w:rPr>
          <w:rFonts w:ascii="Times New Roman" w:hAnsi="Times New Roman" w:cs="Times New Roman"/>
          <w:bCs/>
          <w:sz w:val="24"/>
          <w:szCs w:val="24"/>
        </w:rPr>
        <w:t>o</w:t>
      </w:r>
      <w:proofErr w:type="spellEnd"/>
      <w:r>
        <w:rPr>
          <w:rFonts w:ascii="Times New Roman" w:hAnsi="Times New Roman" w:cs="Times New Roman"/>
          <w:bCs/>
          <w:sz w:val="24"/>
          <w:szCs w:val="24"/>
        </w:rPr>
        <w:t xml:space="preserve"> – byłego członka Głównej Komisji Sportu Żużlowego (dalej: GKSŻ), członka Rady Nadzorczej Klubu Sportowego Toruń S.A.; Dariusza Cieślaka - byłego członek GKSŻ, Stanisława Chomskiego – trenera sportu żużlowego;  Michała Finfa – trenera sportu żużlowego; Kr</w:t>
      </w:r>
      <w:r>
        <w:rPr>
          <w:rFonts w:ascii="Times New Roman" w:hAnsi="Times New Roman" w:cs="Times New Roman"/>
          <w:bCs/>
          <w:sz w:val="24"/>
          <w:szCs w:val="24"/>
        </w:rPr>
        <w:t xml:space="preserve">zysztofa Orzeł - trenera sportu żużlowego; Jarosława Dymek – trenera sportu żużlowego; Rafała Dobruckiego – byłego zawodnika, reprezentanta Polski, trenera żużlowej reprezentacji Polski, Piotra Szymańskiego – Przewodniczącego </w:t>
      </w:r>
      <w:r>
        <w:rPr>
          <w:rFonts w:ascii="Times New Roman" w:hAnsi="Times New Roman" w:cs="Times New Roman"/>
          <w:bCs/>
          <w:sz w:val="24"/>
          <w:szCs w:val="24"/>
        </w:rPr>
        <w:lastRenderedPageBreak/>
        <w:t>GKSŻ; Łukasza Szmit – byłego c</w:t>
      </w:r>
      <w:r>
        <w:rPr>
          <w:rFonts w:ascii="Times New Roman" w:hAnsi="Times New Roman" w:cs="Times New Roman"/>
          <w:bCs/>
          <w:sz w:val="24"/>
          <w:szCs w:val="24"/>
        </w:rPr>
        <w:t xml:space="preserve">złonka GKSŻ, członka Komisji Licencyjnej PZM; Andrzeja Witkowskiego – byłego Prezesa PZM; Martina </w:t>
      </w:r>
      <w:proofErr w:type="spellStart"/>
      <w:r>
        <w:rPr>
          <w:rFonts w:ascii="Times New Roman" w:hAnsi="Times New Roman" w:cs="Times New Roman"/>
          <w:bCs/>
          <w:sz w:val="24"/>
          <w:szCs w:val="24"/>
        </w:rPr>
        <w:t>Vaculik</w:t>
      </w:r>
      <w:proofErr w:type="spellEnd"/>
      <w:r>
        <w:rPr>
          <w:rFonts w:ascii="Times New Roman" w:hAnsi="Times New Roman" w:cs="Times New Roman"/>
          <w:bCs/>
          <w:sz w:val="24"/>
          <w:szCs w:val="24"/>
        </w:rPr>
        <w:t xml:space="preserve"> – zawodnika żużlowego lig krajowych i zagranicznych; </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z opinii biegłego z zakresu ekonomiki sportu, ze szczególnym uwzględnieniem sportu żużlowego;</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przesłuchania stron: za PZM: Michała Sikora, Arkadiusza </w:t>
      </w:r>
      <w:proofErr w:type="spellStart"/>
      <w:r>
        <w:rPr>
          <w:rFonts w:ascii="Times New Roman" w:hAnsi="Times New Roman" w:cs="Times New Roman"/>
          <w:bCs/>
          <w:sz w:val="24"/>
          <w:szCs w:val="24"/>
        </w:rPr>
        <w:t>Sąsara</w:t>
      </w:r>
      <w:proofErr w:type="spellEnd"/>
      <w:r>
        <w:rPr>
          <w:rFonts w:ascii="Times New Roman" w:hAnsi="Times New Roman" w:cs="Times New Roman"/>
          <w:bCs/>
          <w:sz w:val="24"/>
          <w:szCs w:val="24"/>
        </w:rPr>
        <w:t xml:space="preserve">; za EŻ: Wojciecha Stępniewskiego; </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Polski Związek Motorowy wniósł także o zobowiązanie przez Sąd, w trybie art. 248 § 1 k.p.c.: a) Grudziądzkiego Klubu Motocyklowego S.A. do przedstawienia o</w:t>
      </w:r>
      <w:r>
        <w:rPr>
          <w:rFonts w:ascii="Times New Roman" w:hAnsi="Times New Roman" w:cs="Times New Roman"/>
          <w:bCs/>
          <w:sz w:val="24"/>
          <w:szCs w:val="24"/>
        </w:rPr>
        <w:t xml:space="preserve">znaczonych w odwołaniu dokumentów dla następujących zawodników: </w:t>
      </w:r>
      <w:proofErr w:type="spellStart"/>
      <w:r>
        <w:rPr>
          <w:rFonts w:ascii="Times New Roman" w:hAnsi="Times New Roman" w:cs="Times New Roman"/>
          <w:bCs/>
          <w:sz w:val="24"/>
          <w:szCs w:val="24"/>
        </w:rPr>
        <w:t>Artiom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Łaguta</w:t>
      </w:r>
      <w:proofErr w:type="spellEnd"/>
      <w:r>
        <w:rPr>
          <w:rFonts w:ascii="Times New Roman" w:hAnsi="Times New Roman" w:cs="Times New Roman"/>
          <w:bCs/>
          <w:sz w:val="24"/>
          <w:szCs w:val="24"/>
        </w:rPr>
        <w:t xml:space="preserve">, Antonio </w:t>
      </w:r>
      <w:proofErr w:type="spellStart"/>
      <w:r>
        <w:rPr>
          <w:rFonts w:ascii="Times New Roman" w:hAnsi="Times New Roman" w:cs="Times New Roman"/>
          <w:bCs/>
          <w:sz w:val="24"/>
          <w:szCs w:val="24"/>
        </w:rPr>
        <w:t>Lindback</w:t>
      </w:r>
      <w:proofErr w:type="spellEnd"/>
      <w:r>
        <w:rPr>
          <w:rFonts w:ascii="Times New Roman" w:hAnsi="Times New Roman" w:cs="Times New Roman"/>
          <w:bCs/>
          <w:sz w:val="24"/>
          <w:szCs w:val="24"/>
        </w:rPr>
        <w:t xml:space="preserve">, Krzysztofa </w:t>
      </w:r>
      <w:proofErr w:type="spellStart"/>
      <w:r>
        <w:rPr>
          <w:rFonts w:ascii="Times New Roman" w:hAnsi="Times New Roman" w:cs="Times New Roman"/>
          <w:bCs/>
          <w:sz w:val="24"/>
          <w:szCs w:val="24"/>
        </w:rPr>
        <w:t>Budzkowskiego</w:t>
      </w:r>
      <w:proofErr w:type="spellEnd"/>
      <w:r>
        <w:rPr>
          <w:rFonts w:ascii="Times New Roman" w:hAnsi="Times New Roman" w:cs="Times New Roman"/>
          <w:bCs/>
          <w:sz w:val="24"/>
          <w:szCs w:val="24"/>
        </w:rPr>
        <w:t xml:space="preserve">, Krystiana Pieszczek, Rafała Okoniewskiego, Kamila Wieczorek, Przemysława Pawlickiego, Dawida Wawrzyniaka, Kenneth </w:t>
      </w:r>
      <w:proofErr w:type="spellStart"/>
      <w:r>
        <w:rPr>
          <w:rFonts w:ascii="Times New Roman" w:hAnsi="Times New Roman" w:cs="Times New Roman"/>
          <w:bCs/>
          <w:sz w:val="24"/>
          <w:szCs w:val="24"/>
        </w:rPr>
        <w:t>Bjerre</w:t>
      </w:r>
      <w:proofErr w:type="spellEnd"/>
      <w:r>
        <w:rPr>
          <w:rFonts w:ascii="Times New Roman" w:hAnsi="Times New Roman" w:cs="Times New Roman"/>
          <w:bCs/>
          <w:sz w:val="24"/>
          <w:szCs w:val="24"/>
        </w:rPr>
        <w:t>, Marcina Tur</w:t>
      </w:r>
      <w:r>
        <w:rPr>
          <w:rFonts w:ascii="Times New Roman" w:hAnsi="Times New Roman" w:cs="Times New Roman"/>
          <w:bCs/>
          <w:sz w:val="24"/>
          <w:szCs w:val="24"/>
        </w:rPr>
        <w:t xml:space="preserve">owskiego, Nicki Pedersen, Krzysztofa Kasprzaka, Norberta Krakowiaka, Mateusza Bartkowiaka, Denisa Zielińskiego, Frederik Jakobsen, Kacpra Pludra; b) Speedway Lublin S.A. do przedstawienia dla następujących zawodników: Andreas </w:t>
      </w:r>
      <w:proofErr w:type="spellStart"/>
      <w:r>
        <w:rPr>
          <w:rFonts w:ascii="Times New Roman" w:hAnsi="Times New Roman" w:cs="Times New Roman"/>
          <w:bCs/>
          <w:sz w:val="24"/>
          <w:szCs w:val="24"/>
        </w:rPr>
        <w:t>Jonsson</w:t>
      </w:r>
      <w:proofErr w:type="spellEnd"/>
      <w:r>
        <w:rPr>
          <w:rFonts w:ascii="Times New Roman" w:hAnsi="Times New Roman" w:cs="Times New Roman"/>
          <w:bCs/>
          <w:sz w:val="24"/>
          <w:szCs w:val="24"/>
        </w:rPr>
        <w:t>, Roberta Lambert, Wikt</w:t>
      </w:r>
      <w:r>
        <w:rPr>
          <w:rFonts w:ascii="Times New Roman" w:hAnsi="Times New Roman" w:cs="Times New Roman"/>
          <w:bCs/>
          <w:sz w:val="24"/>
          <w:szCs w:val="24"/>
        </w:rPr>
        <w:t>ora Lampart, Daniela Jeleniewski, Pawła Miesiąc, Dawida Lampart.</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Niezależnie od powyższego PZM wniósł o:</w:t>
      </w:r>
    </w:p>
    <w:p w:rsidR="006C2E2F" w:rsidRDefault="00D86529">
      <w:pPr>
        <w:pStyle w:val="Akapitzlist"/>
        <w:numPr>
          <w:ilvl w:val="0"/>
          <w:numId w:val="22"/>
        </w:numPr>
        <w:spacing w:before="240"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zasądzenie od pozwanego na swoją rzecz kosztów procesu, w tym kosztów zastępstwa procesowego, według spisu kosztów, który zostanie złożony na rozprawi</w:t>
      </w:r>
      <w:r>
        <w:rPr>
          <w:rFonts w:ascii="Times New Roman" w:hAnsi="Times New Roman" w:cs="Times New Roman"/>
          <w:bCs/>
          <w:sz w:val="24"/>
          <w:szCs w:val="24"/>
        </w:rPr>
        <w:t>e, a w razie jego niezłożenia, według norm przepisanych, przy czym w każdym wypadku kosztów zastępstwa procesowego według 6-krotności stawki minimalnej, ze względu na znaczny wkład pełnomocników powoda w wyjaśnienie sprawy oraz ze względu na wartość przedm</w:t>
      </w:r>
      <w:r>
        <w:rPr>
          <w:rFonts w:ascii="Times New Roman" w:hAnsi="Times New Roman" w:cs="Times New Roman"/>
          <w:bCs/>
          <w:sz w:val="24"/>
          <w:szCs w:val="24"/>
        </w:rPr>
        <w:t>iotu sprawy, określoną we właściwych przepisach, wraz z odsetkami ustawowymi w wysokości odsetek za opóźnienie w spełnieniu świadczenia pieniężnego od dnia uprawomocnienia się orzeczenia, w którym te koszty zostaną zasądzone, do dnia zapłaty;</w:t>
      </w:r>
    </w:p>
    <w:p w:rsidR="006C2E2F" w:rsidRDefault="00D86529">
      <w:pPr>
        <w:pStyle w:val="Akapitzlist"/>
        <w:numPr>
          <w:ilvl w:val="0"/>
          <w:numId w:val="22"/>
        </w:numPr>
        <w:spacing w:before="240"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wysłuchanie p</w:t>
      </w:r>
      <w:r>
        <w:rPr>
          <w:rFonts w:ascii="Times New Roman" w:hAnsi="Times New Roman" w:cs="Times New Roman"/>
          <w:bCs/>
          <w:sz w:val="24"/>
          <w:szCs w:val="24"/>
        </w:rPr>
        <w:t>owoda na rozprawie;</w:t>
      </w:r>
    </w:p>
    <w:p w:rsidR="006C2E2F" w:rsidRDefault="00D86529">
      <w:pPr>
        <w:pStyle w:val="Akapitzlist"/>
        <w:numPr>
          <w:ilvl w:val="0"/>
          <w:numId w:val="22"/>
        </w:numPr>
        <w:spacing w:before="240" w:after="0" w:line="360" w:lineRule="auto"/>
        <w:ind w:left="425"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t>przeprowadzenie rozprawy przy drzwiach zamkniętych, z uwagi na konieczność ochrony tajemnic przedsiębiorstwa powoda.</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i/>
          <w:sz w:val="24"/>
          <w:szCs w:val="24"/>
        </w:rPr>
        <w:t xml:space="preserve">(odwołanie Polskiego Związku Motorowego, sygn.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84/23, k. 50 – 129 akt sąd.)</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lastRenderedPageBreak/>
        <w:tab/>
        <w:t xml:space="preserve">Ekstraliga Żużlowa sp. z o.o., </w:t>
      </w:r>
      <w:r>
        <w:rPr>
          <w:rFonts w:ascii="Times New Roman" w:hAnsi="Times New Roman" w:cs="Times New Roman"/>
          <w:bCs/>
          <w:sz w:val="24"/>
          <w:szCs w:val="24"/>
        </w:rPr>
        <w:t>zaskarżyła przedmiotową decyzję organu w całości, jako wydaną z rażącym naruszeniem szeregu przepisów prawa materialnego oraz procesowego. Zaskarżonej decyzji powódka zarzuciła:</w:t>
      </w:r>
    </w:p>
    <w:p w:rsidR="006C2E2F" w:rsidRDefault="00D86529">
      <w:pPr>
        <w:pStyle w:val="Akapitzlist"/>
        <w:numPr>
          <w:ilvl w:val="1"/>
          <w:numId w:val="23"/>
        </w:numPr>
        <w:spacing w:before="240"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naruszenie przepisów prawa materialnego:</w:t>
      </w:r>
    </w:p>
    <w:p w:rsidR="006C2E2F" w:rsidRDefault="00D86529">
      <w:pPr>
        <w:pStyle w:val="Akapitzlist"/>
        <w:numPr>
          <w:ilvl w:val="2"/>
          <w:numId w:val="23"/>
        </w:numPr>
        <w:spacing w:before="240" w:after="0" w:line="360" w:lineRule="auto"/>
        <w:ind w:left="709" w:hanging="425"/>
        <w:contextualSpacing w:val="0"/>
        <w:jc w:val="both"/>
        <w:rPr>
          <w:rFonts w:ascii="Times New Roman" w:hAnsi="Times New Roman" w:cs="Times New Roman"/>
          <w:bCs/>
          <w:sz w:val="24"/>
          <w:szCs w:val="24"/>
        </w:rPr>
      </w:pPr>
      <w:r>
        <w:rPr>
          <w:rFonts w:ascii="Times New Roman" w:hAnsi="Times New Roman" w:cs="Times New Roman"/>
          <w:bCs/>
          <w:sz w:val="24"/>
          <w:szCs w:val="24"/>
        </w:rPr>
        <w:t>art. 6 ust. 1 pkt 1 w zw. z art. 4 pk</w:t>
      </w:r>
      <w:r>
        <w:rPr>
          <w:rFonts w:ascii="Times New Roman" w:hAnsi="Times New Roman" w:cs="Times New Roman"/>
          <w:bCs/>
          <w:sz w:val="24"/>
          <w:szCs w:val="24"/>
        </w:rPr>
        <w:t xml:space="preserve">t 1 lit. d w zw. z art. 4 pkt 2 w zw. z art. 4 pkt 3 w zw. z art. 4 pkt 14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101 ust. 1 lit. a Traktatu o Funkcjonowaniu Unii Europejskiej, przez ich błędne zastosowanie polegające na uznaniu, że doszło do zawarcia porozumienia ograniczająceg</w:t>
      </w:r>
      <w:r>
        <w:rPr>
          <w:rFonts w:ascii="Times New Roman" w:hAnsi="Times New Roman" w:cs="Times New Roman"/>
          <w:bCs/>
          <w:sz w:val="24"/>
          <w:szCs w:val="24"/>
        </w:rPr>
        <w:t>o konkurencję, polegającego na ustalaniu cen pomiędzy PZM i EŻ, podczas gdy podmioty te tworzą jedną grupę kapitałową na gruncie prawa krajowego oraz jeden organizm gospodarczy na gruncie prawa unijnego (samodzielną kontrolę nad EŻ sprawuje PZM), a w ramac</w:t>
      </w:r>
      <w:r>
        <w:rPr>
          <w:rFonts w:ascii="Times New Roman" w:hAnsi="Times New Roman" w:cs="Times New Roman"/>
          <w:bCs/>
          <w:sz w:val="24"/>
          <w:szCs w:val="24"/>
        </w:rPr>
        <w:t>h grupy kapitałowej nie jest możliwe zawarcie porozumienia ograniczającego konkurencję.</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W przypadku nieuwzględnienia powyższego zarzutu, powódka zarzuciła:</w:t>
      </w:r>
    </w:p>
    <w:p w:rsidR="006C2E2F" w:rsidRDefault="00D86529">
      <w:pPr>
        <w:pStyle w:val="Akapitzlist"/>
        <w:numPr>
          <w:ilvl w:val="2"/>
          <w:numId w:val="23"/>
        </w:numPr>
        <w:spacing w:before="240" w:after="0" w:line="360" w:lineRule="auto"/>
        <w:ind w:left="709" w:hanging="425"/>
        <w:jc w:val="both"/>
        <w:rPr>
          <w:rFonts w:ascii="Times New Roman" w:hAnsi="Times New Roman" w:cs="Times New Roman"/>
          <w:bCs/>
          <w:sz w:val="24"/>
          <w:szCs w:val="24"/>
        </w:rPr>
      </w:pPr>
      <w:r>
        <w:rPr>
          <w:rFonts w:ascii="Times New Roman" w:hAnsi="Times New Roman" w:cs="Times New Roman"/>
          <w:bCs/>
          <w:sz w:val="24"/>
          <w:szCs w:val="24"/>
        </w:rPr>
        <w:t xml:space="preserve">art. 101 ust. 1 lit a TFUE oraz przepisu 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przez ich błędną wykładnię i </w:t>
      </w:r>
      <w:r>
        <w:rPr>
          <w:rFonts w:ascii="Times New Roman" w:hAnsi="Times New Roman" w:cs="Times New Roman"/>
          <w:bCs/>
          <w:sz w:val="24"/>
          <w:szCs w:val="24"/>
        </w:rPr>
        <w:t>niewłaściwe zastosowanie, polegające na zakwalifikowaniu działań PZM jako udziału w zakazanym, horyzontalnym porozumieniu cenowym (kartel cenowy), którego drugą stroną jest EŻ, podczas gdy:</w:t>
      </w:r>
    </w:p>
    <w:p w:rsidR="006C2E2F" w:rsidRDefault="00D86529">
      <w:pPr>
        <w:pStyle w:val="Akapitzlist"/>
        <w:numPr>
          <w:ilvl w:val="0"/>
          <w:numId w:val="24"/>
        </w:numPr>
        <w:spacing w:before="240" w:after="0" w:line="360" w:lineRule="auto"/>
        <w:ind w:left="1276" w:hanging="425"/>
        <w:jc w:val="both"/>
        <w:rPr>
          <w:rFonts w:ascii="Times New Roman" w:hAnsi="Times New Roman" w:cs="Times New Roman"/>
          <w:bCs/>
          <w:sz w:val="24"/>
          <w:szCs w:val="24"/>
        </w:rPr>
      </w:pPr>
      <w:r>
        <w:rPr>
          <w:rFonts w:ascii="Times New Roman" w:hAnsi="Times New Roman" w:cs="Times New Roman"/>
          <w:bCs/>
          <w:sz w:val="24"/>
          <w:szCs w:val="24"/>
        </w:rPr>
        <w:t>działania PZM opisane w decyzji nie stanowiły udziału w jakimkolwi</w:t>
      </w:r>
      <w:r>
        <w:rPr>
          <w:rFonts w:ascii="Times New Roman" w:hAnsi="Times New Roman" w:cs="Times New Roman"/>
          <w:bCs/>
          <w:sz w:val="24"/>
          <w:szCs w:val="24"/>
        </w:rPr>
        <w:t>ek porozumieniu lub uzgodnionej praktyce (świadomej koordynacji) z EŻ, a co najwyżej mogły stanowić jednostronną, legalną i dopuszczalną prawnie decyzję PZM co do reguł organizacyjnych w sporcie żużlowym, w tym co do treści Regulaminu Przynależności Klubow</w:t>
      </w:r>
      <w:r>
        <w:rPr>
          <w:rFonts w:ascii="Times New Roman" w:hAnsi="Times New Roman" w:cs="Times New Roman"/>
          <w:bCs/>
          <w:sz w:val="24"/>
          <w:szCs w:val="24"/>
        </w:rPr>
        <w:t>ej w Sporcie Żużlowym i załącznika do Regulaminu – Zbiorze Zasad Regulujących Stosunki pomiędzy Zawodnikiem i Klubem;</w:t>
      </w:r>
    </w:p>
    <w:p w:rsidR="006C2E2F" w:rsidRDefault="00D86529">
      <w:pPr>
        <w:pStyle w:val="Akapitzlist"/>
        <w:numPr>
          <w:ilvl w:val="0"/>
          <w:numId w:val="24"/>
        </w:numPr>
        <w:spacing w:before="240" w:after="0" w:line="360" w:lineRule="auto"/>
        <w:ind w:left="1276" w:hanging="425"/>
        <w:jc w:val="both"/>
        <w:rPr>
          <w:rFonts w:ascii="Times New Roman" w:hAnsi="Times New Roman" w:cs="Times New Roman"/>
          <w:bCs/>
          <w:sz w:val="24"/>
          <w:szCs w:val="24"/>
        </w:rPr>
      </w:pPr>
      <w:r>
        <w:rPr>
          <w:rFonts w:ascii="Times New Roman" w:hAnsi="Times New Roman" w:cs="Times New Roman"/>
          <w:bCs/>
          <w:sz w:val="24"/>
          <w:szCs w:val="24"/>
        </w:rPr>
        <w:t xml:space="preserve">udział EŻ w rzekomym naruszeniu został w istocie określony w decyzji jako „pomocnictwo”, podczas gdy przepisy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TFUE nie przewidu</w:t>
      </w:r>
      <w:r>
        <w:rPr>
          <w:rFonts w:ascii="Times New Roman" w:hAnsi="Times New Roman" w:cs="Times New Roman"/>
          <w:bCs/>
          <w:sz w:val="24"/>
          <w:szCs w:val="24"/>
        </w:rPr>
        <w:t>ją możliwości przypisania odpowiedzialności za taką, tj. zjawiskową, formę naruszenia, a tym bardziej nałożenia na tak rozumianego „pomocnika” administracyjnej kary pieniężnej; dodatkowo, z istoty porozumienia ograniczającego konkurencję wynika, iż zawiera</w:t>
      </w:r>
      <w:r>
        <w:rPr>
          <w:rFonts w:ascii="Times New Roman" w:hAnsi="Times New Roman" w:cs="Times New Roman"/>
          <w:bCs/>
          <w:sz w:val="24"/>
          <w:szCs w:val="24"/>
        </w:rPr>
        <w:t xml:space="preserve">ją je co najmniej dwa podmioty niezależne od siebie i działające na takich samych zasadach – „pomocnictwo” nie może być tym samym uznane za udział w porozumieniu, o którym mowa w przepisach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i TFUE;</w:t>
      </w:r>
    </w:p>
    <w:p w:rsidR="006C2E2F" w:rsidRDefault="00D86529">
      <w:pPr>
        <w:pStyle w:val="Akapitzlist"/>
        <w:numPr>
          <w:ilvl w:val="0"/>
          <w:numId w:val="24"/>
        </w:numPr>
        <w:spacing w:before="240" w:after="0" w:line="360" w:lineRule="auto"/>
        <w:ind w:left="1276" w:hanging="425"/>
        <w:contextualSpacing w:val="0"/>
        <w:jc w:val="both"/>
        <w:rPr>
          <w:rFonts w:ascii="Times New Roman" w:hAnsi="Times New Roman" w:cs="Times New Roman"/>
          <w:bCs/>
          <w:sz w:val="24"/>
          <w:szCs w:val="24"/>
        </w:rPr>
      </w:pPr>
      <w:r>
        <w:rPr>
          <w:rFonts w:ascii="Times New Roman" w:hAnsi="Times New Roman" w:cs="Times New Roman"/>
          <w:bCs/>
          <w:sz w:val="24"/>
          <w:szCs w:val="24"/>
        </w:rPr>
        <w:lastRenderedPageBreak/>
        <w:t>PZM oraz EŻ nie są wobec siebie aktualnymi lub poten</w:t>
      </w:r>
      <w:r>
        <w:rPr>
          <w:rFonts w:ascii="Times New Roman" w:hAnsi="Times New Roman" w:cs="Times New Roman"/>
          <w:bCs/>
          <w:sz w:val="24"/>
          <w:szCs w:val="24"/>
        </w:rPr>
        <w:t>cjalnymi konkurentami oraz nie pozostają w relacji wertykalnej i tym samym nie mogło dojść pomiędzy nimi do cenowej zmowy konkurentów rynkowych lub też do innego ograniczenia konkurencji o charakterze wertykalnym.</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Powyższe, w konsekwencji, doprowadziło ta</w:t>
      </w:r>
      <w:r>
        <w:rPr>
          <w:rFonts w:ascii="Times New Roman" w:hAnsi="Times New Roman" w:cs="Times New Roman"/>
          <w:bCs/>
          <w:sz w:val="24"/>
          <w:szCs w:val="24"/>
        </w:rPr>
        <w:t>kże do naruszenia art. 2 oraz art. 7 Konstytucji RP, art. 6 k.p.a., art. 7a § 1 k.p.a. oraz art. 11 ust. 1,</w:t>
      </w:r>
      <w:r>
        <w:rPr>
          <w:rFonts w:ascii="Times New Roman" w:hAnsi="Times New Roman" w:cs="Times New Roman"/>
          <w:bCs/>
          <w:sz w:val="24"/>
          <w:szCs w:val="24"/>
        </w:rPr>
        <w:tab/>
        <w:t>art. 10 ust. 1 oraz art. 12 ustawy – Prawo przedsiębiorców oraz art. 13 ust. 1 pkt 1 i 2 ustawy o sporcie.</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 xml:space="preserve">W przypadku nieuwzględnienia powyższego </w:t>
      </w:r>
      <w:r>
        <w:rPr>
          <w:rFonts w:ascii="Times New Roman" w:hAnsi="Times New Roman" w:cs="Times New Roman"/>
          <w:bCs/>
          <w:sz w:val="24"/>
          <w:szCs w:val="24"/>
        </w:rPr>
        <w:t>zarzutu EŻ zarzuciła naruszenie:</w:t>
      </w:r>
    </w:p>
    <w:p w:rsidR="006C2E2F" w:rsidRDefault="00D86529">
      <w:pPr>
        <w:pStyle w:val="Akapitzlist"/>
        <w:numPr>
          <w:ilvl w:val="2"/>
          <w:numId w:val="23"/>
        </w:numPr>
        <w:spacing w:before="240" w:after="0" w:line="360" w:lineRule="auto"/>
        <w:ind w:left="709"/>
        <w:jc w:val="both"/>
        <w:rPr>
          <w:rFonts w:ascii="Times New Roman" w:hAnsi="Times New Roman" w:cs="Times New Roman"/>
          <w:bCs/>
          <w:sz w:val="24"/>
          <w:szCs w:val="24"/>
        </w:rPr>
      </w:pPr>
      <w:r>
        <w:rPr>
          <w:rFonts w:ascii="Times New Roman" w:hAnsi="Times New Roman" w:cs="Times New Roman"/>
          <w:bCs/>
          <w:sz w:val="24"/>
          <w:szCs w:val="24"/>
        </w:rPr>
        <w:t xml:space="preserve">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101 ust. 1 lit. a TFUE, przez ich błędną wykładnię i niewłaściwe zastosowanie, polegające na zaniechaniu badania celu, funkcji oraz kontekstu gospodarczego i prawnego zakwestionowanych po</w:t>
      </w:r>
      <w:r>
        <w:rPr>
          <w:rFonts w:ascii="Times New Roman" w:hAnsi="Times New Roman" w:cs="Times New Roman"/>
          <w:bCs/>
          <w:sz w:val="24"/>
          <w:szCs w:val="24"/>
        </w:rPr>
        <w:t>stanowień, zawartych w Regulaminie i Załączniku, które należało przeprowadzić na potrzeby dokonania prawidłowej kwalifikacji zarzuconego naruszenia, w szczególności bez wzięcia pod uwagę szczególnej roli sportu profesjonalnego (i amatorskiego) w życiu społ</w:t>
      </w:r>
      <w:r>
        <w:rPr>
          <w:rFonts w:ascii="Times New Roman" w:hAnsi="Times New Roman" w:cs="Times New Roman"/>
          <w:bCs/>
          <w:sz w:val="24"/>
          <w:szCs w:val="24"/>
        </w:rPr>
        <w:t>ecznym, co znalazło swoje odbicie zarówno w przepisach TFUE jak i Konstytucji RP i w konsekwencji błędne uznanie, że kwestionowane zachowanie stanowi porozumienie typu hard-</w:t>
      </w:r>
      <w:proofErr w:type="spellStart"/>
      <w:r>
        <w:rPr>
          <w:rFonts w:ascii="Times New Roman" w:hAnsi="Times New Roman" w:cs="Times New Roman"/>
          <w:bCs/>
          <w:sz w:val="24"/>
          <w:szCs w:val="24"/>
        </w:rPr>
        <w:t>core</w:t>
      </w:r>
      <w:proofErr w:type="spellEnd"/>
      <w:r>
        <w:rPr>
          <w:rFonts w:ascii="Times New Roman" w:hAnsi="Times New Roman" w:cs="Times New Roman"/>
          <w:bCs/>
          <w:sz w:val="24"/>
          <w:szCs w:val="24"/>
        </w:rPr>
        <w:t>, zakazane z uwagi na cel (przedmiot), podczas gdy nie istniały podstawy nie ty</w:t>
      </w:r>
      <w:r>
        <w:rPr>
          <w:rFonts w:ascii="Times New Roman" w:hAnsi="Times New Roman" w:cs="Times New Roman"/>
          <w:bCs/>
          <w:sz w:val="24"/>
          <w:szCs w:val="24"/>
        </w:rPr>
        <w:t>lko do takiej kwalifikacji, ale do jakiegokolwiek kwestionowania legalności takiego ustalania;</w:t>
      </w:r>
    </w:p>
    <w:p w:rsidR="006C2E2F" w:rsidRDefault="00D86529">
      <w:pPr>
        <w:pStyle w:val="Akapitzlist"/>
        <w:numPr>
          <w:ilvl w:val="2"/>
          <w:numId w:val="23"/>
        </w:numPr>
        <w:spacing w:before="240" w:after="0" w:line="360" w:lineRule="auto"/>
        <w:ind w:left="709"/>
        <w:jc w:val="both"/>
        <w:rPr>
          <w:rFonts w:ascii="Times New Roman" w:hAnsi="Times New Roman" w:cs="Times New Roman"/>
          <w:bCs/>
          <w:sz w:val="24"/>
          <w:szCs w:val="24"/>
        </w:rPr>
      </w:pPr>
      <w:r>
        <w:rPr>
          <w:rFonts w:ascii="Times New Roman" w:hAnsi="Times New Roman" w:cs="Times New Roman"/>
          <w:bCs/>
          <w:sz w:val="24"/>
          <w:szCs w:val="24"/>
        </w:rPr>
        <w:t xml:space="preserve">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101 ust. 1 lit. a TFUE, poprzez ich błędną wykładnię i niewłaściwe zastosowanie, polegające na uznaniu, że wprowadzanie maksy</w:t>
      </w:r>
      <w:r>
        <w:rPr>
          <w:rFonts w:ascii="Times New Roman" w:hAnsi="Times New Roman" w:cs="Times New Roman"/>
          <w:bCs/>
          <w:sz w:val="24"/>
          <w:szCs w:val="24"/>
        </w:rPr>
        <w:t xml:space="preserve">malnych stawek jednego z elementów wynagrodzenia zawodników, biorących udział w rozgrywkach ligowych sportu żużlowego, stanowi porozumienie cenowe, podczas gdy mogłoby stanowić co najwyżej praktykę nienazwaną w oparciu o przepis art. 6 ust.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lub art</w:t>
      </w:r>
      <w:r>
        <w:rPr>
          <w:rFonts w:ascii="Times New Roman" w:hAnsi="Times New Roman" w:cs="Times New Roman"/>
          <w:bCs/>
          <w:sz w:val="24"/>
          <w:szCs w:val="24"/>
        </w:rPr>
        <w:t xml:space="preserve">. 101 ust. 1 TFUE, której </w:t>
      </w:r>
      <w:proofErr w:type="spellStart"/>
      <w:r>
        <w:rPr>
          <w:rFonts w:ascii="Times New Roman" w:hAnsi="Times New Roman" w:cs="Times New Roman"/>
          <w:bCs/>
          <w:sz w:val="24"/>
          <w:szCs w:val="24"/>
        </w:rPr>
        <w:t>antykonkurencyjne</w:t>
      </w:r>
      <w:proofErr w:type="spellEnd"/>
      <w:r>
        <w:rPr>
          <w:rFonts w:ascii="Times New Roman" w:hAnsi="Times New Roman" w:cs="Times New Roman"/>
          <w:bCs/>
          <w:sz w:val="24"/>
          <w:szCs w:val="24"/>
        </w:rPr>
        <w:t xml:space="preserve"> skutki powinny zostać udowodnione przez Prezesa Urzędu;</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względnie, powódka zarzuciła naruszenie:</w:t>
      </w:r>
    </w:p>
    <w:p w:rsidR="006C2E2F" w:rsidRDefault="00D86529">
      <w:pPr>
        <w:pStyle w:val="Akapitzlist"/>
        <w:numPr>
          <w:ilvl w:val="2"/>
          <w:numId w:val="23"/>
        </w:numPr>
        <w:spacing w:before="240" w:after="0" w:line="360" w:lineRule="auto"/>
        <w:ind w:left="709"/>
        <w:jc w:val="both"/>
        <w:rPr>
          <w:rFonts w:ascii="Times New Roman" w:hAnsi="Times New Roman" w:cs="Times New Roman"/>
          <w:bCs/>
          <w:sz w:val="24"/>
          <w:szCs w:val="24"/>
        </w:rPr>
      </w:pPr>
      <w:r>
        <w:rPr>
          <w:rFonts w:ascii="Times New Roman" w:hAnsi="Times New Roman" w:cs="Times New Roman"/>
          <w:bCs/>
          <w:sz w:val="24"/>
          <w:szCs w:val="24"/>
        </w:rPr>
        <w:t xml:space="preserve">art. 101 ust. 3 TFUE i art. 8 ust.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w zw. z 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101 ust. 1 lit. a TFUE, popr</w:t>
      </w:r>
      <w:r>
        <w:rPr>
          <w:rFonts w:ascii="Times New Roman" w:hAnsi="Times New Roman" w:cs="Times New Roman"/>
          <w:bCs/>
          <w:sz w:val="24"/>
          <w:szCs w:val="24"/>
        </w:rPr>
        <w:t xml:space="preserve">zez ich niewłaściwe zastosowanie skutkujące uznaniem, że stwierdzone w decyzji naruszenie nie podlega wyłączeniu spod zakazu zawierania </w:t>
      </w:r>
      <w:proofErr w:type="spellStart"/>
      <w:r>
        <w:rPr>
          <w:rFonts w:ascii="Times New Roman" w:hAnsi="Times New Roman" w:cs="Times New Roman"/>
          <w:bCs/>
          <w:sz w:val="24"/>
          <w:szCs w:val="24"/>
        </w:rPr>
        <w:t>antykonkurencyjnych</w:t>
      </w:r>
      <w:proofErr w:type="spellEnd"/>
      <w:r>
        <w:rPr>
          <w:rFonts w:ascii="Times New Roman" w:hAnsi="Times New Roman" w:cs="Times New Roman"/>
          <w:bCs/>
          <w:sz w:val="24"/>
          <w:szCs w:val="24"/>
        </w:rPr>
        <w:t xml:space="preserve"> porozumień, podczas gdy szereg okoliczności wykazywanych przez spółkę środkami dowodowymi, niedopusz</w:t>
      </w:r>
      <w:r>
        <w:rPr>
          <w:rFonts w:ascii="Times New Roman" w:hAnsi="Times New Roman" w:cs="Times New Roman"/>
          <w:bCs/>
          <w:sz w:val="24"/>
          <w:szCs w:val="24"/>
        </w:rPr>
        <w:t xml:space="preserve">czonymi przez Prezesa UOKiK w postępowaniu antymonopolowym, świadczy o spełnieniu przesłanek wynikających z </w:t>
      </w:r>
      <w:r>
        <w:rPr>
          <w:rFonts w:ascii="Times New Roman" w:hAnsi="Times New Roman" w:cs="Times New Roman"/>
          <w:bCs/>
          <w:sz w:val="24"/>
          <w:szCs w:val="24"/>
        </w:rPr>
        <w:lastRenderedPageBreak/>
        <w:t>powyższych norm prawnych, co Prezes UOKiK powinien wziąć pod uwagę z urzędu; brak przeprowadzenia wnioskowanych dowodów stanowi rażące naruszenie pr</w:t>
      </w:r>
      <w:r>
        <w:rPr>
          <w:rFonts w:ascii="Times New Roman" w:hAnsi="Times New Roman" w:cs="Times New Roman"/>
          <w:bCs/>
          <w:sz w:val="24"/>
          <w:szCs w:val="24"/>
        </w:rPr>
        <w:t>awa i prowadzi do uznania, iż przepisów tych w praktyce nie zastosowano w toku postępowania (nie stworzono nawet ku temu możliwości), nie mogą bowiem one funkcjonować w próżni, a jedynie na tle wyczerpującego materiału dowodowego;</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dodatkowo EŻ zarzuciła na</w:t>
      </w:r>
      <w:r>
        <w:rPr>
          <w:rFonts w:ascii="Times New Roman" w:hAnsi="Times New Roman" w:cs="Times New Roman"/>
          <w:bCs/>
          <w:sz w:val="24"/>
          <w:szCs w:val="24"/>
        </w:rPr>
        <w:t>ruszenie:</w:t>
      </w:r>
    </w:p>
    <w:p w:rsidR="006C2E2F" w:rsidRDefault="00D86529">
      <w:pPr>
        <w:pStyle w:val="Akapitzlist"/>
        <w:numPr>
          <w:ilvl w:val="2"/>
          <w:numId w:val="23"/>
        </w:numPr>
        <w:spacing w:before="240" w:after="0" w:line="360" w:lineRule="auto"/>
        <w:ind w:left="709"/>
        <w:jc w:val="both"/>
        <w:rPr>
          <w:rFonts w:ascii="Times New Roman" w:hAnsi="Times New Roman" w:cs="Times New Roman"/>
          <w:bCs/>
          <w:sz w:val="24"/>
          <w:szCs w:val="24"/>
        </w:rPr>
      </w:pPr>
      <w:r>
        <w:rPr>
          <w:rFonts w:ascii="Times New Roman" w:hAnsi="Times New Roman" w:cs="Times New Roman"/>
          <w:bCs/>
          <w:sz w:val="24"/>
          <w:szCs w:val="24"/>
        </w:rPr>
        <w:t xml:space="preserve">art. 3 ust. 2 Rozporządzenia Rady (WE) nr 1/2003 w sprawie wprowadzenia w życie reguł konkurencji ustanowionych w art. 81 i 82 Traktatu,  (tj. reguły konwergencji) w zw. z art. 101 ust.1 lit. a TFUE oraz 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przez ich niewł</w:t>
      </w:r>
      <w:r>
        <w:rPr>
          <w:rFonts w:ascii="Times New Roman" w:hAnsi="Times New Roman" w:cs="Times New Roman"/>
          <w:bCs/>
          <w:sz w:val="24"/>
          <w:szCs w:val="24"/>
        </w:rPr>
        <w:t>aściwe zastosowanie i uznanie za praktykę ograniczającą konkurencję wprowadzenie maksymalnych stawek jednego z elementów wynagrodzenia zawodników, biorących udział w rozgrywkach ligowych sportu żużlowego („</w:t>
      </w:r>
      <w:proofErr w:type="spellStart"/>
      <w:r>
        <w:rPr>
          <w:rFonts w:ascii="Times New Roman" w:hAnsi="Times New Roman" w:cs="Times New Roman"/>
          <w:bCs/>
          <w:sz w:val="24"/>
          <w:szCs w:val="24"/>
        </w:rPr>
        <w:t>Salary</w:t>
      </w:r>
      <w:proofErr w:type="spellEnd"/>
      <w:r>
        <w:rPr>
          <w:rFonts w:ascii="Times New Roman" w:hAnsi="Times New Roman" w:cs="Times New Roman"/>
          <w:bCs/>
          <w:sz w:val="24"/>
          <w:szCs w:val="24"/>
        </w:rPr>
        <w:t xml:space="preserve"> Cap” lub „Maksymalna Stawka”), podczas gdy </w:t>
      </w:r>
      <w:r>
        <w:rPr>
          <w:rFonts w:ascii="Times New Roman" w:hAnsi="Times New Roman" w:cs="Times New Roman"/>
          <w:bCs/>
          <w:sz w:val="24"/>
          <w:szCs w:val="24"/>
        </w:rPr>
        <w:t>takie działanie nie ogranicza konkurencji na gruncie prawa unijnego, (tj. nie zostałoby na gruncie prawa unijnego uznane za ograniczające konkurencję w rozumieniu art. 101 ust. 1 lit a TFUE);</w:t>
      </w:r>
    </w:p>
    <w:p w:rsidR="006C2E2F" w:rsidRDefault="00D86529">
      <w:pPr>
        <w:pStyle w:val="Akapitzlist"/>
        <w:numPr>
          <w:ilvl w:val="2"/>
          <w:numId w:val="23"/>
        </w:numPr>
        <w:spacing w:before="240" w:after="0" w:line="360" w:lineRule="auto"/>
        <w:ind w:left="709"/>
        <w:jc w:val="both"/>
        <w:rPr>
          <w:rFonts w:ascii="Times New Roman" w:hAnsi="Times New Roman" w:cs="Times New Roman"/>
          <w:bCs/>
          <w:sz w:val="24"/>
          <w:szCs w:val="24"/>
        </w:rPr>
      </w:pPr>
      <w:r>
        <w:rPr>
          <w:rFonts w:ascii="Times New Roman" w:hAnsi="Times New Roman" w:cs="Times New Roman"/>
          <w:bCs/>
          <w:sz w:val="24"/>
          <w:szCs w:val="24"/>
        </w:rPr>
        <w:t xml:space="preserve">art. 4 pkt 9 w zw. z art. 6 ust.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przez ich niewłaściwe </w:t>
      </w:r>
      <w:r>
        <w:rPr>
          <w:rFonts w:ascii="Times New Roman" w:hAnsi="Times New Roman" w:cs="Times New Roman"/>
          <w:bCs/>
          <w:sz w:val="24"/>
          <w:szCs w:val="24"/>
        </w:rPr>
        <w:t xml:space="preserve">zastosowanie skutkujące błędnym zdefiniowaniem rynku właściwego w jego wymiarze geograficznym, jako krajowego rynku zakupu usług świadczonych przez profesjonalnych zawodników, biorących udział w rozgrywkach ligowych sportu żużlowego, podczas gdy w świetle </w:t>
      </w:r>
      <w:r>
        <w:rPr>
          <w:rFonts w:ascii="Times New Roman" w:hAnsi="Times New Roman" w:cs="Times New Roman"/>
          <w:bCs/>
          <w:sz w:val="24"/>
          <w:szCs w:val="24"/>
        </w:rPr>
        <w:t>wszystkich okoliczności sprawy, znanych Prezesowi UOKiK, rynek ten powinien zostać określony co najmniej jako europejski;</w:t>
      </w:r>
    </w:p>
    <w:p w:rsidR="006C2E2F" w:rsidRDefault="00D86529">
      <w:pPr>
        <w:pStyle w:val="Akapitzlist"/>
        <w:numPr>
          <w:ilvl w:val="2"/>
          <w:numId w:val="23"/>
        </w:numPr>
        <w:spacing w:before="240" w:after="0" w:line="360" w:lineRule="auto"/>
        <w:ind w:left="709"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art. 13 ust. 1 pkt 1 i 2 ustawy o sporcie, poprzez błędną wykładnię i uznanie, że regulacje dotyczące </w:t>
      </w:r>
      <w:proofErr w:type="spellStart"/>
      <w:r>
        <w:rPr>
          <w:rFonts w:ascii="Times New Roman" w:hAnsi="Times New Roman" w:cs="Times New Roman"/>
          <w:bCs/>
          <w:sz w:val="24"/>
          <w:szCs w:val="24"/>
        </w:rPr>
        <w:t>Salary</w:t>
      </w:r>
      <w:proofErr w:type="spellEnd"/>
      <w:r>
        <w:rPr>
          <w:rFonts w:ascii="Times New Roman" w:hAnsi="Times New Roman" w:cs="Times New Roman"/>
          <w:bCs/>
          <w:sz w:val="24"/>
          <w:szCs w:val="24"/>
        </w:rPr>
        <w:t xml:space="preserve"> Cap nie mieszczą się w </w:t>
      </w:r>
      <w:r>
        <w:rPr>
          <w:rFonts w:ascii="Times New Roman" w:hAnsi="Times New Roman" w:cs="Times New Roman"/>
          <w:bCs/>
          <w:sz w:val="24"/>
          <w:szCs w:val="24"/>
        </w:rPr>
        <w:t xml:space="preserve">zakresie ustanawiania i realizacji reguł sportowych lub organizacyjnych sportu żużlowego, w tym w szczególności dotyczących organizowanego i prowadzonego przez PZM współzawodnictwa sportowego o tytuł Mistrza Polski, co doprowadziło do błędnego uznania, że </w:t>
      </w:r>
      <w:r>
        <w:rPr>
          <w:rFonts w:ascii="Times New Roman" w:hAnsi="Times New Roman" w:cs="Times New Roman"/>
          <w:bCs/>
          <w:sz w:val="24"/>
          <w:szCs w:val="24"/>
        </w:rPr>
        <w:t>PZM nie był ustawowo uprawniony do ustanawiania i realizacji tych regulacji.</w:t>
      </w:r>
    </w:p>
    <w:p w:rsidR="006C2E2F" w:rsidRDefault="00D86529">
      <w:pPr>
        <w:pStyle w:val="Akapitzlist"/>
        <w:numPr>
          <w:ilvl w:val="0"/>
          <w:numId w:val="23"/>
        </w:numPr>
        <w:spacing w:before="240"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naruszenie przepisów postępowania:</w:t>
      </w:r>
    </w:p>
    <w:p w:rsidR="006C2E2F" w:rsidRDefault="00D86529">
      <w:pPr>
        <w:pStyle w:val="Akapitzlist"/>
        <w:numPr>
          <w:ilvl w:val="0"/>
          <w:numId w:val="27"/>
        </w:num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rażące naruszenie przepisu art. 74 w zw. z art. 88 ust. 2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w zw. z art. 110 § 1 w zw. z art. 126 k.p.a. oraz art. 10 § 1 k.p.a. w zw. z art</w:t>
      </w:r>
      <w:r>
        <w:rPr>
          <w:rFonts w:ascii="Times New Roman" w:hAnsi="Times New Roman" w:cs="Times New Roman"/>
          <w:bCs/>
          <w:sz w:val="24"/>
          <w:szCs w:val="24"/>
        </w:rPr>
        <w:t xml:space="preserve">. 83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poprzez istotne rozszerzenie w decyzji zakresu zarzutów postawionych stronom w postanowieniu Prezesa UOKIK z 12 maja 2022 r. o wszczęciu postępowania; w postanowieniu zarzucono bowiem wyłącznie: „zawarcie porozumienia w rozumieniu art. 4 pkt 5 </w:t>
      </w:r>
      <w:r>
        <w:rPr>
          <w:rFonts w:ascii="Times New Roman" w:hAnsi="Times New Roman" w:cs="Times New Roman"/>
          <w:bCs/>
          <w:sz w:val="24"/>
          <w:szCs w:val="24"/>
        </w:rPr>
        <w:t xml:space="preserve">ustawy o ochronie </w:t>
      </w:r>
      <w:r>
        <w:rPr>
          <w:rFonts w:ascii="Times New Roman" w:hAnsi="Times New Roman" w:cs="Times New Roman"/>
          <w:bCs/>
          <w:sz w:val="24"/>
          <w:szCs w:val="24"/>
        </w:rPr>
        <w:lastRenderedPageBreak/>
        <w:t>konkurencji i konsumentów, a zarazem porozumienia z decyzji związku przedsiębiorstw lub praktyki uzgodnionej w rozumieniu art. 101 ust.1 Traktatu o Funkcjonowaniu Unii Europejskiej, polegającego na ustalaniu maksymalnych stawek wynagrodze</w:t>
      </w:r>
      <w:r>
        <w:rPr>
          <w:rFonts w:ascii="Times New Roman" w:hAnsi="Times New Roman" w:cs="Times New Roman"/>
          <w:bCs/>
          <w:sz w:val="24"/>
          <w:szCs w:val="24"/>
        </w:rPr>
        <w:t xml:space="preserve">ń zawodników, biorących udział w rozgrywkach ligowych sportu żużlowego”, podczas gdy w uzasadnieniu decyzji stwierdzono naruszenie w znacznie bardziej rozbudowanej i zasadniczo odmiennej postaci: (i) po pierwsze podjęcie uchwały związku przedsiębiorców, a </w:t>
      </w:r>
      <w:r>
        <w:rPr>
          <w:rFonts w:ascii="Times New Roman" w:hAnsi="Times New Roman" w:cs="Times New Roman"/>
          <w:bCs/>
          <w:sz w:val="24"/>
          <w:szCs w:val="24"/>
        </w:rPr>
        <w:t>(ii) po drugie współdziałania EŻ przy wydawaniu przedmiotowej uchwały przez PZM, co miało wpływ na wynik postępowania, a jednocześnie prowadzi do rażącego naruszenia prawa strony do obrony (nie można się bronić nie znając istoty zarzutu);</w:t>
      </w:r>
    </w:p>
    <w:p w:rsidR="006C2E2F" w:rsidRDefault="00D86529">
      <w:pPr>
        <w:pStyle w:val="Akapitzlist"/>
        <w:numPr>
          <w:ilvl w:val="0"/>
          <w:numId w:val="27"/>
        </w:num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art. 6, 8 § 1 i 1</w:t>
      </w:r>
      <w:r>
        <w:rPr>
          <w:rFonts w:ascii="Times New Roman" w:hAnsi="Times New Roman" w:cs="Times New Roman"/>
          <w:bCs/>
          <w:sz w:val="24"/>
          <w:szCs w:val="24"/>
        </w:rPr>
        <w:t xml:space="preserve">07 § 1 pkt 5 i 6 oraz § 3 k.p.a. w zw. z art. 83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przez ich niewłaściwe zastosowanie, skutkujące rozbieżnością między treścią sentencji decyzji, a uzasadnieniem prawnym, polegającą na stwierdzeniu w uzasadnieniu decyzji zawarcia dwóch porozumień: (i) </w:t>
      </w:r>
      <w:r>
        <w:rPr>
          <w:rFonts w:ascii="Times New Roman" w:hAnsi="Times New Roman" w:cs="Times New Roman"/>
          <w:bCs/>
          <w:sz w:val="24"/>
          <w:szCs w:val="24"/>
        </w:rPr>
        <w:t xml:space="preserve">pierwszego w postaci uchwały PZM oraz (ii) drugiego w postaci współdziałania EŻ w zawarciu </w:t>
      </w:r>
      <w:proofErr w:type="spellStart"/>
      <w:r>
        <w:rPr>
          <w:rFonts w:ascii="Times New Roman" w:hAnsi="Times New Roman" w:cs="Times New Roman"/>
          <w:bCs/>
          <w:sz w:val="24"/>
          <w:szCs w:val="24"/>
        </w:rPr>
        <w:t>antykonkurencyjnego</w:t>
      </w:r>
      <w:proofErr w:type="spellEnd"/>
      <w:r>
        <w:rPr>
          <w:rFonts w:ascii="Times New Roman" w:hAnsi="Times New Roman" w:cs="Times New Roman"/>
          <w:bCs/>
          <w:sz w:val="24"/>
          <w:szCs w:val="24"/>
        </w:rPr>
        <w:t xml:space="preserve"> porozumienia, podczas gdy w sentencji decyzji stwierdzono naruszenie w postaci zawarcia jednego porozumienia przez PZM oraz EŻ („udział (i) Polsk</w:t>
      </w:r>
      <w:r>
        <w:rPr>
          <w:rFonts w:ascii="Times New Roman" w:hAnsi="Times New Roman" w:cs="Times New Roman"/>
          <w:bCs/>
          <w:sz w:val="24"/>
          <w:szCs w:val="24"/>
        </w:rPr>
        <w:t>iego Związku Motorowego z siedzibą w Warszawie; (ii) Ekstraligi Żużlowej sp. z o.o. z siedzibą w Bydgoszczy, w porozumieniu w rozumieniu art. 4 pkt 5 ustawy o ochronie konkurencji i konsumentów, a zarazem w decyzji związku przedsiębiorstw i praktyce uzgodn</w:t>
      </w:r>
      <w:r>
        <w:rPr>
          <w:rFonts w:ascii="Times New Roman" w:hAnsi="Times New Roman" w:cs="Times New Roman"/>
          <w:bCs/>
          <w:sz w:val="24"/>
          <w:szCs w:val="24"/>
        </w:rPr>
        <w:t>ionej w rozumieniu art. 101 ust. 1 Traktatu o Funkcjonowaniu Unii Europejskiej, polegającym na ustalaniu maksymalnych stawek wynagrodzeń zawodników biorących udział w rozgrywkach ligowych sportu żużlowego (...));</w:t>
      </w:r>
    </w:p>
    <w:p w:rsidR="006C2E2F" w:rsidRDefault="00D86529">
      <w:pPr>
        <w:pStyle w:val="Akapitzlist"/>
        <w:numPr>
          <w:ilvl w:val="0"/>
          <w:numId w:val="27"/>
        </w:num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art. 233 § 1 k.p.c. w zw. z art. 84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w</w:t>
      </w:r>
      <w:r>
        <w:rPr>
          <w:rFonts w:ascii="Times New Roman" w:hAnsi="Times New Roman" w:cs="Times New Roman"/>
          <w:bCs/>
          <w:sz w:val="24"/>
          <w:szCs w:val="24"/>
        </w:rPr>
        <w:t xml:space="preserve"> zw. z art. 7 k.p.a. w zw. z art. 83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 ust. 1 i 2 oraz art. 12 </w:t>
      </w:r>
      <w:proofErr w:type="spellStart"/>
      <w:r>
        <w:rPr>
          <w:rFonts w:ascii="Times New Roman" w:hAnsi="Times New Roman" w:cs="Times New Roman"/>
          <w:bCs/>
          <w:sz w:val="24"/>
          <w:szCs w:val="24"/>
        </w:rPr>
        <w:t>PrPrzed</w:t>
      </w:r>
      <w:proofErr w:type="spellEnd"/>
      <w:r>
        <w:rPr>
          <w:rFonts w:ascii="Times New Roman" w:hAnsi="Times New Roman" w:cs="Times New Roman"/>
          <w:bCs/>
          <w:sz w:val="24"/>
          <w:szCs w:val="24"/>
        </w:rPr>
        <w:t xml:space="preserve"> poprzez:</w:t>
      </w:r>
    </w:p>
    <w:p w:rsidR="006C2E2F" w:rsidRDefault="00D86529">
      <w:pPr>
        <w:pStyle w:val="Akapitzlist"/>
        <w:numPr>
          <w:ilvl w:val="0"/>
          <w:numId w:val="28"/>
        </w:numPr>
        <w:spacing w:before="240" w:after="0" w:line="360" w:lineRule="auto"/>
        <w:ind w:left="1276" w:hanging="283"/>
        <w:jc w:val="both"/>
        <w:rPr>
          <w:rFonts w:ascii="Times New Roman" w:hAnsi="Times New Roman" w:cs="Times New Roman"/>
          <w:bCs/>
          <w:sz w:val="24"/>
          <w:szCs w:val="24"/>
        </w:rPr>
      </w:pPr>
      <w:r>
        <w:rPr>
          <w:rFonts w:ascii="Times New Roman" w:hAnsi="Times New Roman" w:cs="Times New Roman"/>
          <w:bCs/>
          <w:sz w:val="24"/>
          <w:szCs w:val="24"/>
        </w:rPr>
        <w:t>błędne, sprzeczne ze zgromadzonym materiałem dowodowym ustalenie, że PZM posiada ok. 44,4% udziałów w kapitale zakładowym EŻ, podczas gdy PZM posiada 58,29% ud</w:t>
      </w:r>
      <w:r>
        <w:rPr>
          <w:rFonts w:ascii="Times New Roman" w:hAnsi="Times New Roman" w:cs="Times New Roman"/>
          <w:bCs/>
          <w:sz w:val="24"/>
          <w:szCs w:val="24"/>
        </w:rPr>
        <w:t>ziałów w EŻ oraz, że PZM nie kontroluje samodzielnie i nie wywiera decydującego wpływu na działalność EŻ, podczas gdy z przedstawionego materiału dowodowego wynika jednoznacznie, że PZM sprawuje kontrolę nad EŻ, co miało wpływ na wynik postępowania i skutk</w:t>
      </w:r>
      <w:r>
        <w:rPr>
          <w:rFonts w:ascii="Times New Roman" w:hAnsi="Times New Roman" w:cs="Times New Roman"/>
          <w:bCs/>
          <w:sz w:val="24"/>
          <w:szCs w:val="24"/>
        </w:rPr>
        <w:t xml:space="preserve">owało uznaniem, że PZM oraz EŻ mogą podlegać odpowiedzialności antymonopolowej za zawarcie </w:t>
      </w:r>
      <w:proofErr w:type="spellStart"/>
      <w:r>
        <w:rPr>
          <w:rFonts w:ascii="Times New Roman" w:hAnsi="Times New Roman" w:cs="Times New Roman"/>
          <w:bCs/>
          <w:sz w:val="24"/>
          <w:szCs w:val="24"/>
        </w:rPr>
        <w:t>antykonkurencyjnego</w:t>
      </w:r>
      <w:proofErr w:type="spellEnd"/>
      <w:r>
        <w:rPr>
          <w:rFonts w:ascii="Times New Roman" w:hAnsi="Times New Roman" w:cs="Times New Roman"/>
          <w:bCs/>
          <w:sz w:val="24"/>
          <w:szCs w:val="24"/>
        </w:rPr>
        <w:t xml:space="preserve"> porozumienia jako odrębni przedsiębiorcy;</w:t>
      </w:r>
    </w:p>
    <w:p w:rsidR="006C2E2F" w:rsidRDefault="00D86529">
      <w:pPr>
        <w:pStyle w:val="Akapitzlist"/>
        <w:numPr>
          <w:ilvl w:val="0"/>
          <w:numId w:val="28"/>
        </w:numPr>
        <w:spacing w:before="240" w:after="0" w:line="360" w:lineRule="auto"/>
        <w:ind w:left="1276" w:hanging="283"/>
        <w:jc w:val="both"/>
        <w:rPr>
          <w:rFonts w:ascii="Times New Roman" w:hAnsi="Times New Roman" w:cs="Times New Roman"/>
          <w:bCs/>
          <w:sz w:val="24"/>
          <w:szCs w:val="24"/>
        </w:rPr>
      </w:pPr>
      <w:r>
        <w:rPr>
          <w:rFonts w:ascii="Times New Roman" w:hAnsi="Times New Roman" w:cs="Times New Roman"/>
          <w:bCs/>
          <w:sz w:val="24"/>
          <w:szCs w:val="24"/>
        </w:rPr>
        <w:lastRenderedPageBreak/>
        <w:t>wadliwą ocenę umów o zarządzanie ligą zawodową, określających podział kompetencji w zakresie prowadzeni</w:t>
      </w:r>
      <w:r>
        <w:rPr>
          <w:rFonts w:ascii="Times New Roman" w:hAnsi="Times New Roman" w:cs="Times New Roman"/>
          <w:bCs/>
          <w:sz w:val="24"/>
          <w:szCs w:val="24"/>
        </w:rPr>
        <w:t>a rozgrywek o Drużynowe Mistrzostwo Polski na żużlu odpowiednio z 16 września 2020 r. („Umowa o zarządzanie”), z 1 sierpnia 2017 r. oraz z 30 października 2015 r. oraz korespondencji e-mail z 30 stycznia 2022 r. i wyprowadzenie wniosków, które z nich nie w</w:t>
      </w:r>
      <w:r>
        <w:rPr>
          <w:rFonts w:ascii="Times New Roman" w:hAnsi="Times New Roman" w:cs="Times New Roman"/>
          <w:bCs/>
          <w:sz w:val="24"/>
          <w:szCs w:val="24"/>
        </w:rPr>
        <w:t>ynikają, tj., że EŻ ma wiążący wpływ na ustalenie treści Regulaminu i Załącznika, podczas gdy ustalenie treści Regulaminu i Załącznika należy do wyłącznych uprawnień ustawowych PZM (określonych w art. 13 ust 1 pkt 1 i 2 ustawy o sporcie), zaś kolejne ww. u</w:t>
      </w:r>
      <w:r>
        <w:rPr>
          <w:rFonts w:ascii="Times New Roman" w:hAnsi="Times New Roman" w:cs="Times New Roman"/>
          <w:bCs/>
          <w:sz w:val="24"/>
          <w:szCs w:val="24"/>
        </w:rPr>
        <w:t xml:space="preserve">mowy o zarządzanie ligą zawodową nie wymagały konsultacji w zakresie stawek wynagrodzeń, co miało wpływ na wynik postępowania, bowiem doprowadziło do błędnych ustaleń faktycznych i uznania, że pomiędzy stronami doszło do zawarcia </w:t>
      </w:r>
      <w:proofErr w:type="spellStart"/>
      <w:r>
        <w:rPr>
          <w:rFonts w:ascii="Times New Roman" w:hAnsi="Times New Roman" w:cs="Times New Roman"/>
          <w:bCs/>
          <w:sz w:val="24"/>
          <w:szCs w:val="24"/>
        </w:rPr>
        <w:t>antykonkurencyjnego</w:t>
      </w:r>
      <w:proofErr w:type="spellEnd"/>
      <w:r>
        <w:rPr>
          <w:rFonts w:ascii="Times New Roman" w:hAnsi="Times New Roman" w:cs="Times New Roman"/>
          <w:bCs/>
          <w:sz w:val="24"/>
          <w:szCs w:val="24"/>
        </w:rPr>
        <w:t xml:space="preserve"> porozu</w:t>
      </w:r>
      <w:r>
        <w:rPr>
          <w:rFonts w:ascii="Times New Roman" w:hAnsi="Times New Roman" w:cs="Times New Roman"/>
          <w:bCs/>
          <w:sz w:val="24"/>
          <w:szCs w:val="24"/>
        </w:rPr>
        <w:t>mienia;</w:t>
      </w:r>
    </w:p>
    <w:p w:rsidR="006C2E2F" w:rsidRDefault="00D86529">
      <w:pPr>
        <w:pStyle w:val="Akapitzlist"/>
        <w:numPr>
          <w:ilvl w:val="0"/>
          <w:numId w:val="28"/>
        </w:numPr>
        <w:spacing w:before="240" w:after="0" w:line="360" w:lineRule="auto"/>
        <w:ind w:left="1276" w:hanging="283"/>
        <w:jc w:val="both"/>
        <w:rPr>
          <w:rFonts w:ascii="Times New Roman" w:hAnsi="Times New Roman" w:cs="Times New Roman"/>
          <w:bCs/>
          <w:sz w:val="24"/>
          <w:szCs w:val="24"/>
        </w:rPr>
      </w:pPr>
      <w:r>
        <w:rPr>
          <w:rFonts w:ascii="Times New Roman" w:hAnsi="Times New Roman" w:cs="Times New Roman"/>
          <w:bCs/>
          <w:sz w:val="24"/>
          <w:szCs w:val="24"/>
        </w:rPr>
        <w:t>brak wszechstronnego rozważenia zebranego w sprawie materiału dowodowego, wyrażający się w bezpodstawnym pominięciu przy wydawaniu decyzji, znajdującego się w aktach sprawy zestawienia transferów zawodników w latach 2007 – 2022, co miało istotny wp</w:t>
      </w:r>
      <w:r>
        <w:rPr>
          <w:rFonts w:ascii="Times New Roman" w:hAnsi="Times New Roman" w:cs="Times New Roman"/>
          <w:bCs/>
          <w:sz w:val="24"/>
          <w:szCs w:val="24"/>
        </w:rPr>
        <w:t>ływ na wynik postępowania, bowiem doprowadziło do błędnych ustaleń faktycznych, skutkującym stwierdzeniem przez Prezesa UOKiK, że działanie zarzucane stronom miało na celu i doprowadziło do ograniczenia konkurencji pomiędzy klubami żużlowymi, podczas gdy p</w:t>
      </w:r>
      <w:r>
        <w:rPr>
          <w:rFonts w:ascii="Times New Roman" w:hAnsi="Times New Roman" w:cs="Times New Roman"/>
          <w:bCs/>
          <w:sz w:val="24"/>
          <w:szCs w:val="24"/>
        </w:rPr>
        <w:t>ostanowienia Regulaminu i Załącznika nie ograniczały swobody kontraktowania zawodników i transfer zawodników pomiędzy klubami był niezakłócony, zaś zarzucana praktyka nie ograniczała konkurencji;</w:t>
      </w:r>
    </w:p>
    <w:p w:rsidR="006C2E2F" w:rsidRDefault="00D86529">
      <w:pPr>
        <w:pStyle w:val="Akapitzlist"/>
        <w:numPr>
          <w:ilvl w:val="0"/>
          <w:numId w:val="27"/>
        </w:num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art. 231 k.p.c. w zw. z art. 84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poprzez przyjęcie, że</w:t>
      </w:r>
      <w:r>
        <w:rPr>
          <w:rFonts w:ascii="Times New Roman" w:hAnsi="Times New Roman" w:cs="Times New Roman"/>
          <w:bCs/>
          <w:sz w:val="24"/>
          <w:szCs w:val="24"/>
        </w:rPr>
        <w:t xml:space="preserve"> bez wsparcia i akceptacji EŻ, PZM nie byłby w stanie lub miał istotnie ograniczoną możliwość wprowadzenia i utrzymywania regulacji dotyczących maksymalnych stawek wynagrodzeń zawodników, a także, że EŻ „współdziałała” w ustalaniu stawek od 4 listopada 201</w:t>
      </w:r>
      <w:r>
        <w:rPr>
          <w:rFonts w:ascii="Times New Roman" w:hAnsi="Times New Roman" w:cs="Times New Roman"/>
          <w:bCs/>
          <w:sz w:val="24"/>
          <w:szCs w:val="24"/>
        </w:rPr>
        <w:t>3 r., co nie wynika ze zgromadzonego materiału dowodowego, a co miało istotny wpływ na wynik postępowania ponieważ miało wpływ na nieprawidłowe ustalenie okresu trwania zarzucanego naruszenia i doprowadziło do stwierdzenia przez organ, że strony nie stanow</w:t>
      </w:r>
      <w:r>
        <w:rPr>
          <w:rFonts w:ascii="Times New Roman" w:hAnsi="Times New Roman" w:cs="Times New Roman"/>
          <w:bCs/>
          <w:sz w:val="24"/>
          <w:szCs w:val="24"/>
        </w:rPr>
        <w:t xml:space="preserve">ią jednego organizmu gospodarczego i zawarły </w:t>
      </w:r>
      <w:proofErr w:type="spellStart"/>
      <w:r>
        <w:rPr>
          <w:rFonts w:ascii="Times New Roman" w:hAnsi="Times New Roman" w:cs="Times New Roman"/>
          <w:bCs/>
          <w:sz w:val="24"/>
          <w:szCs w:val="24"/>
        </w:rPr>
        <w:t>antykonkurencyjne</w:t>
      </w:r>
      <w:proofErr w:type="spellEnd"/>
      <w:r>
        <w:rPr>
          <w:rFonts w:ascii="Times New Roman" w:hAnsi="Times New Roman" w:cs="Times New Roman"/>
          <w:bCs/>
          <w:sz w:val="24"/>
          <w:szCs w:val="24"/>
        </w:rPr>
        <w:t xml:space="preserve"> porozumienie, podczas gdy PZM posiada wyłączne kompetencje ustawowe w zakresie ustanawiania i realizacji reguł sportowych, organizacyjnych i dyscyplinarnych we współzawodnictwie sportowym organ</w:t>
      </w:r>
      <w:r>
        <w:rPr>
          <w:rFonts w:ascii="Times New Roman" w:hAnsi="Times New Roman" w:cs="Times New Roman"/>
          <w:bCs/>
          <w:sz w:val="24"/>
          <w:szCs w:val="24"/>
        </w:rPr>
        <w:t xml:space="preserve">izowanym przez PZM, w tym w szczególności, w </w:t>
      </w:r>
      <w:r>
        <w:rPr>
          <w:rFonts w:ascii="Times New Roman" w:hAnsi="Times New Roman" w:cs="Times New Roman"/>
          <w:bCs/>
          <w:sz w:val="24"/>
          <w:szCs w:val="24"/>
        </w:rPr>
        <w:lastRenderedPageBreak/>
        <w:t>organizowanym i prowadzonym przez PZM współzawodnictwie sportowym o tytuł Mistrza Polski;</w:t>
      </w:r>
    </w:p>
    <w:p w:rsidR="006C2E2F" w:rsidRDefault="00D86529">
      <w:pPr>
        <w:pStyle w:val="Akapitzlist"/>
        <w:numPr>
          <w:ilvl w:val="0"/>
          <w:numId w:val="27"/>
        </w:num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rażące naruszenie art. 54 ust.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w zw. z art. 227 k.p.c. w zw. z art. 235</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 1 pkt 2 k.p.c. w zw. z art. 84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w:t>
      </w:r>
      <w:r>
        <w:rPr>
          <w:rFonts w:ascii="Times New Roman" w:hAnsi="Times New Roman" w:cs="Times New Roman"/>
          <w:bCs/>
          <w:sz w:val="24"/>
          <w:szCs w:val="24"/>
        </w:rPr>
        <w:t xml:space="preserve">poprzez bezpodstawne pominięcie wniosku o przeprowadzenie dowodu z opinii biegłego z zakresu sportu żużlowego, podczas gdy ustalenie z wpływu regulacji limitującej wynagrodzenie kontraktowe oraz źródeł przychodów zawodników sportu żużlowego było konieczne </w:t>
      </w:r>
      <w:r>
        <w:rPr>
          <w:rFonts w:ascii="Times New Roman" w:hAnsi="Times New Roman" w:cs="Times New Roman"/>
          <w:bCs/>
          <w:sz w:val="24"/>
          <w:szCs w:val="24"/>
        </w:rPr>
        <w:t>dla ustalenia celu, funkcji oraz kontekstu gospodarczego, które należało zbadać na potrzeby dokonania materialnoprawnej kwalifikacji zarzuconego naruszenia;</w:t>
      </w:r>
    </w:p>
    <w:p w:rsidR="006C2E2F" w:rsidRDefault="00D86529">
      <w:pPr>
        <w:pStyle w:val="Akapitzlist"/>
        <w:numPr>
          <w:ilvl w:val="0"/>
          <w:numId w:val="27"/>
        </w:num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art. 227 k.p.c. w zw. z art. 235</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 1 pkt 2 k.p.c. w zw. z art. 84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poprzez pominięcie wniosk</w:t>
      </w:r>
      <w:r>
        <w:rPr>
          <w:rFonts w:ascii="Times New Roman" w:hAnsi="Times New Roman" w:cs="Times New Roman"/>
          <w:bCs/>
          <w:sz w:val="24"/>
          <w:szCs w:val="24"/>
        </w:rPr>
        <w:t xml:space="preserve">ów dowodowych stron z zeznań świadków, przesłuchania stron, umów oraz dokumentów ze wzorami </w:t>
      </w:r>
      <w:proofErr w:type="spellStart"/>
      <w:r>
        <w:rPr>
          <w:rFonts w:ascii="Times New Roman" w:hAnsi="Times New Roman" w:cs="Times New Roman"/>
          <w:bCs/>
          <w:sz w:val="24"/>
          <w:szCs w:val="24"/>
        </w:rPr>
        <w:t>kevlarów</w:t>
      </w:r>
      <w:proofErr w:type="spellEnd"/>
      <w:r>
        <w:rPr>
          <w:rFonts w:ascii="Times New Roman" w:hAnsi="Times New Roman" w:cs="Times New Roman"/>
          <w:bCs/>
          <w:sz w:val="24"/>
          <w:szCs w:val="24"/>
        </w:rPr>
        <w:t>, kasków i obszyć motocykla, a także pisma stron z 2 września 2022 r., dotyczącego finalnej propozycji zobowiązania, podczas gdy dowody te miały na celu wyk</w:t>
      </w:r>
      <w:r>
        <w:rPr>
          <w:rFonts w:ascii="Times New Roman" w:hAnsi="Times New Roman" w:cs="Times New Roman"/>
          <w:bCs/>
          <w:sz w:val="24"/>
          <w:szCs w:val="24"/>
        </w:rPr>
        <w:t xml:space="preserve">azać m.in. celowość, słuszność, proporcjonalność i funkcjonalność uchwalenia postanowień Regulaminu i Załącznika, wprowadzających </w:t>
      </w:r>
      <w:proofErr w:type="spellStart"/>
      <w:r>
        <w:rPr>
          <w:rFonts w:ascii="Times New Roman" w:hAnsi="Times New Roman" w:cs="Times New Roman"/>
          <w:bCs/>
          <w:sz w:val="24"/>
          <w:szCs w:val="24"/>
        </w:rPr>
        <w:t>Salary</w:t>
      </w:r>
      <w:proofErr w:type="spellEnd"/>
      <w:r>
        <w:rPr>
          <w:rFonts w:ascii="Times New Roman" w:hAnsi="Times New Roman" w:cs="Times New Roman"/>
          <w:bCs/>
          <w:sz w:val="24"/>
          <w:szCs w:val="24"/>
        </w:rPr>
        <w:t xml:space="preserve"> Cap oraz brak realnego oraz potencjalnego wpływu limitu stawek na konkurencję, zgodność działalności stron z prawem i d</w:t>
      </w:r>
      <w:r>
        <w:rPr>
          <w:rFonts w:ascii="Times New Roman" w:hAnsi="Times New Roman" w:cs="Times New Roman"/>
          <w:bCs/>
          <w:sz w:val="24"/>
          <w:szCs w:val="24"/>
        </w:rPr>
        <w:t>okonywania uzgodnień w tym zakresie z Ministrem Sportu i Turystyki oraz faktyczny charakter zarzucanego stronom naruszenia i tym samym wykazania, że zachowanie stron nie stanowiło jednego z najpoważniejszych naruszeń prawa konkurencji (kartelu cenowego), a</w:t>
      </w:r>
      <w:r>
        <w:rPr>
          <w:rFonts w:ascii="Times New Roman" w:hAnsi="Times New Roman" w:cs="Times New Roman"/>
          <w:bCs/>
          <w:sz w:val="24"/>
          <w:szCs w:val="24"/>
        </w:rPr>
        <w:t xml:space="preserve"> w razie uznania, że stanowiło, to spełniało warunki wyłączenia indywidualnego na podstawie przepisu art. 8 ust.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w:t>
      </w:r>
    </w:p>
    <w:p w:rsidR="006C2E2F" w:rsidRDefault="00D86529">
      <w:pPr>
        <w:pStyle w:val="Akapitzlist"/>
        <w:numPr>
          <w:ilvl w:val="0"/>
          <w:numId w:val="27"/>
        </w:numPr>
        <w:spacing w:before="240" w:after="0" w:line="360" w:lineRule="auto"/>
        <w:ind w:left="714"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rażące naruszenie art. 60 ust. 1 ustawy </w:t>
      </w:r>
      <w:proofErr w:type="spellStart"/>
      <w:r>
        <w:rPr>
          <w:rFonts w:ascii="Times New Roman" w:hAnsi="Times New Roman" w:cs="Times New Roman"/>
          <w:bCs/>
          <w:sz w:val="24"/>
          <w:szCs w:val="24"/>
        </w:rPr>
        <w:t>o.k.k</w:t>
      </w:r>
      <w:proofErr w:type="spellEnd"/>
      <w:r>
        <w:rPr>
          <w:rFonts w:ascii="Times New Roman" w:hAnsi="Times New Roman" w:cs="Times New Roman"/>
          <w:bCs/>
          <w:sz w:val="24"/>
          <w:szCs w:val="24"/>
        </w:rPr>
        <w:t>., poprzez brak przeprowadzenia rozprawy administracyjnej w toku postępowania antymonopol</w:t>
      </w:r>
      <w:r>
        <w:rPr>
          <w:rFonts w:ascii="Times New Roman" w:hAnsi="Times New Roman" w:cs="Times New Roman"/>
          <w:bCs/>
          <w:sz w:val="24"/>
          <w:szCs w:val="24"/>
        </w:rPr>
        <w:t>owego, pomimo że była ona konieczna dla prawidłowego ustalenia stanu faktycznego i rozpoznania sprawy.</w:t>
      </w:r>
    </w:p>
    <w:p w:rsidR="006C2E2F" w:rsidRDefault="00D86529">
      <w:pPr>
        <w:pStyle w:val="Akapitzlist"/>
        <w:numPr>
          <w:ilvl w:val="0"/>
          <w:numId w:val="23"/>
        </w:numPr>
        <w:spacing w:before="240"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naruszenie przepisów dotyczących wymiaru kary, tj.:</w:t>
      </w:r>
    </w:p>
    <w:p w:rsidR="006C2E2F" w:rsidRDefault="00D86529">
      <w:pPr>
        <w:pStyle w:val="Akapitzlist"/>
        <w:numPr>
          <w:ilvl w:val="0"/>
          <w:numId w:val="27"/>
        </w:num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art. 106 ust. 1 pkt 1 i 2. ustawy, poprzez jego błędną wykładnię i w konsekwencji niewłaściwe zastoso</w:t>
      </w:r>
      <w:r>
        <w:rPr>
          <w:rFonts w:ascii="Times New Roman" w:hAnsi="Times New Roman" w:cs="Times New Roman"/>
          <w:bCs/>
          <w:sz w:val="24"/>
          <w:szCs w:val="24"/>
        </w:rPr>
        <w:t xml:space="preserve">wanie, poprzez nałożenie administracyjnej kary pieniężnej na EŻ, której faktycznie zarzucono pomocnictwo w naruszeniu, podczas gdy przepisy te stanowią podstawę wyłącznie do nałożenia kary na tego, kto dopuścił się naruszenia, tj. zawarł </w:t>
      </w:r>
      <w:proofErr w:type="spellStart"/>
      <w:r>
        <w:rPr>
          <w:rFonts w:ascii="Times New Roman" w:hAnsi="Times New Roman" w:cs="Times New Roman"/>
          <w:bCs/>
          <w:sz w:val="24"/>
          <w:szCs w:val="24"/>
        </w:rPr>
        <w:t>antykonkurencyjne</w:t>
      </w:r>
      <w:proofErr w:type="spellEnd"/>
      <w:r>
        <w:rPr>
          <w:rFonts w:ascii="Times New Roman" w:hAnsi="Times New Roman" w:cs="Times New Roman"/>
          <w:bCs/>
          <w:sz w:val="24"/>
          <w:szCs w:val="24"/>
        </w:rPr>
        <w:t xml:space="preserve"> </w:t>
      </w:r>
      <w:r>
        <w:rPr>
          <w:rFonts w:ascii="Times New Roman" w:hAnsi="Times New Roman" w:cs="Times New Roman"/>
          <w:bCs/>
          <w:sz w:val="24"/>
          <w:szCs w:val="24"/>
        </w:rPr>
        <w:t xml:space="preserve">porozumienie, a nie był „pomocnikiem”, tj. nie zawarł </w:t>
      </w:r>
      <w:proofErr w:type="spellStart"/>
      <w:r>
        <w:rPr>
          <w:rFonts w:ascii="Times New Roman" w:hAnsi="Times New Roman" w:cs="Times New Roman"/>
          <w:bCs/>
          <w:sz w:val="24"/>
          <w:szCs w:val="24"/>
        </w:rPr>
        <w:t>antykonkurencyjnego</w:t>
      </w:r>
      <w:proofErr w:type="spellEnd"/>
      <w:r>
        <w:rPr>
          <w:rFonts w:ascii="Times New Roman" w:hAnsi="Times New Roman" w:cs="Times New Roman"/>
          <w:bCs/>
          <w:sz w:val="24"/>
          <w:szCs w:val="24"/>
        </w:rPr>
        <w:t xml:space="preserve"> porozumienia;</w:t>
      </w:r>
    </w:p>
    <w:p w:rsidR="006C2E2F" w:rsidRDefault="00D86529">
      <w:pPr>
        <w:pStyle w:val="Akapitzlist"/>
        <w:numPr>
          <w:ilvl w:val="0"/>
          <w:numId w:val="27"/>
        </w:num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art. 106 ust. 1 pkt 1 i 2, art. 111 ust. 1 pkt 1 w zw. z ust. 2 oraz ust. 4 pkt 1 lit. d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poprzez ich niewłaściwe zastosowanie, polegające na wymierzeniu kary pie</w:t>
      </w:r>
      <w:r>
        <w:rPr>
          <w:rFonts w:ascii="Times New Roman" w:hAnsi="Times New Roman" w:cs="Times New Roman"/>
          <w:bCs/>
          <w:sz w:val="24"/>
          <w:szCs w:val="24"/>
        </w:rPr>
        <w:t>niężnej:</w:t>
      </w:r>
    </w:p>
    <w:p w:rsidR="006C2E2F" w:rsidRDefault="00D86529">
      <w:pPr>
        <w:pStyle w:val="Akapitzlist"/>
        <w:numPr>
          <w:ilvl w:val="0"/>
          <w:numId w:val="29"/>
        </w:numPr>
        <w:spacing w:before="240" w:after="0" w:line="360" w:lineRule="auto"/>
        <w:ind w:left="1276"/>
        <w:jc w:val="both"/>
        <w:rPr>
          <w:rFonts w:ascii="Times New Roman" w:hAnsi="Times New Roman" w:cs="Times New Roman"/>
          <w:bCs/>
          <w:sz w:val="24"/>
          <w:szCs w:val="24"/>
        </w:rPr>
      </w:pPr>
      <w:r>
        <w:rPr>
          <w:rFonts w:ascii="Times New Roman" w:hAnsi="Times New Roman" w:cs="Times New Roman"/>
          <w:bCs/>
          <w:sz w:val="24"/>
          <w:szCs w:val="24"/>
        </w:rPr>
        <w:lastRenderedPageBreak/>
        <w:t>pomimo precedensowego charakteru zarzucanego naruszenia, niespotykanego w dotychczasowym orzecznictwie krajowym, co powinno skutkować odstąpieniem od wymierzenia kary pieniężnej;</w:t>
      </w:r>
    </w:p>
    <w:p w:rsidR="006C2E2F" w:rsidRDefault="00D86529">
      <w:pPr>
        <w:pStyle w:val="Akapitzlist"/>
        <w:numPr>
          <w:ilvl w:val="0"/>
          <w:numId w:val="29"/>
        </w:numPr>
        <w:spacing w:before="240" w:after="0" w:line="360" w:lineRule="auto"/>
        <w:ind w:left="1276"/>
        <w:jc w:val="both"/>
        <w:rPr>
          <w:rFonts w:ascii="Times New Roman" w:hAnsi="Times New Roman" w:cs="Times New Roman"/>
          <w:bCs/>
          <w:sz w:val="24"/>
          <w:szCs w:val="24"/>
        </w:rPr>
      </w:pPr>
      <w:r>
        <w:rPr>
          <w:rFonts w:ascii="Times New Roman" w:hAnsi="Times New Roman" w:cs="Times New Roman"/>
          <w:bCs/>
          <w:sz w:val="24"/>
          <w:szCs w:val="24"/>
        </w:rPr>
        <w:t xml:space="preserve">bez przeprowadzenia w tym zakresie jakiegokolwiek postępowania </w:t>
      </w:r>
      <w:r>
        <w:rPr>
          <w:rFonts w:ascii="Times New Roman" w:hAnsi="Times New Roman" w:cs="Times New Roman"/>
          <w:bCs/>
          <w:sz w:val="24"/>
          <w:szCs w:val="24"/>
        </w:rPr>
        <w:t>dowodowego i w konsekwencji, przy błędnym przyjęciu umyślności stron w naruszeniu, co stanowiło istotną okoliczność obciążającą i skutkowało podwyższeniem kary pieniężnej;</w:t>
      </w:r>
    </w:p>
    <w:p w:rsidR="006C2E2F" w:rsidRDefault="00D86529">
      <w:pPr>
        <w:pStyle w:val="Akapitzlist"/>
        <w:numPr>
          <w:ilvl w:val="0"/>
          <w:numId w:val="29"/>
        </w:numPr>
        <w:spacing w:before="240" w:after="0" w:line="360" w:lineRule="auto"/>
        <w:ind w:left="1276"/>
        <w:jc w:val="both"/>
        <w:rPr>
          <w:rFonts w:ascii="Times New Roman" w:hAnsi="Times New Roman" w:cs="Times New Roman"/>
          <w:bCs/>
          <w:sz w:val="24"/>
          <w:szCs w:val="24"/>
        </w:rPr>
      </w:pPr>
      <w:r>
        <w:rPr>
          <w:rFonts w:ascii="Times New Roman" w:hAnsi="Times New Roman" w:cs="Times New Roman"/>
          <w:bCs/>
          <w:sz w:val="24"/>
          <w:szCs w:val="24"/>
        </w:rPr>
        <w:t>z pominięciem, przy ustalaniu kwoty wyjściowej kary, że obrót EŻ obejmuje także jedn</w:t>
      </w:r>
      <w:r>
        <w:rPr>
          <w:rFonts w:ascii="Times New Roman" w:hAnsi="Times New Roman" w:cs="Times New Roman"/>
          <w:bCs/>
          <w:sz w:val="24"/>
          <w:szCs w:val="24"/>
        </w:rPr>
        <w:t>orazowe, nadzwyczajne przychody, które podlegają podziałowi z klubami żużlowymi, wobec czego wyjściowa kwota kary jest nieadekwatna i nie odzwierciedla potencjału ekonomicznego EŻ;</w:t>
      </w:r>
    </w:p>
    <w:p w:rsidR="006C2E2F" w:rsidRDefault="00D86529">
      <w:pPr>
        <w:pStyle w:val="Akapitzlist"/>
        <w:numPr>
          <w:ilvl w:val="0"/>
          <w:numId w:val="29"/>
        </w:numPr>
        <w:spacing w:before="240" w:after="0" w:line="360" w:lineRule="auto"/>
        <w:ind w:left="1276"/>
        <w:jc w:val="both"/>
        <w:rPr>
          <w:rFonts w:ascii="Times New Roman" w:hAnsi="Times New Roman" w:cs="Times New Roman"/>
          <w:bCs/>
          <w:sz w:val="24"/>
          <w:szCs w:val="24"/>
        </w:rPr>
      </w:pPr>
      <w:r>
        <w:rPr>
          <w:rFonts w:ascii="Times New Roman" w:hAnsi="Times New Roman" w:cs="Times New Roman"/>
          <w:bCs/>
          <w:sz w:val="24"/>
          <w:szCs w:val="24"/>
        </w:rPr>
        <w:t>przy błędnym ustaleniu, że zarzucana EŻ praktyka zaliczała się do „bardzo p</w:t>
      </w:r>
      <w:r>
        <w:rPr>
          <w:rFonts w:ascii="Times New Roman" w:hAnsi="Times New Roman" w:cs="Times New Roman"/>
          <w:bCs/>
          <w:sz w:val="24"/>
          <w:szCs w:val="24"/>
        </w:rPr>
        <w:t xml:space="preserve">oważnych naruszeń" prawa konkurencji, podczas gdy pomiędzy PZM i EŻ – nawet gdyby nie stanowili jednolitego organizmu gospodarczego – nie zachodzą relacje ani horyzontalne, ani wertykalne, co wyklucza twierdzenie o poważnym naruszeniu prawa konkurencji, a </w:t>
      </w:r>
      <w:r>
        <w:rPr>
          <w:rFonts w:ascii="Times New Roman" w:hAnsi="Times New Roman" w:cs="Times New Roman"/>
          <w:bCs/>
          <w:sz w:val="24"/>
          <w:szCs w:val="24"/>
        </w:rPr>
        <w:t>co skutkowało podwyższeniem kary pieniężnej;</w:t>
      </w:r>
    </w:p>
    <w:p w:rsidR="006C2E2F" w:rsidRDefault="00D86529">
      <w:pPr>
        <w:pStyle w:val="Akapitzlist"/>
        <w:numPr>
          <w:ilvl w:val="0"/>
          <w:numId w:val="29"/>
        </w:numPr>
        <w:spacing w:before="240" w:after="0" w:line="360" w:lineRule="auto"/>
        <w:ind w:left="1276"/>
        <w:jc w:val="both"/>
        <w:rPr>
          <w:rFonts w:ascii="Times New Roman" w:hAnsi="Times New Roman" w:cs="Times New Roman"/>
          <w:bCs/>
          <w:sz w:val="24"/>
          <w:szCs w:val="24"/>
        </w:rPr>
      </w:pPr>
      <w:r>
        <w:rPr>
          <w:rFonts w:ascii="Times New Roman" w:hAnsi="Times New Roman" w:cs="Times New Roman"/>
          <w:bCs/>
          <w:sz w:val="24"/>
          <w:szCs w:val="24"/>
        </w:rPr>
        <w:t xml:space="preserve">z pominięciem uwzględnienia braku uprzedniego naruszenia przepisów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przez EŻ;</w:t>
      </w:r>
    </w:p>
    <w:p w:rsidR="006C2E2F" w:rsidRDefault="00D86529">
      <w:pPr>
        <w:pStyle w:val="Akapitzlist"/>
        <w:numPr>
          <w:ilvl w:val="0"/>
          <w:numId w:val="29"/>
        </w:numPr>
        <w:spacing w:before="240" w:after="0" w:line="360" w:lineRule="auto"/>
        <w:ind w:left="1276"/>
        <w:jc w:val="both"/>
        <w:rPr>
          <w:rFonts w:ascii="Times New Roman" w:hAnsi="Times New Roman" w:cs="Times New Roman"/>
          <w:bCs/>
          <w:sz w:val="24"/>
          <w:szCs w:val="24"/>
        </w:rPr>
      </w:pPr>
      <w:r>
        <w:rPr>
          <w:rFonts w:ascii="Times New Roman" w:hAnsi="Times New Roman" w:cs="Times New Roman"/>
          <w:bCs/>
          <w:sz w:val="24"/>
          <w:szCs w:val="24"/>
        </w:rPr>
        <w:t>z pominięciem przesłanki łagodzącej w postaci braku zastrzeżeń Ministra Sportu i Turystyki wobec EŻ, w odniesieniu do Regulaminu</w:t>
      </w:r>
      <w:r>
        <w:rPr>
          <w:rFonts w:ascii="Times New Roman" w:hAnsi="Times New Roman" w:cs="Times New Roman"/>
          <w:bCs/>
          <w:sz w:val="24"/>
          <w:szCs w:val="24"/>
        </w:rPr>
        <w:t xml:space="preserve"> i Załącznika, co świadczy również jednoznacznie o braku umyślności EŻ w rzekomym naruszeniu;</w:t>
      </w:r>
    </w:p>
    <w:p w:rsidR="006C2E2F" w:rsidRDefault="00D86529">
      <w:pPr>
        <w:pStyle w:val="Akapitzlist"/>
        <w:numPr>
          <w:ilvl w:val="0"/>
          <w:numId w:val="29"/>
        </w:numPr>
        <w:spacing w:before="240" w:after="0" w:line="360" w:lineRule="auto"/>
        <w:ind w:left="1276"/>
        <w:jc w:val="both"/>
        <w:rPr>
          <w:rFonts w:ascii="Times New Roman" w:hAnsi="Times New Roman" w:cs="Times New Roman"/>
          <w:bCs/>
          <w:sz w:val="24"/>
          <w:szCs w:val="24"/>
        </w:rPr>
      </w:pPr>
      <w:r>
        <w:rPr>
          <w:rFonts w:ascii="Times New Roman" w:hAnsi="Times New Roman" w:cs="Times New Roman"/>
          <w:bCs/>
          <w:sz w:val="24"/>
          <w:szCs w:val="24"/>
        </w:rPr>
        <w:t xml:space="preserve">w wysokości rażąco nieadekwatnej do charakteru i skutków zarzucanego naruszenia przepisów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okoliczności zarzucanego naruszenia;</w:t>
      </w:r>
    </w:p>
    <w:p w:rsidR="006C2E2F" w:rsidRDefault="00D86529">
      <w:pPr>
        <w:pStyle w:val="Akapitzlist"/>
        <w:numPr>
          <w:ilvl w:val="0"/>
          <w:numId w:val="29"/>
        </w:numPr>
        <w:spacing w:before="240" w:after="0" w:line="360" w:lineRule="auto"/>
        <w:ind w:left="1276"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t>przy błędnym ustaleniu o</w:t>
      </w:r>
      <w:r>
        <w:rPr>
          <w:rFonts w:ascii="Times New Roman" w:hAnsi="Times New Roman" w:cs="Times New Roman"/>
          <w:bCs/>
          <w:sz w:val="24"/>
          <w:szCs w:val="24"/>
        </w:rPr>
        <w:t>kresu, w którym EŻ rzekomo brała udział w zarzucanym naruszeniu, co miało wpływ na wymierzoną karę, poprzez pomnożenie jej wysokości razy 8,5.</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tab/>
        <w:t>W oparciu o powyższe zarzuty Ekstraliga Żużlowa sp. z o.o. wniosła o:</w:t>
      </w:r>
    </w:p>
    <w:p w:rsidR="006C2E2F" w:rsidRDefault="00D86529">
      <w:pPr>
        <w:pStyle w:val="Akapitzlist"/>
        <w:numPr>
          <w:ilvl w:val="2"/>
          <w:numId w:val="23"/>
        </w:numPr>
        <w:spacing w:before="240"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uchylenie decyzji w całości;</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względnie, </w:t>
      </w:r>
      <w:r>
        <w:rPr>
          <w:rFonts w:ascii="Times New Roman" w:hAnsi="Times New Roman" w:cs="Times New Roman"/>
          <w:bCs/>
          <w:sz w:val="24"/>
          <w:szCs w:val="24"/>
        </w:rPr>
        <w:t>z daleko idącej ostrożności spółka wniosła o:</w:t>
      </w:r>
    </w:p>
    <w:p w:rsidR="006C2E2F" w:rsidRDefault="00D86529">
      <w:pPr>
        <w:pStyle w:val="Akapitzlist"/>
        <w:numPr>
          <w:ilvl w:val="2"/>
          <w:numId w:val="23"/>
        </w:numPr>
        <w:spacing w:before="240"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uchylenie decyzji w części, tj. pkt I.(ii), przypisującej udział EŻ w naruszeniu, polegającym na udziale w porozumieniu dotyczącym ustalania maksymalnych stawek wynagrodzeń zawodników, biorących udział w rozgry</w:t>
      </w:r>
      <w:r>
        <w:rPr>
          <w:rFonts w:ascii="Times New Roman" w:hAnsi="Times New Roman" w:cs="Times New Roman"/>
          <w:bCs/>
          <w:sz w:val="24"/>
          <w:szCs w:val="24"/>
        </w:rPr>
        <w:t xml:space="preserve">wkach ligowych sportu żużlowego, </w:t>
      </w:r>
      <w:r>
        <w:rPr>
          <w:rFonts w:ascii="Times New Roman" w:hAnsi="Times New Roman" w:cs="Times New Roman"/>
          <w:bCs/>
          <w:sz w:val="24"/>
          <w:szCs w:val="24"/>
        </w:rPr>
        <w:lastRenderedPageBreak/>
        <w:t xml:space="preserve">zakwalifikowanym jako naruszenie art. 6 ust. 1 pkt 1 ustawy </w:t>
      </w:r>
      <w:proofErr w:type="spellStart"/>
      <w:r>
        <w:rPr>
          <w:rFonts w:ascii="Times New Roman" w:hAnsi="Times New Roman" w:cs="Times New Roman"/>
          <w:bCs/>
          <w:sz w:val="24"/>
          <w:szCs w:val="24"/>
        </w:rPr>
        <w:t>o.k.k</w:t>
      </w:r>
      <w:proofErr w:type="spellEnd"/>
      <w:r>
        <w:rPr>
          <w:rFonts w:ascii="Times New Roman" w:hAnsi="Times New Roman" w:cs="Times New Roman"/>
          <w:bCs/>
          <w:sz w:val="24"/>
          <w:szCs w:val="24"/>
        </w:rPr>
        <w:t>. oraz 101 ust. 1 lit. a TFUE;</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względnie, z daleko idącej ostrożności EŻ wniosła o:</w:t>
      </w:r>
    </w:p>
    <w:p w:rsidR="006C2E2F" w:rsidRDefault="00D86529">
      <w:pPr>
        <w:pStyle w:val="Akapitzlist"/>
        <w:numPr>
          <w:ilvl w:val="2"/>
          <w:numId w:val="23"/>
        </w:numPr>
        <w:spacing w:before="240" w:after="0" w:line="360" w:lineRule="auto"/>
        <w:ind w:left="426"/>
        <w:jc w:val="both"/>
        <w:rPr>
          <w:rFonts w:ascii="Times New Roman" w:hAnsi="Times New Roman" w:cs="Times New Roman"/>
          <w:bCs/>
          <w:sz w:val="24"/>
          <w:szCs w:val="24"/>
        </w:rPr>
      </w:pPr>
      <w:r>
        <w:rPr>
          <w:rFonts w:ascii="Times New Roman" w:hAnsi="Times New Roman" w:cs="Times New Roman"/>
          <w:bCs/>
          <w:sz w:val="24"/>
          <w:szCs w:val="24"/>
        </w:rPr>
        <w:t>wydanie orzeczenia co do istoty sprawy, zmieniającego decyzję w całości po</w:t>
      </w:r>
      <w:r>
        <w:rPr>
          <w:rFonts w:ascii="Times New Roman" w:hAnsi="Times New Roman" w:cs="Times New Roman"/>
          <w:bCs/>
          <w:sz w:val="24"/>
          <w:szCs w:val="24"/>
        </w:rPr>
        <w:t>przez stwierdzenie, że w niniejszej sprawie strony nie dopuściły się praktyki ograniczającej konkurencję, o której mowa w pkt I. sentencji decyzji oraz dodatkowo stwierdzenie przez Sąd wydania decyzji z rażącym naruszeniem prawa;</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względnie, z ostrożności s</w:t>
      </w:r>
      <w:r>
        <w:rPr>
          <w:rFonts w:ascii="Times New Roman" w:hAnsi="Times New Roman" w:cs="Times New Roman"/>
          <w:bCs/>
          <w:sz w:val="24"/>
          <w:szCs w:val="24"/>
        </w:rPr>
        <w:t>półka wniosła o:</w:t>
      </w:r>
    </w:p>
    <w:p w:rsidR="006C2E2F" w:rsidRDefault="00D86529">
      <w:pPr>
        <w:pStyle w:val="Akapitzlist"/>
        <w:numPr>
          <w:ilvl w:val="2"/>
          <w:numId w:val="23"/>
        </w:numPr>
        <w:spacing w:before="240" w:after="0" w:line="360" w:lineRule="auto"/>
        <w:ind w:left="425"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t>zmianę decyzji w części odnoszącej się do kary pieniężnej, poprzez odstąpienie od nałożenia na EŻ kary pieniężnej, względnie jej istotne obniżenie.</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Ekstraliga Żużlowa wniosła o dopuszczenie i przeprowadzenie następujących dowodów:</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z </w:t>
      </w:r>
      <w:r>
        <w:rPr>
          <w:rFonts w:ascii="Times New Roman" w:hAnsi="Times New Roman" w:cs="Times New Roman"/>
          <w:bCs/>
          <w:sz w:val="24"/>
          <w:szCs w:val="24"/>
        </w:rPr>
        <w:t xml:space="preserve">dokumentów: a) aktualnej księgi udziałów Ekstraliga Żużlowa sp. z o.o., b) umowy spółki Ekstraliga Żużlowa sp. z o.o. tekst jednolity z dnia 25 lutego2021 r., c) umowy o zarządzanie ligą zawodową, d) raportu – Speedway Ekstraliga </w:t>
      </w:r>
      <w:proofErr w:type="spellStart"/>
      <w:r>
        <w:rPr>
          <w:rFonts w:ascii="Times New Roman" w:hAnsi="Times New Roman" w:cs="Times New Roman"/>
          <w:bCs/>
          <w:sz w:val="24"/>
          <w:szCs w:val="24"/>
        </w:rPr>
        <w:t>Camp</w:t>
      </w:r>
      <w:proofErr w:type="spellEnd"/>
      <w:r>
        <w:rPr>
          <w:rFonts w:ascii="Times New Roman" w:hAnsi="Times New Roman" w:cs="Times New Roman"/>
          <w:bCs/>
          <w:sz w:val="24"/>
          <w:szCs w:val="24"/>
        </w:rPr>
        <w:t>; e) faktury nr 10/07/</w:t>
      </w:r>
      <w:r>
        <w:rPr>
          <w:rFonts w:ascii="Times New Roman" w:hAnsi="Times New Roman" w:cs="Times New Roman"/>
          <w:bCs/>
          <w:sz w:val="24"/>
          <w:szCs w:val="24"/>
        </w:rPr>
        <w:t>2022 z 12 lipca 2022 r., f) faktury nr 15/07/2022 z 25 lipca 2022 r., g) faktury nr 16/07/2022 z 25 lipca 2022 r., h) faktury VAT nr: SU/FV/2021/10/107 z 31 października 2021 r., i) faktury VAT nr: SU/FV/2022/10/091 z 13 października 2022 r., j) faktury VA</w:t>
      </w:r>
      <w:r>
        <w:rPr>
          <w:rFonts w:ascii="Times New Roman" w:hAnsi="Times New Roman" w:cs="Times New Roman"/>
          <w:bCs/>
          <w:sz w:val="24"/>
          <w:szCs w:val="24"/>
        </w:rPr>
        <w:t xml:space="preserve">T nr: SU/FV/2022/12/107 z 13 grudnia 2022 r., k) faktury nr 21-FVS/02/091 z dnia 23 lutego 2021 r., l) faktury nr 21-FVS/02/092 z dnia 23 lutego 2021 r., ł) wzorów </w:t>
      </w:r>
      <w:proofErr w:type="spellStart"/>
      <w:r>
        <w:rPr>
          <w:rFonts w:ascii="Times New Roman" w:hAnsi="Times New Roman" w:cs="Times New Roman"/>
          <w:bCs/>
          <w:sz w:val="24"/>
          <w:szCs w:val="24"/>
        </w:rPr>
        <w:t>kevlarow</w:t>
      </w:r>
      <w:proofErr w:type="spellEnd"/>
      <w:r>
        <w:rPr>
          <w:rFonts w:ascii="Times New Roman" w:hAnsi="Times New Roman" w:cs="Times New Roman"/>
          <w:bCs/>
          <w:sz w:val="24"/>
          <w:szCs w:val="24"/>
        </w:rPr>
        <w:t xml:space="preserve"> Bartosza </w:t>
      </w:r>
      <w:proofErr w:type="spellStart"/>
      <w:r>
        <w:rPr>
          <w:rFonts w:ascii="Times New Roman" w:hAnsi="Times New Roman" w:cs="Times New Roman"/>
          <w:bCs/>
          <w:sz w:val="24"/>
          <w:szCs w:val="24"/>
        </w:rPr>
        <w:t>Zmarzlika</w:t>
      </w:r>
      <w:proofErr w:type="spellEnd"/>
      <w:r>
        <w:rPr>
          <w:rFonts w:ascii="Times New Roman" w:hAnsi="Times New Roman" w:cs="Times New Roman"/>
          <w:bCs/>
          <w:sz w:val="24"/>
          <w:szCs w:val="24"/>
        </w:rPr>
        <w:t>, Piotra Pawlickiego oraz Dominika Kubery w 2021 r., m) karty pow</w:t>
      </w:r>
      <w:r>
        <w:rPr>
          <w:rFonts w:ascii="Times New Roman" w:hAnsi="Times New Roman" w:cs="Times New Roman"/>
          <w:bCs/>
          <w:sz w:val="24"/>
          <w:szCs w:val="24"/>
        </w:rPr>
        <w:t>ierzchni reklamowych - Ekstraliga</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z zeznań świadków: Michała </w:t>
      </w:r>
      <w:proofErr w:type="spellStart"/>
      <w:r>
        <w:rPr>
          <w:rFonts w:ascii="Times New Roman" w:hAnsi="Times New Roman" w:cs="Times New Roman"/>
          <w:bCs/>
          <w:sz w:val="24"/>
          <w:szCs w:val="24"/>
        </w:rPr>
        <w:t>Świącika</w:t>
      </w:r>
      <w:proofErr w:type="spellEnd"/>
      <w:r>
        <w:rPr>
          <w:rFonts w:ascii="Times New Roman" w:hAnsi="Times New Roman" w:cs="Times New Roman"/>
          <w:bCs/>
          <w:sz w:val="24"/>
          <w:szCs w:val="24"/>
        </w:rPr>
        <w:t xml:space="preserve"> – Prezesa Włókniarz Częstochowa S.A.; Jakuba Kępa – Prezesa Speedway Lublin S.A.; Marcina Murawskiego – Prezesa Grudziądzkiego Klubu Motocyklowego S.A.; Ireneusza </w:t>
      </w:r>
      <w:proofErr w:type="spellStart"/>
      <w:r>
        <w:rPr>
          <w:rFonts w:ascii="Times New Roman" w:hAnsi="Times New Roman" w:cs="Times New Roman"/>
          <w:bCs/>
          <w:sz w:val="24"/>
          <w:szCs w:val="24"/>
        </w:rPr>
        <w:t>Igielskiego</w:t>
      </w:r>
      <w:proofErr w:type="spellEnd"/>
      <w:r>
        <w:rPr>
          <w:rFonts w:ascii="Times New Roman" w:hAnsi="Times New Roman" w:cs="Times New Roman"/>
          <w:bCs/>
          <w:sz w:val="24"/>
          <w:szCs w:val="24"/>
        </w:rPr>
        <w:t xml:space="preserve"> – Członka</w:t>
      </w:r>
      <w:r>
        <w:rPr>
          <w:rFonts w:ascii="Times New Roman" w:hAnsi="Times New Roman" w:cs="Times New Roman"/>
          <w:bCs/>
          <w:sz w:val="24"/>
          <w:szCs w:val="24"/>
        </w:rPr>
        <w:t xml:space="preserve"> Zarządu Unii Leszno Sportowa Spółka Akcyjna; Kamila </w:t>
      </w:r>
      <w:proofErr w:type="spellStart"/>
      <w:r>
        <w:rPr>
          <w:rFonts w:ascii="Times New Roman" w:hAnsi="Times New Roman" w:cs="Times New Roman"/>
          <w:bCs/>
          <w:sz w:val="24"/>
          <w:szCs w:val="24"/>
        </w:rPr>
        <w:t>Kawickiego</w:t>
      </w:r>
      <w:proofErr w:type="spellEnd"/>
      <w:r>
        <w:rPr>
          <w:rFonts w:ascii="Times New Roman" w:hAnsi="Times New Roman" w:cs="Times New Roman"/>
          <w:bCs/>
          <w:sz w:val="24"/>
          <w:szCs w:val="24"/>
        </w:rPr>
        <w:t xml:space="preserve"> – Prezesa Zarządu Stowarzyszenia Zielonogórskiego Klubu Żużlowego w Zielonej Górze; Adama </w:t>
      </w:r>
      <w:proofErr w:type="spellStart"/>
      <w:r>
        <w:rPr>
          <w:rFonts w:ascii="Times New Roman" w:hAnsi="Times New Roman" w:cs="Times New Roman"/>
          <w:bCs/>
          <w:sz w:val="24"/>
          <w:szCs w:val="24"/>
        </w:rPr>
        <w:t>Krużyńskiego</w:t>
      </w:r>
      <w:proofErr w:type="spellEnd"/>
      <w:r>
        <w:rPr>
          <w:rFonts w:ascii="Times New Roman" w:hAnsi="Times New Roman" w:cs="Times New Roman"/>
          <w:bCs/>
          <w:sz w:val="24"/>
          <w:szCs w:val="24"/>
        </w:rPr>
        <w:t xml:space="preserve"> - byłego członka Głównej Komisji Sportu Żużlowego (GKSŻ), członka Rady Nadzorczej Klubu S</w:t>
      </w:r>
      <w:r>
        <w:rPr>
          <w:rFonts w:ascii="Times New Roman" w:hAnsi="Times New Roman" w:cs="Times New Roman"/>
          <w:bCs/>
          <w:sz w:val="24"/>
          <w:szCs w:val="24"/>
        </w:rPr>
        <w:t xml:space="preserve">portowego Toruń S.A.; Dariusza Cieślaka – byłego członka GKSŻ; Stanisława </w:t>
      </w:r>
      <w:proofErr w:type="spellStart"/>
      <w:r>
        <w:rPr>
          <w:rFonts w:ascii="Times New Roman" w:hAnsi="Times New Roman" w:cs="Times New Roman"/>
          <w:bCs/>
          <w:sz w:val="24"/>
          <w:szCs w:val="24"/>
        </w:rPr>
        <w:t>Chomski</w:t>
      </w:r>
      <w:proofErr w:type="spellEnd"/>
      <w:r>
        <w:rPr>
          <w:rFonts w:ascii="Times New Roman" w:hAnsi="Times New Roman" w:cs="Times New Roman"/>
          <w:bCs/>
          <w:sz w:val="24"/>
          <w:szCs w:val="24"/>
        </w:rPr>
        <w:t xml:space="preserve"> – trenera sportu żużlowego; Michała Finfa – trener sportu żużlowego; Krzysztofa Orzeł – trenera sportu żużlowego; Jarosława Dymek – trenera sportu żużlowego; Rafała Dobruckie</w:t>
      </w:r>
      <w:r>
        <w:rPr>
          <w:rFonts w:ascii="Times New Roman" w:hAnsi="Times New Roman" w:cs="Times New Roman"/>
          <w:bCs/>
          <w:sz w:val="24"/>
          <w:szCs w:val="24"/>
        </w:rPr>
        <w:t xml:space="preserve">go – byłego zawodnika, reprezentanta Polski, trenera żużlowej reprezentacji Polski; Piotra Szymańskiego – Przewodniczącego GKSŻ; Łukasza Szmit – byłego członka GKSŻ, członka Komisji Licencyjnej PZM; Andrzeja </w:t>
      </w:r>
      <w:r>
        <w:rPr>
          <w:rFonts w:ascii="Times New Roman" w:hAnsi="Times New Roman" w:cs="Times New Roman"/>
          <w:bCs/>
          <w:sz w:val="24"/>
          <w:szCs w:val="24"/>
        </w:rPr>
        <w:lastRenderedPageBreak/>
        <w:t xml:space="preserve">Witkowskiego – byłego Prezesa PZM; Martina </w:t>
      </w:r>
      <w:proofErr w:type="spellStart"/>
      <w:r>
        <w:rPr>
          <w:rFonts w:ascii="Times New Roman" w:hAnsi="Times New Roman" w:cs="Times New Roman"/>
          <w:bCs/>
          <w:sz w:val="24"/>
          <w:szCs w:val="24"/>
        </w:rPr>
        <w:t>Vacul</w:t>
      </w:r>
      <w:r>
        <w:rPr>
          <w:rFonts w:ascii="Times New Roman" w:hAnsi="Times New Roman" w:cs="Times New Roman"/>
          <w:bCs/>
          <w:sz w:val="24"/>
          <w:szCs w:val="24"/>
        </w:rPr>
        <w:t>ik</w:t>
      </w:r>
      <w:proofErr w:type="spellEnd"/>
      <w:r>
        <w:rPr>
          <w:rFonts w:ascii="Times New Roman" w:hAnsi="Times New Roman" w:cs="Times New Roman"/>
          <w:bCs/>
          <w:sz w:val="24"/>
          <w:szCs w:val="24"/>
        </w:rPr>
        <w:t xml:space="preserve"> – zawodnika żużlowego lig krajowych i zagranicznych; </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z opinii biegłego z zakresu ekonomiki sportu, ze szczególnym uwzględnieniem sportu żużlowego</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 przesłuchania stron: za EŻ: Wojciecha Stępniewskiego, Ryszarda Kowalskiego; za PZM: Michała, Arkadiusz</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Sąsara</w:t>
      </w:r>
      <w:proofErr w:type="spellEnd"/>
      <w:r>
        <w:rPr>
          <w:rFonts w:ascii="Times New Roman" w:hAnsi="Times New Roman" w:cs="Times New Roman"/>
          <w:bCs/>
          <w:sz w:val="24"/>
          <w:szCs w:val="24"/>
        </w:rPr>
        <w:t>;</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 xml:space="preserve">Ekstraliga Żużlowa sp. z o.o. wniosła także o zobowiązanie przez Sąd: a) Grudziądzkiego Klubu Motocyklowego S.A. do przedstawienia dokumentów dotyczących następujących zawodników: </w:t>
      </w:r>
      <w:proofErr w:type="spellStart"/>
      <w:r>
        <w:rPr>
          <w:rFonts w:ascii="Times New Roman" w:hAnsi="Times New Roman" w:cs="Times New Roman"/>
          <w:bCs/>
          <w:sz w:val="24"/>
          <w:szCs w:val="24"/>
        </w:rPr>
        <w:t>Artiom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Łaguta</w:t>
      </w:r>
      <w:proofErr w:type="spellEnd"/>
      <w:r>
        <w:rPr>
          <w:rFonts w:ascii="Times New Roman" w:hAnsi="Times New Roman" w:cs="Times New Roman"/>
          <w:bCs/>
          <w:sz w:val="24"/>
          <w:szCs w:val="24"/>
        </w:rPr>
        <w:t xml:space="preserve">, Antonio </w:t>
      </w:r>
      <w:proofErr w:type="spellStart"/>
      <w:r>
        <w:rPr>
          <w:rFonts w:ascii="Times New Roman" w:hAnsi="Times New Roman" w:cs="Times New Roman"/>
          <w:bCs/>
          <w:sz w:val="24"/>
          <w:szCs w:val="24"/>
        </w:rPr>
        <w:t>Lindback</w:t>
      </w:r>
      <w:proofErr w:type="spellEnd"/>
      <w:r>
        <w:rPr>
          <w:rFonts w:ascii="Times New Roman" w:hAnsi="Times New Roman" w:cs="Times New Roman"/>
          <w:bCs/>
          <w:sz w:val="24"/>
          <w:szCs w:val="24"/>
        </w:rPr>
        <w:t>, Krzysztofa Buczkowskiego, Krystia</w:t>
      </w:r>
      <w:r>
        <w:rPr>
          <w:rFonts w:ascii="Times New Roman" w:hAnsi="Times New Roman" w:cs="Times New Roman"/>
          <w:bCs/>
          <w:sz w:val="24"/>
          <w:szCs w:val="24"/>
        </w:rPr>
        <w:t xml:space="preserve">na Pieszczek, Rafała Okoniewski, Kamila Wieczorek, Przemysława Pawlickiego, Dawida Wawrzyniaka, Kenneth </w:t>
      </w:r>
      <w:proofErr w:type="spellStart"/>
      <w:r>
        <w:rPr>
          <w:rFonts w:ascii="Times New Roman" w:hAnsi="Times New Roman" w:cs="Times New Roman"/>
          <w:bCs/>
          <w:sz w:val="24"/>
          <w:szCs w:val="24"/>
        </w:rPr>
        <w:t>Bjerre</w:t>
      </w:r>
      <w:proofErr w:type="spellEnd"/>
      <w:r>
        <w:rPr>
          <w:rFonts w:ascii="Times New Roman" w:hAnsi="Times New Roman" w:cs="Times New Roman"/>
          <w:bCs/>
          <w:sz w:val="24"/>
          <w:szCs w:val="24"/>
        </w:rPr>
        <w:t>, Marcina Turowskiego, Nicki Pedersen, Krzysztofa Kasprzaka, Norberta Krakowiaka, Mateusza Bartkowiaka, Denisa Zielińskiego, Frederik Jakobsen, Ka</w:t>
      </w:r>
      <w:r>
        <w:rPr>
          <w:rFonts w:ascii="Times New Roman" w:hAnsi="Times New Roman" w:cs="Times New Roman"/>
          <w:bCs/>
          <w:sz w:val="24"/>
          <w:szCs w:val="24"/>
        </w:rPr>
        <w:t xml:space="preserve">cpra Pludra; b) Speedway Lublin S.A. do przedstawienia dokumentów dotyczących następujących zawodników: Andreas </w:t>
      </w:r>
      <w:proofErr w:type="spellStart"/>
      <w:r>
        <w:rPr>
          <w:rFonts w:ascii="Times New Roman" w:hAnsi="Times New Roman" w:cs="Times New Roman"/>
          <w:bCs/>
          <w:sz w:val="24"/>
          <w:szCs w:val="24"/>
        </w:rPr>
        <w:t>Jonsson</w:t>
      </w:r>
      <w:proofErr w:type="spellEnd"/>
      <w:r>
        <w:rPr>
          <w:rFonts w:ascii="Times New Roman" w:hAnsi="Times New Roman" w:cs="Times New Roman"/>
          <w:bCs/>
          <w:sz w:val="24"/>
          <w:szCs w:val="24"/>
        </w:rPr>
        <w:t>, Roberta Lambert, Wiktora Lampart, Daniela Jeleniewskiego, Pawła Miesiąc, Dawida Lampart.</w:t>
      </w:r>
    </w:p>
    <w:p w:rsidR="006C2E2F" w:rsidRDefault="00D86529">
      <w:pPr>
        <w:pStyle w:val="Akapitzlist"/>
        <w:spacing w:before="240" w:after="0" w:line="360" w:lineRule="auto"/>
        <w:ind w:left="142"/>
        <w:jc w:val="both"/>
        <w:rPr>
          <w:rFonts w:ascii="Times New Roman" w:hAnsi="Times New Roman" w:cs="Times New Roman"/>
          <w:bCs/>
          <w:sz w:val="24"/>
          <w:szCs w:val="24"/>
        </w:rPr>
      </w:pPr>
      <w:r>
        <w:rPr>
          <w:rFonts w:ascii="Times New Roman" w:hAnsi="Times New Roman" w:cs="Times New Roman"/>
          <w:bCs/>
          <w:sz w:val="24"/>
          <w:szCs w:val="24"/>
        </w:rPr>
        <w:tab/>
        <w:t xml:space="preserve">Niezależnie od powyższego Ekstraliga Żużlowa </w:t>
      </w:r>
      <w:r>
        <w:rPr>
          <w:rFonts w:ascii="Times New Roman" w:hAnsi="Times New Roman" w:cs="Times New Roman"/>
          <w:bCs/>
          <w:sz w:val="24"/>
          <w:szCs w:val="24"/>
        </w:rPr>
        <w:t>wniosła o:</w:t>
      </w:r>
    </w:p>
    <w:p w:rsidR="006C2E2F" w:rsidRDefault="00D86529">
      <w:pPr>
        <w:pStyle w:val="Akapitzlist"/>
        <w:numPr>
          <w:ilvl w:val="1"/>
          <w:numId w:val="37"/>
        </w:numPr>
        <w:spacing w:before="240" w:after="0" w:line="360" w:lineRule="auto"/>
        <w:ind w:left="425" w:hanging="357"/>
        <w:contextualSpacing w:val="0"/>
        <w:jc w:val="both"/>
        <w:rPr>
          <w:rFonts w:ascii="Times New Roman" w:hAnsi="Times New Roman" w:cs="Times New Roman"/>
          <w:bCs/>
          <w:sz w:val="24"/>
          <w:szCs w:val="24"/>
        </w:rPr>
      </w:pPr>
      <w:r>
        <w:rPr>
          <w:rFonts w:ascii="Times New Roman" w:hAnsi="Times New Roman" w:cs="Times New Roman"/>
          <w:bCs/>
          <w:sz w:val="24"/>
          <w:szCs w:val="24"/>
        </w:rPr>
        <w:t>zasądzenie od pozwanego na swoją rzecz kosztów procesu, w tym kosztów zastępstwa procesowego, według spisu kosztów, który zostanie złożony na rozprawie, a w razie jego niezłożenia, według norm przepisanych, przy czym, w każdym wypadku kosztów za</w:t>
      </w:r>
      <w:r>
        <w:rPr>
          <w:rFonts w:ascii="Times New Roman" w:hAnsi="Times New Roman" w:cs="Times New Roman"/>
          <w:bCs/>
          <w:sz w:val="24"/>
          <w:szCs w:val="24"/>
        </w:rPr>
        <w:t>stępstwa procesowego, według 6-krotności stawki minimalnej, ze względu na znaczny wkład pełnomocników spółki w wyjaśnienie sprawy i ze względu na wartość przedmiotu sprawy, określoną we właściwych przepisach, wraz z odsetkami ustawowymi w wysokości odsetek</w:t>
      </w:r>
      <w:r>
        <w:rPr>
          <w:rFonts w:ascii="Times New Roman" w:hAnsi="Times New Roman" w:cs="Times New Roman"/>
          <w:bCs/>
          <w:sz w:val="24"/>
          <w:szCs w:val="24"/>
        </w:rPr>
        <w:t xml:space="preserve"> za opóźnienie w spełnieniu świadczenia pieniężnego od dnia uprawomocnienia się orzeczenia, w którym te koszty zostaną zasądzone do dnia zapłaty.</w:t>
      </w:r>
    </w:p>
    <w:p w:rsidR="006C2E2F" w:rsidRDefault="00D86529">
      <w:pPr>
        <w:pStyle w:val="Akapitzlist"/>
        <w:spacing w:before="240" w:after="0" w:line="360" w:lineRule="auto"/>
        <w:ind w:left="0"/>
        <w:contextualSpacing w:val="0"/>
        <w:jc w:val="both"/>
        <w:rPr>
          <w:rFonts w:ascii="Times New Roman" w:hAnsi="Times New Roman" w:cs="Times New Roman"/>
          <w:bCs/>
          <w:i/>
          <w:sz w:val="24"/>
          <w:szCs w:val="24"/>
        </w:rPr>
      </w:pPr>
      <w:r>
        <w:rPr>
          <w:rFonts w:ascii="Times New Roman" w:hAnsi="Times New Roman" w:cs="Times New Roman"/>
          <w:bCs/>
          <w:i/>
          <w:sz w:val="24"/>
          <w:szCs w:val="24"/>
        </w:rPr>
        <w:t xml:space="preserve">(odwołanie Ekstraligi Żużlowej sp. z o.o., sygn.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85/23, k. 49 – 163 akt sąd.)</w:t>
      </w:r>
    </w:p>
    <w:p w:rsidR="006C2E2F" w:rsidRDefault="00D86529">
      <w:pPr>
        <w:spacing w:before="24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Prezes Urzędu Ochrony K</w:t>
      </w:r>
      <w:r>
        <w:rPr>
          <w:rFonts w:ascii="Times New Roman" w:hAnsi="Times New Roman" w:cs="Times New Roman"/>
          <w:bCs/>
          <w:sz w:val="24"/>
          <w:szCs w:val="24"/>
        </w:rPr>
        <w:t xml:space="preserve">onkurencji i Konsumentów, w odpowiedzi na obydwa odwołania (tj. odwołania Polskiego Związku Motorowego w sprawie o sygn. akt XVII </w:t>
      </w:r>
      <w:proofErr w:type="spellStart"/>
      <w:r>
        <w:rPr>
          <w:rFonts w:ascii="Times New Roman" w:hAnsi="Times New Roman" w:cs="Times New Roman"/>
          <w:bCs/>
          <w:sz w:val="24"/>
          <w:szCs w:val="24"/>
        </w:rPr>
        <w:t>AmA</w:t>
      </w:r>
      <w:proofErr w:type="spellEnd"/>
      <w:r>
        <w:rPr>
          <w:rFonts w:ascii="Times New Roman" w:hAnsi="Times New Roman" w:cs="Times New Roman"/>
          <w:bCs/>
          <w:sz w:val="24"/>
          <w:szCs w:val="24"/>
        </w:rPr>
        <w:t xml:space="preserve"> 84/23 oraz Ekstraligi Żużlowej sp. z o.o. w sprawie o sygn. akt XVII </w:t>
      </w:r>
      <w:proofErr w:type="spellStart"/>
      <w:r>
        <w:rPr>
          <w:rFonts w:ascii="Times New Roman" w:hAnsi="Times New Roman" w:cs="Times New Roman"/>
          <w:bCs/>
          <w:sz w:val="24"/>
          <w:szCs w:val="24"/>
        </w:rPr>
        <w:t>AmA</w:t>
      </w:r>
      <w:proofErr w:type="spellEnd"/>
      <w:r>
        <w:rPr>
          <w:rFonts w:ascii="Times New Roman" w:hAnsi="Times New Roman" w:cs="Times New Roman"/>
          <w:bCs/>
          <w:sz w:val="24"/>
          <w:szCs w:val="24"/>
        </w:rPr>
        <w:t xml:space="preserve"> 85/23) osobnymi pismami wniósł o ich oddalenie w </w:t>
      </w:r>
      <w:r>
        <w:rPr>
          <w:rFonts w:ascii="Times New Roman" w:hAnsi="Times New Roman" w:cs="Times New Roman"/>
          <w:bCs/>
          <w:sz w:val="24"/>
          <w:szCs w:val="24"/>
        </w:rPr>
        <w:t xml:space="preserve">całości, pominięcie wniosków dowodowych, wskazanych w obydwu </w:t>
      </w:r>
      <w:proofErr w:type="spellStart"/>
      <w:r>
        <w:rPr>
          <w:rFonts w:ascii="Times New Roman" w:hAnsi="Times New Roman" w:cs="Times New Roman"/>
          <w:bCs/>
          <w:sz w:val="24"/>
          <w:szCs w:val="24"/>
        </w:rPr>
        <w:t>odwołaniach</w:t>
      </w:r>
      <w:proofErr w:type="spellEnd"/>
      <w:r>
        <w:rPr>
          <w:rFonts w:ascii="Times New Roman" w:hAnsi="Times New Roman" w:cs="Times New Roman"/>
          <w:bCs/>
          <w:sz w:val="24"/>
          <w:szCs w:val="24"/>
        </w:rPr>
        <w:t xml:space="preserve">, jako nieistotnych do rozstrzygnięcia sprawy i zmierzających jedynie </w:t>
      </w:r>
      <w:r>
        <w:rPr>
          <w:rFonts w:ascii="Times New Roman" w:hAnsi="Times New Roman" w:cs="Times New Roman"/>
          <w:bCs/>
          <w:sz w:val="24"/>
          <w:szCs w:val="24"/>
        </w:rPr>
        <w:lastRenderedPageBreak/>
        <w:t>do przedłużenia postępowania. Ponadto Prezes UOKiK wniósł o zasądzenie od powodów na rzecz pozwanego kosztów proce</w:t>
      </w:r>
      <w:r>
        <w:rPr>
          <w:rFonts w:ascii="Times New Roman" w:hAnsi="Times New Roman" w:cs="Times New Roman"/>
          <w:bCs/>
          <w:sz w:val="24"/>
          <w:szCs w:val="24"/>
        </w:rPr>
        <w:t>su, w tym kosztów zastępstwa procesowego, według norm przepisanych, w wysokości 6-krotności stawki minimalnej.</w:t>
      </w:r>
    </w:p>
    <w:p w:rsidR="006C2E2F" w:rsidRDefault="00D86529">
      <w:pPr>
        <w:pStyle w:val="Akapitzlist"/>
        <w:spacing w:before="240" w:after="0" w:line="360" w:lineRule="auto"/>
        <w:ind w:left="0"/>
        <w:contextualSpacing w:val="0"/>
        <w:jc w:val="both"/>
        <w:rPr>
          <w:rFonts w:ascii="Times New Roman" w:hAnsi="Times New Roman" w:cs="Times New Roman"/>
          <w:bCs/>
          <w:i/>
          <w:sz w:val="24"/>
          <w:szCs w:val="24"/>
        </w:rPr>
      </w:pPr>
      <w:r>
        <w:rPr>
          <w:rFonts w:ascii="Times New Roman" w:hAnsi="Times New Roman" w:cs="Times New Roman"/>
          <w:bCs/>
          <w:i/>
          <w:sz w:val="24"/>
          <w:szCs w:val="24"/>
        </w:rPr>
        <w:t>(odpowiedź na odwołanie Prezesa UOKIK z 17 listopada 2023 r.,</w:t>
      </w:r>
      <w:proofErr w:type="spellStart"/>
      <w:r>
        <w:rPr>
          <w:rFonts w:ascii="Times New Roman" w:hAnsi="Times New Roman" w:cs="Times New Roman"/>
          <w:bCs/>
          <w:i/>
          <w:sz w:val="24"/>
          <w:szCs w:val="24"/>
        </w:rPr>
        <w:t>sygn</w:t>
      </w:r>
      <w:proofErr w:type="spellEnd"/>
      <w:r>
        <w:rPr>
          <w:rFonts w:ascii="Times New Roman" w:hAnsi="Times New Roman" w:cs="Times New Roman"/>
          <w:bCs/>
          <w:i/>
          <w:sz w:val="24"/>
          <w:szCs w:val="24"/>
        </w:rPr>
        <w:t xml:space="preserve">.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84/23, k. 155 – 174v akt sąd. oraz sygn.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85/23, k. 197 – 217</w:t>
      </w:r>
      <w:r>
        <w:rPr>
          <w:rFonts w:ascii="Times New Roman" w:hAnsi="Times New Roman" w:cs="Times New Roman"/>
          <w:bCs/>
          <w:i/>
          <w:sz w:val="24"/>
          <w:szCs w:val="24"/>
        </w:rPr>
        <w:t xml:space="preserve"> akt sąd.)</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 xml:space="preserve">W odpowiedzi na odwołanie z 15 listopada 2023 r., Ekstraliga Żużlowa sp. z o.o., działając jako zainteresowany w sprawie o sygn. akt XVII </w:t>
      </w:r>
      <w:proofErr w:type="spellStart"/>
      <w:r>
        <w:rPr>
          <w:rFonts w:ascii="Times New Roman" w:hAnsi="Times New Roman" w:cs="Times New Roman"/>
          <w:bCs/>
          <w:sz w:val="24"/>
          <w:szCs w:val="24"/>
        </w:rPr>
        <w:t>AmA</w:t>
      </w:r>
      <w:proofErr w:type="spellEnd"/>
      <w:r>
        <w:rPr>
          <w:rFonts w:ascii="Times New Roman" w:hAnsi="Times New Roman" w:cs="Times New Roman"/>
          <w:bCs/>
          <w:sz w:val="24"/>
          <w:szCs w:val="24"/>
        </w:rPr>
        <w:t xml:space="preserve"> 84/23, podtrzymała swoje stanowisko w sprawie.</w:t>
      </w:r>
    </w:p>
    <w:p w:rsidR="006C2E2F" w:rsidRDefault="00D86529">
      <w:pPr>
        <w:pStyle w:val="Akapitzlist"/>
        <w:spacing w:before="240" w:after="0" w:line="360" w:lineRule="auto"/>
        <w:ind w:left="0"/>
        <w:contextualSpacing w:val="0"/>
        <w:jc w:val="both"/>
        <w:rPr>
          <w:rFonts w:ascii="Times New Roman" w:hAnsi="Times New Roman" w:cs="Times New Roman"/>
          <w:bCs/>
          <w:i/>
          <w:sz w:val="24"/>
          <w:szCs w:val="24"/>
        </w:rPr>
      </w:pPr>
      <w:r>
        <w:rPr>
          <w:rFonts w:ascii="Times New Roman" w:hAnsi="Times New Roman" w:cs="Times New Roman"/>
          <w:bCs/>
          <w:i/>
          <w:sz w:val="24"/>
          <w:szCs w:val="24"/>
        </w:rPr>
        <w:t>(odpowiedź na odwołanie EŻ z 15 listopada 2023 r., sygn</w:t>
      </w:r>
      <w:r>
        <w:rPr>
          <w:rFonts w:ascii="Times New Roman" w:hAnsi="Times New Roman" w:cs="Times New Roman"/>
          <w:bCs/>
          <w:i/>
          <w:sz w:val="24"/>
          <w:szCs w:val="24"/>
        </w:rPr>
        <w:t xml:space="preserve">.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84/23, k. 141 – 141v akt sąd.)</w:t>
      </w:r>
    </w:p>
    <w:p w:rsidR="006C2E2F" w:rsidRDefault="00D86529">
      <w:pPr>
        <w:pStyle w:val="Akapitzlist"/>
        <w:spacing w:before="240"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t xml:space="preserve">W odpowiedzi na odwołanie z 15 listopada 2023 r., Polski Związek Motorowy, działając jako zainteresowany w sprawie o sygn. akt XVII </w:t>
      </w:r>
      <w:proofErr w:type="spellStart"/>
      <w:r>
        <w:rPr>
          <w:rFonts w:ascii="Times New Roman" w:hAnsi="Times New Roman" w:cs="Times New Roman"/>
          <w:bCs/>
          <w:sz w:val="24"/>
          <w:szCs w:val="24"/>
        </w:rPr>
        <w:t>AmA</w:t>
      </w:r>
      <w:proofErr w:type="spellEnd"/>
      <w:r>
        <w:rPr>
          <w:rFonts w:ascii="Times New Roman" w:hAnsi="Times New Roman" w:cs="Times New Roman"/>
          <w:bCs/>
          <w:sz w:val="24"/>
          <w:szCs w:val="24"/>
        </w:rPr>
        <w:t xml:space="preserve"> 85/23, podtrzymał swoje stanowisko w sprawie.</w:t>
      </w:r>
    </w:p>
    <w:p w:rsidR="006C2E2F" w:rsidRDefault="00D86529">
      <w:pPr>
        <w:pStyle w:val="Akapitzlist"/>
        <w:spacing w:before="240" w:after="0" w:line="360" w:lineRule="auto"/>
        <w:ind w:left="0"/>
        <w:contextualSpacing w:val="0"/>
        <w:jc w:val="both"/>
        <w:rPr>
          <w:rFonts w:ascii="Times New Roman" w:hAnsi="Times New Roman" w:cs="Times New Roman"/>
          <w:bCs/>
          <w:i/>
          <w:sz w:val="24"/>
          <w:szCs w:val="24"/>
        </w:rPr>
      </w:pPr>
      <w:r>
        <w:rPr>
          <w:rFonts w:ascii="Times New Roman" w:hAnsi="Times New Roman" w:cs="Times New Roman"/>
          <w:bCs/>
          <w:i/>
          <w:sz w:val="24"/>
          <w:szCs w:val="24"/>
        </w:rPr>
        <w:t>(odpowiedź na odwołanie PZM z 1</w:t>
      </w:r>
      <w:r>
        <w:rPr>
          <w:rFonts w:ascii="Times New Roman" w:hAnsi="Times New Roman" w:cs="Times New Roman"/>
          <w:bCs/>
          <w:i/>
          <w:sz w:val="24"/>
          <w:szCs w:val="24"/>
        </w:rPr>
        <w:t xml:space="preserve">5 listopada 2023 r., sygn.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85/23, k. 175 – 175v akt sąd.)</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W replikach na odpowiedź na odwołanie Prezesa Urzędu strony powodowe wniosły o dopuszczenie i przeprowadzenie dowodu z opinii ekonomicznej z 7 kwietnia 2024 r. </w:t>
      </w:r>
      <w:r>
        <w:rPr>
          <w:rFonts w:ascii="Times New Roman" w:hAnsi="Times New Roman" w:cs="Times New Roman"/>
          <w:bCs/>
          <w:i/>
          <w:sz w:val="24"/>
          <w:szCs w:val="24"/>
        </w:rPr>
        <w:t>(opinia ekonomiczna, sygn. X</w:t>
      </w:r>
      <w:r>
        <w:rPr>
          <w:rFonts w:ascii="Times New Roman" w:hAnsi="Times New Roman" w:cs="Times New Roman"/>
          <w:bCs/>
          <w:i/>
          <w:sz w:val="24"/>
          <w:szCs w:val="24"/>
        </w:rPr>
        <w:t xml:space="preserve">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84/23, k. 204 – 215v akt sąd.)</w:t>
      </w:r>
      <w:r>
        <w:rPr>
          <w:rFonts w:ascii="Times New Roman" w:hAnsi="Times New Roman" w:cs="Times New Roman"/>
          <w:bCs/>
          <w:sz w:val="24"/>
          <w:szCs w:val="24"/>
        </w:rPr>
        <w:t>, w zakresie wpływu skutków zmian regulaminowych, dotyczących wysokości umów kontraktowych zawodników w 2023 r., na sytuację ekonomiczno-finansową spółek – klubów żużlowych, na fakty: jej treści; pogorszenia sytuacji f</w:t>
      </w:r>
      <w:r>
        <w:rPr>
          <w:rFonts w:ascii="Times New Roman" w:hAnsi="Times New Roman" w:cs="Times New Roman"/>
          <w:bCs/>
          <w:sz w:val="24"/>
          <w:szCs w:val="24"/>
        </w:rPr>
        <w:t>inansowej klubów żużlowych po zniesieniu limitów kontraktowych dla zawodników sportu żużlowego; wydatków klubów ponoszonych na usługi żużlowe. Ponadto pismo odnosi się m.in. do argumentacji Prezesa UOKiK zawartej w odpowiedzi na odwołanie w zakresie rażące</w:t>
      </w:r>
      <w:r>
        <w:rPr>
          <w:rFonts w:ascii="Times New Roman" w:hAnsi="Times New Roman" w:cs="Times New Roman"/>
          <w:bCs/>
          <w:sz w:val="24"/>
          <w:szCs w:val="24"/>
        </w:rPr>
        <w:t>j i niesprawiedliwej kary pieniężnej, wymierzonej powodowi.</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i/>
          <w:sz w:val="24"/>
          <w:szCs w:val="24"/>
        </w:rPr>
        <w:t xml:space="preserve">(replika powoda PZM z 9 kwietnia 2024 r. na odpowiedź Prezesa UOKiK, sygn.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84/23, k. 191 – 216 akt sąd.; replika powoda EŻ z 9 kwietnia 2024 r. na odpowiedź Prezesa UOKiK, sygn.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w:t>
      </w:r>
      <w:r>
        <w:rPr>
          <w:rFonts w:ascii="Times New Roman" w:hAnsi="Times New Roman" w:cs="Times New Roman"/>
          <w:bCs/>
          <w:i/>
          <w:sz w:val="24"/>
          <w:szCs w:val="24"/>
        </w:rPr>
        <w:t>85/23, k. 235 – 260 akt sąd.)</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Postanowieniem z 5 czerwca 2024 r. Sąd Ochrony Konkurencji i Konsumentów (dalej też: </w:t>
      </w:r>
      <w:proofErr w:type="spellStart"/>
      <w:r>
        <w:rPr>
          <w:rFonts w:ascii="Times New Roman" w:hAnsi="Times New Roman" w:cs="Times New Roman"/>
          <w:bCs/>
          <w:sz w:val="24"/>
          <w:szCs w:val="24"/>
        </w:rPr>
        <w:t>SOKiK</w:t>
      </w:r>
      <w:proofErr w:type="spellEnd"/>
      <w:r>
        <w:rPr>
          <w:rFonts w:ascii="Times New Roman" w:hAnsi="Times New Roman" w:cs="Times New Roman"/>
          <w:bCs/>
          <w:sz w:val="24"/>
          <w:szCs w:val="24"/>
        </w:rPr>
        <w:t xml:space="preserve">) połączył sprawę o sygn. akt XVII </w:t>
      </w:r>
      <w:proofErr w:type="spellStart"/>
      <w:r>
        <w:rPr>
          <w:rFonts w:ascii="Times New Roman" w:hAnsi="Times New Roman" w:cs="Times New Roman"/>
          <w:bCs/>
          <w:sz w:val="24"/>
          <w:szCs w:val="24"/>
        </w:rPr>
        <w:t>AmA</w:t>
      </w:r>
      <w:proofErr w:type="spellEnd"/>
      <w:r>
        <w:rPr>
          <w:rFonts w:ascii="Times New Roman" w:hAnsi="Times New Roman" w:cs="Times New Roman"/>
          <w:bCs/>
          <w:sz w:val="24"/>
          <w:szCs w:val="24"/>
        </w:rPr>
        <w:t xml:space="preserve"> 84/23 do wspólnego rozpoznania </w:t>
      </w:r>
      <w:r>
        <w:rPr>
          <w:rFonts w:ascii="Times New Roman" w:hAnsi="Times New Roman" w:cs="Times New Roman"/>
          <w:bCs/>
          <w:sz w:val="24"/>
          <w:szCs w:val="24"/>
        </w:rPr>
        <w:lastRenderedPageBreak/>
        <w:t xml:space="preserve">i rozstrzygnięcia ze sprawą o sygn. akt XVII </w:t>
      </w:r>
      <w:proofErr w:type="spellStart"/>
      <w:r>
        <w:rPr>
          <w:rFonts w:ascii="Times New Roman" w:hAnsi="Times New Roman" w:cs="Times New Roman"/>
          <w:bCs/>
          <w:sz w:val="24"/>
          <w:szCs w:val="24"/>
        </w:rPr>
        <w:t>AmA</w:t>
      </w:r>
      <w:proofErr w:type="spellEnd"/>
      <w:r>
        <w:rPr>
          <w:rFonts w:ascii="Times New Roman" w:hAnsi="Times New Roman" w:cs="Times New Roman"/>
          <w:bCs/>
          <w:sz w:val="24"/>
          <w:szCs w:val="24"/>
        </w:rPr>
        <w:t xml:space="preserve"> 85/23. Przedmiot</w:t>
      </w:r>
      <w:r>
        <w:rPr>
          <w:rFonts w:ascii="Times New Roman" w:hAnsi="Times New Roman" w:cs="Times New Roman"/>
          <w:bCs/>
          <w:sz w:val="24"/>
          <w:szCs w:val="24"/>
        </w:rPr>
        <w:t xml:space="preserve">owym postanowieniem Sąd zdecydował prowadzić połączone sprawy pod wspólną sygnaturą XVII </w:t>
      </w:r>
      <w:proofErr w:type="spellStart"/>
      <w:r>
        <w:rPr>
          <w:rFonts w:ascii="Times New Roman" w:hAnsi="Times New Roman" w:cs="Times New Roman"/>
          <w:bCs/>
          <w:sz w:val="24"/>
          <w:szCs w:val="24"/>
        </w:rPr>
        <w:t>AmA</w:t>
      </w:r>
      <w:proofErr w:type="spellEnd"/>
      <w:r>
        <w:rPr>
          <w:rFonts w:ascii="Times New Roman" w:hAnsi="Times New Roman" w:cs="Times New Roman"/>
          <w:bCs/>
          <w:sz w:val="24"/>
          <w:szCs w:val="24"/>
        </w:rPr>
        <w:t xml:space="preserve"> 84/23. </w:t>
      </w:r>
    </w:p>
    <w:p w:rsidR="006C2E2F" w:rsidRDefault="00D86529">
      <w:pPr>
        <w:pStyle w:val="Akapitzlist"/>
        <w:spacing w:before="240" w:after="0" w:line="360" w:lineRule="auto"/>
        <w:ind w:left="0"/>
        <w:contextualSpacing w:val="0"/>
        <w:jc w:val="both"/>
        <w:rPr>
          <w:rFonts w:ascii="Times New Roman" w:hAnsi="Times New Roman" w:cs="Times New Roman"/>
          <w:bCs/>
          <w:i/>
          <w:sz w:val="24"/>
          <w:szCs w:val="24"/>
        </w:rPr>
      </w:pPr>
      <w:r>
        <w:rPr>
          <w:rFonts w:ascii="Times New Roman" w:hAnsi="Times New Roman" w:cs="Times New Roman"/>
          <w:bCs/>
          <w:i/>
          <w:sz w:val="24"/>
          <w:szCs w:val="24"/>
        </w:rPr>
        <w:t xml:space="preserve">(postanowienie </w:t>
      </w:r>
      <w:proofErr w:type="spellStart"/>
      <w:r>
        <w:rPr>
          <w:rFonts w:ascii="Times New Roman" w:hAnsi="Times New Roman" w:cs="Times New Roman"/>
          <w:bCs/>
          <w:i/>
          <w:sz w:val="24"/>
          <w:szCs w:val="24"/>
        </w:rPr>
        <w:t>SOKiK</w:t>
      </w:r>
      <w:proofErr w:type="spellEnd"/>
      <w:r>
        <w:rPr>
          <w:rFonts w:ascii="Times New Roman" w:hAnsi="Times New Roman" w:cs="Times New Roman"/>
          <w:bCs/>
          <w:i/>
          <w:sz w:val="24"/>
          <w:szCs w:val="24"/>
        </w:rPr>
        <w:t xml:space="preserve"> z 5 czerwca 2024 r., sygn.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84/23, k. 221akt sąd.)</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 xml:space="preserve">W piśmie powodów z 18 czerwca 2025 r. strony wskazały na pogarszającą się </w:t>
      </w:r>
      <w:r>
        <w:rPr>
          <w:rFonts w:ascii="Times New Roman" w:hAnsi="Times New Roman" w:cs="Times New Roman"/>
          <w:bCs/>
          <w:sz w:val="24"/>
          <w:szCs w:val="24"/>
        </w:rPr>
        <w:t>sytuację finansową Klubu Stal Gorzów, podkreślając główne czynniki stojące za pogarszającą się sytuacją Klubu, tj. m.in. rosnące koszty związane z wynagrodzeniami zawodników.</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i/>
          <w:sz w:val="24"/>
          <w:szCs w:val="24"/>
        </w:rPr>
        <w:t>(pismo powodów z 18 czerwca 2025 r., k. 259 – 261 akt sąd.)</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Prezes Urzędu Ochron</w:t>
      </w:r>
      <w:r>
        <w:rPr>
          <w:rFonts w:ascii="Times New Roman" w:hAnsi="Times New Roman" w:cs="Times New Roman"/>
          <w:bCs/>
          <w:sz w:val="24"/>
          <w:szCs w:val="24"/>
        </w:rPr>
        <w:t>y Konkurencji i Konsumentów w piśmie z 17 lipca 2025 r. podniósł, że kwestie wyników finansowych osiąganych przez kluby należące do Polskiego Związku Motorowego pozostają irrelewantne dla niniejszego postępowania sądowego i jako takie nie powinny być przed</w:t>
      </w:r>
      <w:r>
        <w:rPr>
          <w:rFonts w:ascii="Times New Roman" w:hAnsi="Times New Roman" w:cs="Times New Roman"/>
          <w:bCs/>
          <w:sz w:val="24"/>
          <w:szCs w:val="24"/>
        </w:rPr>
        <w:t>miotem analizy Sądu. Prezes Urzędu zauważył, że nie ponosi odpowiedzialności za zarządzanie klubami i nie ma wpływu na wysokości kosztów ani wpływów do klubów, a zaskarżona decyzja w żaden sposób nie wymusiła na klubach zwiększenia wydatków na wynagrodzeni</w:t>
      </w:r>
      <w:r>
        <w:rPr>
          <w:rFonts w:ascii="Times New Roman" w:hAnsi="Times New Roman" w:cs="Times New Roman"/>
          <w:bCs/>
          <w:sz w:val="24"/>
          <w:szCs w:val="24"/>
        </w:rPr>
        <w:t>a zawodników, a jedynie uniemożliwiła ingerencję Polskiemu Związkowi Motorowemu w te kwestie oraz ustalanie przez kluby, uzgodnionych pomiędzy nimi, wysokości wynagrodzeń.</w:t>
      </w:r>
    </w:p>
    <w:p w:rsidR="006C2E2F" w:rsidRDefault="00D86529">
      <w:pPr>
        <w:pStyle w:val="Akapitzlist"/>
        <w:spacing w:before="240" w:after="0" w:line="360" w:lineRule="auto"/>
        <w:ind w:left="0"/>
        <w:contextualSpacing w:val="0"/>
        <w:jc w:val="both"/>
        <w:rPr>
          <w:rFonts w:ascii="Times New Roman" w:hAnsi="Times New Roman" w:cs="Times New Roman"/>
          <w:bCs/>
          <w:i/>
          <w:sz w:val="24"/>
          <w:szCs w:val="24"/>
        </w:rPr>
      </w:pPr>
      <w:r>
        <w:rPr>
          <w:rFonts w:ascii="Times New Roman" w:hAnsi="Times New Roman" w:cs="Times New Roman"/>
          <w:bCs/>
          <w:i/>
          <w:sz w:val="24"/>
          <w:szCs w:val="24"/>
        </w:rPr>
        <w:t>(pismo Prezesa UOKiK z 17 lipca 2025 r., k. akt sąd.)</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Na rozprawie z 8 sierpnia 202</w:t>
      </w:r>
      <w:r>
        <w:rPr>
          <w:rFonts w:ascii="Times New Roman" w:hAnsi="Times New Roman" w:cs="Times New Roman"/>
          <w:bCs/>
          <w:sz w:val="24"/>
          <w:szCs w:val="24"/>
        </w:rPr>
        <w:t>5 r. powodowie podtrzymali dotychczasowe stanowisko w sprawie podkreślając, że PZM oraz EŻ nie są konkurentami na rynku oraz, że decyzja zawiera rozbieżności w treści sentencji i uzasadnienia. Ponadto w ocenie powodów kara wyjściowa była nieadekwatna do po</w:t>
      </w:r>
      <w:r>
        <w:rPr>
          <w:rFonts w:ascii="Times New Roman" w:hAnsi="Times New Roman" w:cs="Times New Roman"/>
          <w:bCs/>
          <w:sz w:val="24"/>
          <w:szCs w:val="24"/>
        </w:rPr>
        <w:t xml:space="preserve">tencjału ekonomicznego EŻ. Strona powodowa podtrzymała wszystkie wnioski zawarte w </w:t>
      </w:r>
      <w:proofErr w:type="spellStart"/>
      <w:r>
        <w:rPr>
          <w:rFonts w:ascii="Times New Roman" w:hAnsi="Times New Roman" w:cs="Times New Roman"/>
          <w:bCs/>
          <w:sz w:val="24"/>
          <w:szCs w:val="24"/>
        </w:rPr>
        <w:t>odwołaniach</w:t>
      </w:r>
      <w:proofErr w:type="spellEnd"/>
      <w:r>
        <w:rPr>
          <w:rFonts w:ascii="Times New Roman" w:hAnsi="Times New Roman" w:cs="Times New Roman"/>
          <w:bCs/>
          <w:sz w:val="24"/>
          <w:szCs w:val="24"/>
        </w:rPr>
        <w:t xml:space="preserve"> i innych pismach stron odwołujących.</w:t>
      </w:r>
    </w:p>
    <w:p w:rsidR="006C2E2F" w:rsidRDefault="00D86529">
      <w:pPr>
        <w:pStyle w:val="Akapitzlist"/>
        <w:spacing w:before="240" w:after="0" w:line="360" w:lineRule="auto"/>
        <w:ind w:left="0" w:firstLine="708"/>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Strona pozwana zmodyfikowała swoje wnioski zawarte w odpowiedzi na odwołanie EŻ z 17 listopada 2023 r. </w:t>
      </w:r>
      <w:r>
        <w:rPr>
          <w:rFonts w:ascii="Times New Roman" w:hAnsi="Times New Roman" w:cs="Times New Roman"/>
          <w:bCs/>
          <w:i/>
          <w:sz w:val="24"/>
          <w:szCs w:val="24"/>
        </w:rPr>
        <w:t xml:space="preserve">(sygn.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85/23</w:t>
      </w:r>
      <w:r>
        <w:rPr>
          <w:rFonts w:ascii="Times New Roman" w:hAnsi="Times New Roman" w:cs="Times New Roman"/>
          <w:bCs/>
          <w:i/>
          <w:sz w:val="24"/>
          <w:szCs w:val="24"/>
        </w:rPr>
        <w:t>, k. 197 – 217 akt sąd.)</w:t>
      </w:r>
      <w:r>
        <w:rPr>
          <w:rFonts w:ascii="Times New Roman" w:hAnsi="Times New Roman" w:cs="Times New Roman"/>
          <w:bCs/>
          <w:sz w:val="24"/>
          <w:szCs w:val="24"/>
        </w:rPr>
        <w:t xml:space="preserve">, w zakresie pkt 1. odpowiedzi na odwołanie i wniosła o odrzucenie odwołania w części, w jakiej zmierza ono do uchylenia całej decyzji, a więc również w zakresie kary pieniężnej nałożonej na Polski Związek Motorowy, tj. pkt II. </w:t>
      </w:r>
      <w:proofErr w:type="spellStart"/>
      <w:r>
        <w:rPr>
          <w:rFonts w:ascii="Times New Roman" w:hAnsi="Times New Roman" w:cs="Times New Roman"/>
          <w:bCs/>
          <w:sz w:val="24"/>
          <w:szCs w:val="24"/>
        </w:rPr>
        <w:t>ppkt</w:t>
      </w:r>
      <w:proofErr w:type="spellEnd"/>
      <w:r>
        <w:rPr>
          <w:rFonts w:ascii="Times New Roman" w:hAnsi="Times New Roman" w:cs="Times New Roman"/>
          <w:bCs/>
          <w:sz w:val="24"/>
          <w:szCs w:val="24"/>
        </w:rPr>
        <w:t xml:space="preserve"> i) decyzji oraz kosztów postępowania antymonopolowego z pkt III. </w:t>
      </w:r>
      <w:proofErr w:type="spellStart"/>
      <w:r>
        <w:rPr>
          <w:rFonts w:ascii="Times New Roman" w:hAnsi="Times New Roman" w:cs="Times New Roman"/>
          <w:bCs/>
          <w:sz w:val="24"/>
          <w:szCs w:val="24"/>
        </w:rPr>
        <w:t>ppkt</w:t>
      </w:r>
      <w:proofErr w:type="spellEnd"/>
      <w:r>
        <w:rPr>
          <w:rFonts w:ascii="Times New Roman" w:hAnsi="Times New Roman" w:cs="Times New Roman"/>
          <w:bCs/>
          <w:sz w:val="24"/>
          <w:szCs w:val="24"/>
        </w:rPr>
        <w:t xml:space="preserve"> i) decyzji, z uwagi na brak </w:t>
      </w:r>
      <w:proofErr w:type="spellStart"/>
      <w:r>
        <w:rPr>
          <w:rFonts w:ascii="Times New Roman" w:hAnsi="Times New Roman" w:cs="Times New Roman"/>
          <w:bCs/>
          <w:i/>
          <w:sz w:val="24"/>
          <w:szCs w:val="24"/>
        </w:rPr>
        <w:t>gravamen</w:t>
      </w:r>
      <w:proofErr w:type="spellEnd"/>
      <w:r>
        <w:rPr>
          <w:rFonts w:ascii="Times New Roman" w:hAnsi="Times New Roman" w:cs="Times New Roman"/>
          <w:bCs/>
          <w:sz w:val="24"/>
          <w:szCs w:val="24"/>
        </w:rPr>
        <w:t xml:space="preserve"> do zaskarżenia decyzji w tych częściach, a odnoszących się do Polskiego Związku Motorowego. Ewentualnie, na wypadek nieuwzględnienia wniosku o odrzucenie w tym zakresie, pozwany wniósł o oddalenie </w:t>
      </w:r>
      <w:r>
        <w:rPr>
          <w:rFonts w:ascii="Times New Roman" w:hAnsi="Times New Roman" w:cs="Times New Roman"/>
          <w:bCs/>
          <w:sz w:val="24"/>
          <w:szCs w:val="24"/>
        </w:rPr>
        <w:lastRenderedPageBreak/>
        <w:t>odwołania w tym zakresie oraz oddalenie odwołania w pozost</w:t>
      </w:r>
      <w:r>
        <w:rPr>
          <w:rFonts w:ascii="Times New Roman" w:hAnsi="Times New Roman" w:cs="Times New Roman"/>
          <w:bCs/>
          <w:sz w:val="24"/>
          <w:szCs w:val="24"/>
        </w:rPr>
        <w:t>ałej części. Pozwany, w pozostałym zakresie, podtrzymał dotychczasowe stanowisko w sprawie.</w:t>
      </w:r>
    </w:p>
    <w:p w:rsidR="006C2E2F" w:rsidRDefault="00D86529">
      <w:pPr>
        <w:pStyle w:val="Akapitzlist"/>
        <w:spacing w:before="240" w:after="0" w:line="360" w:lineRule="auto"/>
        <w:ind w:left="0" w:firstLine="708"/>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W analogiczny sposób strona pozwana zmodyfikowała swój wniosek, wyrażony w odpowiedzi na odwołanie PZM z 17 listopada 2023 r. </w:t>
      </w:r>
      <w:r>
        <w:rPr>
          <w:rFonts w:ascii="Times New Roman" w:hAnsi="Times New Roman" w:cs="Times New Roman"/>
          <w:bCs/>
          <w:i/>
          <w:sz w:val="24"/>
          <w:szCs w:val="24"/>
        </w:rPr>
        <w:t xml:space="preserve">(sygn.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84/23, k. 155 – 174v a</w:t>
      </w:r>
      <w:r>
        <w:rPr>
          <w:rFonts w:ascii="Times New Roman" w:hAnsi="Times New Roman" w:cs="Times New Roman"/>
          <w:bCs/>
          <w:i/>
          <w:sz w:val="24"/>
          <w:szCs w:val="24"/>
        </w:rPr>
        <w:t>kt sąd.),</w:t>
      </w:r>
      <w:r>
        <w:rPr>
          <w:rFonts w:ascii="Times New Roman" w:hAnsi="Times New Roman" w:cs="Times New Roman"/>
          <w:bCs/>
          <w:sz w:val="24"/>
          <w:szCs w:val="24"/>
        </w:rPr>
        <w:t xml:space="preserve"> tj. wnosząc o odrzucenie odwołania w części, w jakiej zmierza ono do uchylenia całej decyzji a więc również w zakresie kary pieniężnej nałożonej na EŻ, tj. pkt II. </w:t>
      </w:r>
      <w:proofErr w:type="spellStart"/>
      <w:r>
        <w:rPr>
          <w:rFonts w:ascii="Times New Roman" w:hAnsi="Times New Roman" w:cs="Times New Roman"/>
          <w:bCs/>
          <w:sz w:val="24"/>
          <w:szCs w:val="24"/>
        </w:rPr>
        <w:t>ppkt</w:t>
      </w:r>
      <w:proofErr w:type="spellEnd"/>
      <w:r>
        <w:rPr>
          <w:rFonts w:ascii="Times New Roman" w:hAnsi="Times New Roman" w:cs="Times New Roman"/>
          <w:bCs/>
          <w:sz w:val="24"/>
          <w:szCs w:val="24"/>
        </w:rPr>
        <w:t xml:space="preserve"> ii) decyzji oraz kosztów postępowania antymonopolowego pkt III. </w:t>
      </w:r>
      <w:proofErr w:type="spellStart"/>
      <w:r>
        <w:rPr>
          <w:rFonts w:ascii="Times New Roman" w:hAnsi="Times New Roman" w:cs="Times New Roman"/>
          <w:bCs/>
          <w:sz w:val="24"/>
          <w:szCs w:val="24"/>
        </w:rPr>
        <w:t>ppkt</w:t>
      </w:r>
      <w:proofErr w:type="spellEnd"/>
      <w:r>
        <w:rPr>
          <w:rFonts w:ascii="Times New Roman" w:hAnsi="Times New Roman" w:cs="Times New Roman"/>
          <w:bCs/>
          <w:sz w:val="24"/>
          <w:szCs w:val="24"/>
        </w:rPr>
        <w:t xml:space="preserve"> ii) decy</w:t>
      </w:r>
      <w:r>
        <w:rPr>
          <w:rFonts w:ascii="Times New Roman" w:hAnsi="Times New Roman" w:cs="Times New Roman"/>
          <w:bCs/>
          <w:sz w:val="24"/>
          <w:szCs w:val="24"/>
        </w:rPr>
        <w:t xml:space="preserve">zji, z uwagi na brak </w:t>
      </w:r>
      <w:proofErr w:type="spellStart"/>
      <w:r>
        <w:rPr>
          <w:rFonts w:ascii="Times New Roman" w:hAnsi="Times New Roman" w:cs="Times New Roman"/>
          <w:bCs/>
          <w:i/>
          <w:sz w:val="24"/>
          <w:szCs w:val="24"/>
        </w:rPr>
        <w:t>gravamen</w:t>
      </w:r>
      <w:proofErr w:type="spellEnd"/>
      <w:r>
        <w:rPr>
          <w:rFonts w:ascii="Times New Roman" w:hAnsi="Times New Roman" w:cs="Times New Roman"/>
          <w:bCs/>
          <w:sz w:val="24"/>
          <w:szCs w:val="24"/>
        </w:rPr>
        <w:t xml:space="preserve"> do zaskarżenia decyzji w tych częściach, a odnoszących się do powoda EŻ. Ewentualnie, na wypadek nieuwzględnienia przedmiotowego wniosku o odrzucenie w tym zakresie, pozwany wniósł o oddalenie odwołania w tym zakresie oraz odd</w:t>
      </w:r>
      <w:r>
        <w:rPr>
          <w:rFonts w:ascii="Times New Roman" w:hAnsi="Times New Roman" w:cs="Times New Roman"/>
          <w:bCs/>
          <w:sz w:val="24"/>
          <w:szCs w:val="24"/>
        </w:rPr>
        <w:t>alenie odwołania w pozostałej części. W pozostałym zakresie pozwany podtrzymał swoje stanowisko.</w:t>
      </w:r>
    </w:p>
    <w:p w:rsidR="006C2E2F" w:rsidRDefault="00D86529">
      <w:pPr>
        <w:pStyle w:val="Akapitzlist"/>
        <w:spacing w:before="240" w:after="0" w:line="360" w:lineRule="auto"/>
        <w:ind w:left="0" w:firstLine="708"/>
        <w:contextualSpacing w:val="0"/>
        <w:jc w:val="both"/>
        <w:rPr>
          <w:rFonts w:ascii="Times New Roman" w:hAnsi="Times New Roman" w:cs="Times New Roman"/>
          <w:bCs/>
          <w:sz w:val="24"/>
          <w:szCs w:val="24"/>
        </w:rPr>
      </w:pPr>
      <w:r>
        <w:rPr>
          <w:rFonts w:ascii="Times New Roman" w:hAnsi="Times New Roman" w:cs="Times New Roman"/>
          <w:bCs/>
          <w:sz w:val="24"/>
          <w:szCs w:val="24"/>
        </w:rPr>
        <w:t>Ponadto pozwany wniósł o pominięcie złożonej przez powodów prywatnej opinii dotyczącej kondycji ekonomicznej klubów, jako dotyczącej okoliczności, które nie ma</w:t>
      </w:r>
      <w:r>
        <w:rPr>
          <w:rFonts w:ascii="Times New Roman" w:hAnsi="Times New Roman" w:cs="Times New Roman"/>
          <w:bCs/>
          <w:sz w:val="24"/>
          <w:szCs w:val="24"/>
        </w:rPr>
        <w:t xml:space="preserve">ją znaczenia dla rozstrzygnięcia sprawy, która dotyczy zawarcia porozumienia a nie kondycji finansowej klubów sportowych i ich przyczyn. </w:t>
      </w:r>
    </w:p>
    <w:p w:rsidR="006C2E2F" w:rsidRDefault="00D86529">
      <w:pPr>
        <w:pStyle w:val="Akapitzlist"/>
        <w:spacing w:before="240" w:after="0" w:line="360" w:lineRule="auto"/>
        <w:ind w:left="0" w:firstLine="708"/>
        <w:contextualSpacing w:val="0"/>
        <w:jc w:val="both"/>
        <w:rPr>
          <w:rFonts w:ascii="Times New Roman" w:hAnsi="Times New Roman" w:cs="Times New Roman"/>
          <w:bCs/>
          <w:sz w:val="24"/>
          <w:szCs w:val="24"/>
        </w:rPr>
      </w:pPr>
      <w:r>
        <w:rPr>
          <w:rFonts w:ascii="Times New Roman" w:hAnsi="Times New Roman" w:cs="Times New Roman"/>
          <w:bCs/>
          <w:sz w:val="24"/>
          <w:szCs w:val="24"/>
        </w:rPr>
        <w:t>Przewodnicząca na rozprawie 8 sierpnia 2025 r. na podstawie art. 156</w:t>
      </w:r>
      <w:r>
        <w:rPr>
          <w:rFonts w:ascii="Times New Roman" w:hAnsi="Times New Roman" w:cs="Times New Roman"/>
          <w:bCs/>
          <w:sz w:val="24"/>
          <w:szCs w:val="24"/>
          <w:vertAlign w:val="superscript"/>
        </w:rPr>
        <w:t>1</w:t>
      </w:r>
      <w:r>
        <w:rPr>
          <w:rFonts w:ascii="Times New Roman" w:hAnsi="Times New Roman" w:cs="Times New Roman"/>
          <w:bCs/>
          <w:sz w:val="24"/>
          <w:szCs w:val="24"/>
        </w:rPr>
        <w:t xml:space="preserve"> § 1 i 2 k.p.c. poinformowała strony o prawdopodo</w:t>
      </w:r>
      <w:r>
        <w:rPr>
          <w:rFonts w:ascii="Times New Roman" w:hAnsi="Times New Roman" w:cs="Times New Roman"/>
          <w:bCs/>
          <w:sz w:val="24"/>
          <w:szCs w:val="24"/>
        </w:rPr>
        <w:t>bnym wyniku sprawy w oparciu o dotychczasowe zarzuty wobec twierdzeń pozwanego (organu w decyzji) oraz dowody, co do zastosowania przepisów określonych w zarzucie 1 i 2 a-c każdego odwołania o przytoczonej wyżej treści.</w:t>
      </w:r>
    </w:p>
    <w:p w:rsidR="006C2E2F" w:rsidRDefault="00D86529">
      <w:pPr>
        <w:pStyle w:val="Akapitzlist"/>
        <w:spacing w:before="240" w:after="0" w:line="360" w:lineRule="auto"/>
        <w:ind w:left="0" w:firstLine="708"/>
        <w:contextualSpacing w:val="0"/>
        <w:jc w:val="both"/>
        <w:rPr>
          <w:rFonts w:ascii="Times New Roman" w:hAnsi="Times New Roman" w:cs="Times New Roman"/>
          <w:bCs/>
          <w:sz w:val="24"/>
          <w:szCs w:val="24"/>
        </w:rPr>
      </w:pPr>
      <w:r>
        <w:rPr>
          <w:rFonts w:ascii="Times New Roman" w:hAnsi="Times New Roman" w:cs="Times New Roman"/>
          <w:bCs/>
          <w:sz w:val="24"/>
          <w:szCs w:val="24"/>
        </w:rPr>
        <w:t>Postanowieniem z rozprawy 8 sierpnia</w:t>
      </w:r>
      <w:r>
        <w:rPr>
          <w:rFonts w:ascii="Times New Roman" w:hAnsi="Times New Roman" w:cs="Times New Roman"/>
          <w:bCs/>
          <w:sz w:val="24"/>
          <w:szCs w:val="24"/>
        </w:rPr>
        <w:t xml:space="preserve"> 2025 r., Sąd  mając na względzie powołane stanowisko zarządził wymianę pism procesowych między stronami postępowania, co do twierdzeń i zarzutów dotyczących relacji między PZM i Ekstraligą Żużlową sp. z o.o.; pozostawania ich w jednej grupie kapitałowej n</w:t>
      </w:r>
      <w:r>
        <w:rPr>
          <w:rFonts w:ascii="Times New Roman" w:hAnsi="Times New Roman" w:cs="Times New Roman"/>
          <w:bCs/>
          <w:sz w:val="24"/>
          <w:szCs w:val="24"/>
        </w:rPr>
        <w:t>a gruncie prawa krajowego oraz tworzenia jednego organizmu gospodarczego na gruncie prawa unijnego, jak też prawnej i faktycznej możliwości zawarcia porozumienia ograniczającego konkurencję, polegającego na ustalaniu cen pomiędzy tymi podmiotami w zakresie</w:t>
      </w:r>
      <w:r>
        <w:rPr>
          <w:rFonts w:ascii="Times New Roman" w:hAnsi="Times New Roman" w:cs="Times New Roman"/>
          <w:bCs/>
          <w:sz w:val="24"/>
          <w:szCs w:val="24"/>
        </w:rPr>
        <w:t xml:space="preserve"> objętym zaskarżoną decyzją Prezesa UOKiK. Sąd zobowiązał dodatkowo stronę powodową do złożenia tekstu jednolitego umowy spółki Ekstraliga Żużlowa sp. z o.o. do dnia wydania decyzji, w wersji uwzględniającej widoczne zmiany tej umowy, wpisane przez Sąd Rej</w:t>
      </w:r>
      <w:r>
        <w:rPr>
          <w:rFonts w:ascii="Times New Roman" w:hAnsi="Times New Roman" w:cs="Times New Roman"/>
          <w:bCs/>
          <w:sz w:val="24"/>
          <w:szCs w:val="24"/>
        </w:rPr>
        <w:t>estrowy od początku istnienia spółki.</w:t>
      </w:r>
    </w:p>
    <w:p w:rsidR="006C2E2F" w:rsidRDefault="00D86529">
      <w:pPr>
        <w:pStyle w:val="Akapitzlist"/>
        <w:spacing w:before="240" w:after="0" w:line="360" w:lineRule="auto"/>
        <w:ind w:left="0"/>
        <w:contextualSpacing w:val="0"/>
        <w:jc w:val="both"/>
        <w:rPr>
          <w:rFonts w:ascii="Times New Roman" w:hAnsi="Times New Roman" w:cs="Times New Roman"/>
          <w:bCs/>
          <w:i/>
          <w:sz w:val="24"/>
          <w:szCs w:val="24"/>
        </w:rPr>
      </w:pPr>
      <w:r>
        <w:rPr>
          <w:rFonts w:ascii="Times New Roman" w:hAnsi="Times New Roman" w:cs="Times New Roman"/>
          <w:bCs/>
          <w:i/>
          <w:sz w:val="24"/>
          <w:szCs w:val="24"/>
        </w:rPr>
        <w:t>(protokół z rozprawy z 8 sierpnia 2025 r. k. 305 – 306v akt sąd.)</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lastRenderedPageBreak/>
        <w:tab/>
        <w:t>W piśmie z 18 września 2025 r. strony powodowe podtrzymały stanowisko w sprawie, wskazując, że analiza całokształtu relacji PZM i EŻ, przy uwzględnieni</w:t>
      </w:r>
      <w:r>
        <w:rPr>
          <w:rFonts w:ascii="Times New Roman" w:hAnsi="Times New Roman" w:cs="Times New Roman"/>
          <w:bCs/>
          <w:sz w:val="24"/>
          <w:szCs w:val="24"/>
        </w:rPr>
        <w:t>u szczególnego statusu PZM i EŻ, wynikającego z natury ich działalności i przepisów ustawy o sporcie potwierdza, że strony tworzą jedną grupę kapitałową na gruncie prawa krajowego oraz jeden organizm gospodarczy na gruncie prawa unijnego. W kontekście powy</w:t>
      </w:r>
      <w:r>
        <w:rPr>
          <w:rFonts w:ascii="Times New Roman" w:hAnsi="Times New Roman" w:cs="Times New Roman"/>
          <w:bCs/>
          <w:sz w:val="24"/>
          <w:szCs w:val="24"/>
        </w:rPr>
        <w:t xml:space="preserve">ższego strona powodowa zaprezentowała w przedmiotowym piśmie obszerną argumentację, podkreślając, że PZM posiadał na dzień wydania zaskarżonej decyzji (i nadal posiada) aż 58,29% udziałów w EŻ, a nie – jak błędnie uznał Prezes UOKiK – 44,4% udziałów. </w:t>
      </w:r>
    </w:p>
    <w:p w:rsidR="006C2E2F" w:rsidRDefault="00D86529">
      <w:pPr>
        <w:pStyle w:val="Akapitzlist"/>
        <w:spacing w:before="240" w:after="0" w:line="360" w:lineRule="auto"/>
        <w:ind w:left="0" w:firstLine="708"/>
        <w:contextualSpacing w:val="0"/>
        <w:jc w:val="both"/>
        <w:rPr>
          <w:rFonts w:ascii="Times New Roman" w:hAnsi="Times New Roman" w:cs="Times New Roman"/>
          <w:bCs/>
          <w:sz w:val="24"/>
          <w:szCs w:val="24"/>
        </w:rPr>
      </w:pPr>
      <w:r>
        <w:rPr>
          <w:rFonts w:ascii="Times New Roman" w:hAnsi="Times New Roman" w:cs="Times New Roman"/>
          <w:bCs/>
          <w:sz w:val="24"/>
          <w:szCs w:val="24"/>
        </w:rPr>
        <w:t>Wedł</w:t>
      </w:r>
      <w:r>
        <w:rPr>
          <w:rFonts w:ascii="Times New Roman" w:hAnsi="Times New Roman" w:cs="Times New Roman"/>
          <w:bCs/>
          <w:sz w:val="24"/>
          <w:szCs w:val="24"/>
        </w:rPr>
        <w:t xml:space="preserve">ug powodów, błąd organu w tej zasadniczej kwestii, skutkował bezpodstawnym przypisaniem powodom </w:t>
      </w:r>
      <w:proofErr w:type="spellStart"/>
      <w:r>
        <w:rPr>
          <w:rFonts w:ascii="Times New Roman" w:hAnsi="Times New Roman" w:cs="Times New Roman"/>
          <w:bCs/>
          <w:sz w:val="24"/>
          <w:szCs w:val="24"/>
        </w:rPr>
        <w:t>antykonkurencyjnego</w:t>
      </w:r>
      <w:proofErr w:type="spellEnd"/>
      <w:r>
        <w:rPr>
          <w:rFonts w:ascii="Times New Roman" w:hAnsi="Times New Roman" w:cs="Times New Roman"/>
          <w:bCs/>
          <w:sz w:val="24"/>
          <w:szCs w:val="24"/>
        </w:rPr>
        <w:t xml:space="preserve"> porozumienia, co w ocenie skarżących stanowi rażące naruszenie prawa oraz stoi w sprzeczności z podstawowymi założeniami polskiego i unijneg</w:t>
      </w:r>
      <w:r>
        <w:rPr>
          <w:rFonts w:ascii="Times New Roman" w:hAnsi="Times New Roman" w:cs="Times New Roman"/>
          <w:bCs/>
          <w:sz w:val="24"/>
          <w:szCs w:val="24"/>
        </w:rPr>
        <w:t>o prawa konkurencji. Pismo zawiera ponadto załącznik w postaci umowy spółki EŻ, obowiązującej do dnia wydania zaskarżonej decyzji, w wersji uwzględniającej widoczne zmiany tej umowy, wpisane przez Sąd Rejestrowy od początku istnienia spółki.</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i/>
          <w:sz w:val="24"/>
          <w:szCs w:val="24"/>
        </w:rPr>
        <w:t>(pismo powodów</w:t>
      </w:r>
      <w:r>
        <w:rPr>
          <w:rFonts w:ascii="Times New Roman" w:hAnsi="Times New Roman" w:cs="Times New Roman"/>
          <w:bCs/>
          <w:i/>
          <w:sz w:val="24"/>
          <w:szCs w:val="24"/>
        </w:rPr>
        <w:t xml:space="preserve"> z 18 września 2025 r., k. 307 – 371 akt sąd.)</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sz w:val="24"/>
          <w:szCs w:val="24"/>
        </w:rPr>
        <w:tab/>
        <w:t>W piśmie z 19 września 2025 r. pozwany podtrzymał stanowisko wyrażone w zaskarżonej decyzji, w odpowiedziach na odwołania, jak również zaprezentowane na rozprawie 8 sierpnia 2025 r. Organ podkreślił, że zaska</w:t>
      </w:r>
      <w:r>
        <w:rPr>
          <w:rFonts w:ascii="Times New Roman" w:hAnsi="Times New Roman" w:cs="Times New Roman"/>
          <w:bCs/>
          <w:sz w:val="24"/>
          <w:szCs w:val="24"/>
        </w:rPr>
        <w:t>rżona decyzja dotyczy przede wszystkim porozumienia, polegającego na koordynacji działań klubów zrzeszonych w PZM, której celem było ograniczenie konkurencji pomiędzy klubami, poprzez ustalanie maksymalnych stawek wynagrodzeń zawodników, biorących udział w</w:t>
      </w:r>
      <w:r>
        <w:rPr>
          <w:rFonts w:ascii="Times New Roman" w:hAnsi="Times New Roman" w:cs="Times New Roman"/>
          <w:bCs/>
          <w:sz w:val="24"/>
          <w:szCs w:val="24"/>
        </w:rPr>
        <w:t xml:space="preserve"> rozgrywkach ligowych sportu żużlowego.</w:t>
      </w:r>
    </w:p>
    <w:p w:rsidR="006C2E2F" w:rsidRDefault="00D86529">
      <w:pPr>
        <w:pStyle w:val="Akapitzlist"/>
        <w:spacing w:before="240" w:after="0" w:line="360" w:lineRule="auto"/>
        <w:ind w:left="0" w:firstLine="708"/>
        <w:contextualSpacing w:val="0"/>
        <w:jc w:val="both"/>
        <w:rPr>
          <w:rFonts w:ascii="Times New Roman" w:hAnsi="Times New Roman" w:cs="Times New Roman"/>
          <w:bCs/>
          <w:sz w:val="24"/>
          <w:szCs w:val="24"/>
        </w:rPr>
      </w:pPr>
      <w:r>
        <w:rPr>
          <w:rFonts w:ascii="Times New Roman" w:hAnsi="Times New Roman" w:cs="Times New Roman"/>
          <w:bCs/>
          <w:sz w:val="24"/>
          <w:szCs w:val="24"/>
        </w:rPr>
        <w:t>Prezes Urzędu wskazał, że EŻ współdziałała z PZM w realizacji praktyki ograniczającej konkurencję w zakresie, w jakim praktyka ta obejmowała kluby startujące w Ekstralidze Żużlowej. Celem tej współpracy było ogranicz</w:t>
      </w:r>
      <w:r>
        <w:rPr>
          <w:rFonts w:ascii="Times New Roman" w:hAnsi="Times New Roman" w:cs="Times New Roman"/>
          <w:bCs/>
          <w:sz w:val="24"/>
          <w:szCs w:val="24"/>
        </w:rPr>
        <w:t xml:space="preserve">enie konkurencji pomiędzy klubami zrzeszonymi w PZM i nawet jeśli – czemu pozwany zaprzeczył – PZM i EŻ stanowią jeden organizm gospodarczy, to okoliczność ta nie niweczy głównego zarzutu stwierdzonego w decyzji, tj. zawarcia porozumienia w formie uchwały </w:t>
      </w:r>
      <w:r>
        <w:rPr>
          <w:rFonts w:ascii="Times New Roman" w:hAnsi="Times New Roman" w:cs="Times New Roman"/>
          <w:bCs/>
          <w:sz w:val="24"/>
          <w:szCs w:val="24"/>
        </w:rPr>
        <w:t>związku przedsiębiorców (oraz odpowiednio w rozumieniu prawa unijnego decyzji związku przedsiębiorstw) i nie może skutkować uchyleniem zaskarżonej decyzji. PZM jest związkiem zrzeszającym kluby żużlowe prowadzące działalność gospodarczą i jako związek podj</w:t>
      </w:r>
      <w:r>
        <w:rPr>
          <w:rFonts w:ascii="Times New Roman" w:hAnsi="Times New Roman" w:cs="Times New Roman"/>
          <w:bCs/>
          <w:sz w:val="24"/>
          <w:szCs w:val="24"/>
        </w:rPr>
        <w:t xml:space="preserve">ął uchwały, których celem było ograniczenie konkurencji pomiędzy podmiotami zrzeszonymi w związku, tj. pomiędzy klubami </w:t>
      </w:r>
      <w:r>
        <w:rPr>
          <w:rFonts w:ascii="Times New Roman" w:hAnsi="Times New Roman" w:cs="Times New Roman"/>
          <w:bCs/>
          <w:sz w:val="24"/>
          <w:szCs w:val="24"/>
        </w:rPr>
        <w:lastRenderedPageBreak/>
        <w:t>żużlowymi. Samo to zachowanie PZM – jako związku przedsiębiorców – jest naruszeniem, nawet gdyby w ogóle nie brać pod uwagę działań i ro</w:t>
      </w:r>
      <w:r>
        <w:rPr>
          <w:rFonts w:ascii="Times New Roman" w:hAnsi="Times New Roman" w:cs="Times New Roman"/>
          <w:bCs/>
          <w:sz w:val="24"/>
          <w:szCs w:val="24"/>
        </w:rPr>
        <w:t>li EŻ w tej sprawie.</w:t>
      </w:r>
    </w:p>
    <w:p w:rsidR="006C2E2F" w:rsidRDefault="00D86529">
      <w:pPr>
        <w:pStyle w:val="Akapitzlist"/>
        <w:spacing w:before="240" w:after="0" w:line="360" w:lineRule="auto"/>
        <w:ind w:left="0"/>
        <w:contextualSpacing w:val="0"/>
        <w:jc w:val="both"/>
        <w:rPr>
          <w:rFonts w:ascii="Times New Roman" w:hAnsi="Times New Roman" w:cs="Times New Roman"/>
          <w:bCs/>
          <w:sz w:val="24"/>
          <w:szCs w:val="24"/>
        </w:rPr>
      </w:pPr>
      <w:r>
        <w:rPr>
          <w:rFonts w:ascii="Times New Roman" w:hAnsi="Times New Roman" w:cs="Times New Roman"/>
          <w:bCs/>
          <w:i/>
          <w:sz w:val="24"/>
          <w:szCs w:val="24"/>
        </w:rPr>
        <w:t>(pismo Prezesa UOKiK z 19 września 2025 r., k.  373 – 375 akt sąd.)</w:t>
      </w:r>
    </w:p>
    <w:p w:rsidR="006C2E2F" w:rsidRDefault="00D86529">
      <w:pPr>
        <w:pStyle w:val="Akapitzlist"/>
        <w:spacing w:before="240" w:after="0" w:line="360" w:lineRule="auto"/>
        <w:ind w:left="0" w:firstLine="708"/>
        <w:contextualSpacing w:val="0"/>
        <w:jc w:val="both"/>
        <w:rPr>
          <w:rFonts w:ascii="Times New Roman" w:hAnsi="Times New Roman" w:cs="Times New Roman"/>
          <w:bCs/>
          <w:sz w:val="24"/>
          <w:szCs w:val="24"/>
        </w:rPr>
      </w:pPr>
      <w:r>
        <w:rPr>
          <w:rFonts w:ascii="Times New Roman" w:hAnsi="Times New Roman" w:cs="Times New Roman"/>
          <w:b/>
          <w:sz w:val="24"/>
          <w:szCs w:val="24"/>
        </w:rPr>
        <w:t>Sąd Okręgowy w Warszawie – Sąd Ochrony Konkurencji i Konsumentów ustalił następujący stan faktyczny</w:t>
      </w:r>
      <w:r>
        <w:rPr>
          <w:rFonts w:ascii="Times New Roman" w:hAnsi="Times New Roman" w:cs="Times New Roman"/>
          <w:bCs/>
          <w:sz w:val="24"/>
          <w:szCs w:val="24"/>
        </w:rPr>
        <w:t>.</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Polski Związek Motorowy z siedzibą w Warszawie jest związkiem spo</w:t>
      </w:r>
      <w:r>
        <w:rPr>
          <w:rFonts w:ascii="Times New Roman" w:hAnsi="Times New Roman" w:cs="Times New Roman"/>
          <w:bCs/>
          <w:sz w:val="24"/>
          <w:szCs w:val="24"/>
        </w:rPr>
        <w:t>rtowym w rozumieniu przepisu art. 7 in. ustawy z 25 czerwca 2010 r. o sporcie (</w:t>
      </w:r>
      <w:proofErr w:type="spellStart"/>
      <w:r>
        <w:rPr>
          <w:rFonts w:ascii="Times New Roman" w:hAnsi="Times New Roman" w:cs="Times New Roman"/>
          <w:bCs/>
          <w:sz w:val="24"/>
          <w:szCs w:val="24"/>
        </w:rPr>
        <w:t>t.j</w:t>
      </w:r>
      <w:proofErr w:type="spellEnd"/>
      <w:r>
        <w:rPr>
          <w:rFonts w:ascii="Times New Roman" w:hAnsi="Times New Roman" w:cs="Times New Roman"/>
          <w:bCs/>
          <w:sz w:val="24"/>
          <w:szCs w:val="24"/>
        </w:rPr>
        <w:t xml:space="preserve">. Dz. U. z 2022 r., poz. 1599 ze zm., dalej: ustawa o sporcie), utworzonym w celu organizacji i prowadzenia współzawodnictwa w sportach motorowych, tj. sporcie samochodowym, </w:t>
      </w:r>
      <w:r>
        <w:rPr>
          <w:rFonts w:ascii="Times New Roman" w:hAnsi="Times New Roman" w:cs="Times New Roman"/>
          <w:bCs/>
          <w:sz w:val="24"/>
          <w:szCs w:val="24"/>
        </w:rPr>
        <w:t xml:space="preserve">sporcie motocyklowym, sporcie kartingowym oraz sporcie żużlowym. </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 xml:space="preserve">(okoliczność bezsporna, pismo PZM z 14 października 2021 r., k. 11 akt adm.) </w:t>
      </w:r>
    </w:p>
    <w:p w:rsidR="006C2E2F" w:rsidRDefault="00D86529">
      <w:pPr>
        <w:spacing w:before="24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PZM ma osobowość prawną. Wpisany jest do rejestru stowarzyszeń, innych organizacji społecznych i zawodowych, fun</w:t>
      </w:r>
      <w:r>
        <w:rPr>
          <w:rFonts w:ascii="Times New Roman" w:hAnsi="Times New Roman" w:cs="Times New Roman"/>
          <w:bCs/>
          <w:sz w:val="24"/>
          <w:szCs w:val="24"/>
        </w:rPr>
        <w:t>dacji oraz samodzielnych publicznych zakładów opieki zdrowotnej Krajowego Rejestru Sądowego (nr KRS 36662). Nie jest wpisany do rejestru przedsiębiorców KRS. Zgodnie z informacją zawartą w KRS, na podstawie statutu PZM celem działania organizacji jest m.in</w:t>
      </w:r>
      <w:r>
        <w:rPr>
          <w:rFonts w:ascii="Times New Roman" w:hAnsi="Times New Roman" w:cs="Times New Roman"/>
          <w:bCs/>
          <w:sz w:val="24"/>
          <w:szCs w:val="24"/>
        </w:rPr>
        <w:t xml:space="preserve">. działalność oświatowa oraz kulturalna, krzewienie kultury motoryzacyjnej, działalność na rzecz podnoszenia bezpieczeństwa na drogach, rozwój sportów motorowych, jak również ochrona zdrowia i pomoc poszkodowanym w wypadkach drogowych. </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 xml:space="preserve">(dowody: odpis z </w:t>
      </w:r>
      <w:r>
        <w:rPr>
          <w:rFonts w:ascii="Times New Roman" w:hAnsi="Times New Roman" w:cs="Times New Roman"/>
          <w:bCs/>
          <w:i/>
          <w:sz w:val="24"/>
          <w:szCs w:val="24"/>
        </w:rPr>
        <w:t xml:space="preserve">KRS PZM, sygn.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84/23, k. 84 – 99 akt sąd., dane publicznie dostępne)</w:t>
      </w:r>
    </w:p>
    <w:p w:rsidR="006C2E2F" w:rsidRDefault="00D86529">
      <w:pPr>
        <w:spacing w:before="24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Władzami PZM są: Walne Zgromadzenie Delegatów, Zarząd Główny, Główna Komisja Rewizyjna i Trybunał Związku, których kompetencje i sposób powoływania określone są w statucie związk</w:t>
      </w:r>
      <w:r>
        <w:rPr>
          <w:rFonts w:ascii="Times New Roman" w:hAnsi="Times New Roman" w:cs="Times New Roman"/>
          <w:bCs/>
          <w:sz w:val="24"/>
          <w:szCs w:val="24"/>
        </w:rPr>
        <w:t>u. Statut związku podlega zatwierdzeniu przez ministra właściwego do spraw kultury fizycznej w drodze decyzji. W ramach PZM, w oparciu o § 31 ust. 2 pkt 8 statutu związku, tworzone są Główne Komisje Sportowe, odpowiedzialne za zarządzanie sportami motorowy</w:t>
      </w:r>
      <w:r>
        <w:rPr>
          <w:rFonts w:ascii="Times New Roman" w:hAnsi="Times New Roman" w:cs="Times New Roman"/>
          <w:bCs/>
          <w:sz w:val="24"/>
          <w:szCs w:val="24"/>
        </w:rPr>
        <w:t>mi, w których działa PZM. W zakresie sportu żużlowego jest to Główna Komisja Sportu Żużlowego (GKSŻ). PZM zrzesza jako swoich członków: automobilkluby, kluby sportowe, w tym uczniowskie kluby sportowe, związki sportowe  oraz inne osoby prawne, których stat</w:t>
      </w:r>
      <w:r>
        <w:rPr>
          <w:rFonts w:ascii="Times New Roman" w:hAnsi="Times New Roman" w:cs="Times New Roman"/>
          <w:bCs/>
          <w:sz w:val="24"/>
          <w:szCs w:val="24"/>
        </w:rPr>
        <w:t xml:space="preserve">ut, umowa albo akt założycielski przewidują prowadzenie działalności w </w:t>
      </w:r>
      <w:r>
        <w:rPr>
          <w:rFonts w:ascii="Times New Roman" w:hAnsi="Times New Roman" w:cs="Times New Roman"/>
          <w:bCs/>
          <w:sz w:val="24"/>
          <w:szCs w:val="24"/>
        </w:rPr>
        <w:lastRenderedPageBreak/>
        <w:t>dziedzinach sportu. Zgodnie ze statutem PZM jego członkami mogą być jednostki organizacyjne, które zadeklarują pisemne przestrzeganie statutu i zostaną przyjęte. Członkowie dzielą się n</w:t>
      </w:r>
      <w:r>
        <w:rPr>
          <w:rFonts w:ascii="Times New Roman" w:hAnsi="Times New Roman" w:cs="Times New Roman"/>
          <w:bCs/>
          <w:sz w:val="24"/>
          <w:szCs w:val="24"/>
        </w:rPr>
        <w:t>a rzeczywistych (przysługuje im pełnia praw członkowskich) i wspierających (brak uprawnień decyzyjnych - § 16 statutu). Członkami rzeczywistymi mogą być kluby sportowe, w tym automobilkluby, uczniowskie kluby sportowe, związki sportowe oraz inne osoby praw</w:t>
      </w:r>
      <w:r>
        <w:rPr>
          <w:rFonts w:ascii="Times New Roman" w:hAnsi="Times New Roman" w:cs="Times New Roman"/>
          <w:bCs/>
          <w:sz w:val="24"/>
          <w:szCs w:val="24"/>
        </w:rPr>
        <w:t>ne, których statut, umowa albo akt założycielski przewidują prowadzenie działalności w danym sporcie. Członkami wspierającymi mogą być natomiast osoby prawne, które uznając cele Związku i będąc zainteresowane rozwojem jego działalności, pisemnie zadeklaruj</w:t>
      </w:r>
      <w:r>
        <w:rPr>
          <w:rFonts w:ascii="Times New Roman" w:hAnsi="Times New Roman" w:cs="Times New Roman"/>
          <w:bCs/>
          <w:sz w:val="24"/>
          <w:szCs w:val="24"/>
        </w:rPr>
        <w:t xml:space="preserve">ą przestrzeganie statutu oraz wspieranie Związku materialnie, organizacyjnie lub w inny sposób. </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 xml:space="preserve"> (dowody: Statut Polskiego Związku Motorowego k. 36 – 68 akt adm.)</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Ekstraliga Żużlowa sp. z o.o. jest spółką prawa handlowego, wpisaną do rejestru przedsiębio</w:t>
      </w:r>
      <w:r>
        <w:rPr>
          <w:rFonts w:ascii="Times New Roman" w:hAnsi="Times New Roman" w:cs="Times New Roman"/>
          <w:bCs/>
          <w:sz w:val="24"/>
          <w:szCs w:val="24"/>
        </w:rPr>
        <w:t xml:space="preserve">rców Krajowego Rejestru Sądowego (nr KRS 264778). </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 xml:space="preserve">(dowody: odpis KRS EŻ, sygn. XVII </w:t>
      </w:r>
      <w:proofErr w:type="spellStart"/>
      <w:r>
        <w:rPr>
          <w:rFonts w:ascii="Times New Roman" w:hAnsi="Times New Roman" w:cs="Times New Roman"/>
          <w:bCs/>
          <w:i/>
          <w:sz w:val="24"/>
          <w:szCs w:val="24"/>
        </w:rPr>
        <w:t>AmA</w:t>
      </w:r>
      <w:proofErr w:type="spellEnd"/>
      <w:r>
        <w:rPr>
          <w:rFonts w:ascii="Times New Roman" w:hAnsi="Times New Roman" w:cs="Times New Roman"/>
          <w:bCs/>
          <w:i/>
          <w:sz w:val="24"/>
          <w:szCs w:val="24"/>
        </w:rPr>
        <w:t xml:space="preserve"> 85/23, k. 84 – 93v akt sąd., dane publicznie dostępne)</w:t>
      </w:r>
    </w:p>
    <w:p w:rsidR="006C2E2F" w:rsidRDefault="00D86529">
      <w:pPr>
        <w:spacing w:before="24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Ekstraliga Żużlowa sp. z o.o. została utworzona w związku z ustawowym zobowiązaniem utworzenia ligi zawodowej w </w:t>
      </w:r>
      <w:r>
        <w:rPr>
          <w:rFonts w:ascii="Times New Roman" w:hAnsi="Times New Roman" w:cs="Times New Roman"/>
          <w:bCs/>
          <w:sz w:val="24"/>
          <w:szCs w:val="24"/>
        </w:rPr>
        <w:t>celu organizacji rozgrywek najwyższego szczebla w żużlu – Drużynowych Mistrzostw Polski (dalej: DMP). Rozgrywkami tymi EŻ zarządza od 2007 r. na podstawie ustawowo wymaganej (art. 15 ust. 4 ustawy o sporcie) umowy o zarządzanie ligą zawodową, zawartej z PZ</w:t>
      </w:r>
      <w:r>
        <w:rPr>
          <w:rFonts w:ascii="Times New Roman" w:hAnsi="Times New Roman" w:cs="Times New Roman"/>
          <w:bCs/>
          <w:sz w:val="24"/>
          <w:szCs w:val="24"/>
        </w:rPr>
        <w:t xml:space="preserve">M i zatwierdzonej przez ministra właściwego do spraw kultury fizycznej. Rozgrywkami klubowymi w pozostałych ligach, tj. Drużynowych Mistrzostwach I oraz II ligi (dalej odpowiednio: DM I, DM II) zarządza bezpośrednio PZM – Główna Komisja Sportu Żużlowego. </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(dowody: decyzje Ministra Sportu i Turystyki, k. 446 – 448v akt ad.; umowa o zarządzanie ligą zawodową, k. 450 – 469 akt adm.)</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i/>
          <w:sz w:val="24"/>
          <w:szCs w:val="24"/>
        </w:rPr>
        <w:tab/>
      </w:r>
      <w:r>
        <w:rPr>
          <w:rFonts w:ascii="Times New Roman" w:hAnsi="Times New Roman" w:cs="Times New Roman"/>
          <w:bCs/>
          <w:sz w:val="24"/>
          <w:szCs w:val="24"/>
        </w:rPr>
        <w:t>Ekstraliga Żużlowa spółka z o.o. została utworzona w 2006 r. przez Polski Związek Motorowy oraz 8 klubów sportowych uprawnionych</w:t>
      </w:r>
      <w:r>
        <w:rPr>
          <w:rFonts w:ascii="Times New Roman" w:hAnsi="Times New Roman" w:cs="Times New Roman"/>
          <w:bCs/>
          <w:sz w:val="24"/>
          <w:szCs w:val="24"/>
        </w:rPr>
        <w:t xml:space="preserve"> do startu w lidze zawodowej. Wówczas kapitał zakładowy spółki wynosił 300.000 zł i dzielił się na 100 udziałów o wartości nominalnej 3.000 zł każdy. Do czasu wydania decyzji przez Prezesa UOKiK wysokość kapitału zakładowego EŻ zmieniła się pięciokrotnie a</w:t>
      </w:r>
      <w:r>
        <w:rPr>
          <w:rFonts w:ascii="Times New Roman" w:hAnsi="Times New Roman" w:cs="Times New Roman"/>
          <w:bCs/>
          <w:sz w:val="24"/>
          <w:szCs w:val="24"/>
        </w:rPr>
        <w:t xml:space="preserve"> od 29 lutego 2016 r. do zamknięcia rozprawy w tej sprawie, kapitał zakładowy spółki wynosi 831.000 zł i dzieli się na 100 udziałów o wartości 3.000 zł każdy. PZM, od 30 marca 2012 r. jest wpisany w KRS jako wspólnik EŻ posiadający </w:t>
      </w:r>
      <w:r>
        <w:rPr>
          <w:rFonts w:ascii="Times New Roman" w:hAnsi="Times New Roman" w:cs="Times New Roman"/>
          <w:bCs/>
          <w:sz w:val="24"/>
          <w:szCs w:val="24"/>
        </w:rPr>
        <w:lastRenderedPageBreak/>
        <w:t>123 udziały w kapitale z</w:t>
      </w:r>
      <w:r>
        <w:rPr>
          <w:rFonts w:ascii="Times New Roman" w:hAnsi="Times New Roman" w:cs="Times New Roman"/>
          <w:bCs/>
          <w:sz w:val="24"/>
          <w:szCs w:val="24"/>
        </w:rPr>
        <w:t xml:space="preserve">akładowym o łącznej wartości 369.000 zł. Od 2013 r. nie wszystkie udziały w kapitale zakładowym EŻ były objęte przez wspólników, co znajdowało potwierdzenie w księdze udziałów prowadzonej przez zarząd spółki stosowanie do wymogów art. 188 </w:t>
      </w:r>
      <w:proofErr w:type="spellStart"/>
      <w:r>
        <w:rPr>
          <w:rFonts w:ascii="Times New Roman" w:hAnsi="Times New Roman" w:cs="Times New Roman"/>
          <w:bCs/>
          <w:sz w:val="24"/>
          <w:szCs w:val="24"/>
        </w:rPr>
        <w:t>k.s.h</w:t>
      </w:r>
      <w:proofErr w:type="spellEnd"/>
      <w:r>
        <w:rPr>
          <w:rFonts w:ascii="Times New Roman" w:hAnsi="Times New Roman" w:cs="Times New Roman"/>
          <w:bCs/>
          <w:sz w:val="24"/>
          <w:szCs w:val="24"/>
        </w:rPr>
        <w:t>. Według wpi</w:t>
      </w:r>
      <w:r>
        <w:rPr>
          <w:rFonts w:ascii="Times New Roman" w:hAnsi="Times New Roman" w:cs="Times New Roman"/>
          <w:bCs/>
          <w:sz w:val="24"/>
          <w:szCs w:val="24"/>
        </w:rPr>
        <w:t>sów aktualizowanych w księdze udziałów, to PZM posiadał następującą wartość procentową udziałów:</w:t>
      </w:r>
    </w:p>
    <w:tbl>
      <w:tblPr>
        <w:tblOverlap w:val="never"/>
        <w:tblW w:w="0" w:type="auto"/>
        <w:jc w:val="center"/>
        <w:tblLayout w:type="fixed"/>
        <w:tblCellMar>
          <w:left w:w="10" w:type="dxa"/>
          <w:right w:w="10" w:type="dxa"/>
        </w:tblCellMar>
        <w:tblLook w:val="04A0" w:firstRow="1" w:lastRow="0" w:firstColumn="1" w:lastColumn="0" w:noHBand="0" w:noVBand="1"/>
      </w:tblPr>
      <w:tblGrid>
        <w:gridCol w:w="3244"/>
        <w:gridCol w:w="3211"/>
      </w:tblGrid>
      <w:tr w:rsidR="006C2E2F">
        <w:trPr>
          <w:trHeight w:hRule="exact" w:val="551"/>
          <w:jc w:val="center"/>
        </w:trPr>
        <w:tc>
          <w:tcPr>
            <w:tcW w:w="3244" w:type="dxa"/>
            <w:shd w:val="clear" w:color="auto" w:fill="28436F"/>
          </w:tcPr>
          <w:p w:rsidR="006C2E2F" w:rsidRDefault="00D86529">
            <w:pPr>
              <w:pStyle w:val="Other"/>
              <w:pBdr>
                <w:top w:val="single" w:sz="0" w:space="0" w:color="2D4D76"/>
                <w:left w:val="single" w:sz="0" w:space="0" w:color="2D4D76"/>
                <w:bottom w:val="single" w:sz="0" w:space="0" w:color="2D4D76"/>
                <w:right w:val="single" w:sz="0" w:space="0" w:color="2D4D76"/>
              </w:pBdr>
              <w:shd w:val="clear" w:color="auto" w:fill="2D4D76"/>
              <w:spacing w:after="0" w:line="24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Data aktualizacji księgi udziałów EŻ</w:t>
            </w:r>
          </w:p>
        </w:tc>
        <w:tc>
          <w:tcPr>
            <w:tcW w:w="3211" w:type="dxa"/>
            <w:tcBorders>
              <w:left w:val="single" w:sz="4" w:space="0" w:color="auto"/>
            </w:tcBorders>
            <w:shd w:val="clear" w:color="auto" w:fill="28436F"/>
            <w:vAlign w:val="center"/>
          </w:tcPr>
          <w:p w:rsidR="006C2E2F" w:rsidRDefault="00D86529">
            <w:pPr>
              <w:pStyle w:val="Other"/>
              <w:pBdr>
                <w:top w:val="single" w:sz="0" w:space="0" w:color="294B74"/>
                <w:left w:val="single" w:sz="0" w:space="0" w:color="294B74"/>
                <w:bottom w:val="single" w:sz="0" w:space="0" w:color="294B74"/>
                <w:right w:val="single" w:sz="0" w:space="0" w:color="294B74"/>
              </w:pBdr>
              <w:shd w:val="clear" w:color="auto" w:fill="294B74"/>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 udziałów PZM w EŻ</w:t>
            </w:r>
          </w:p>
        </w:tc>
      </w:tr>
      <w:tr w:rsidR="006C2E2F">
        <w:trPr>
          <w:trHeight w:hRule="exact" w:val="353"/>
          <w:jc w:val="center"/>
        </w:trPr>
        <w:tc>
          <w:tcPr>
            <w:tcW w:w="3244" w:type="dxa"/>
            <w:tcBorders>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03.11.2015</w:t>
            </w:r>
          </w:p>
        </w:tc>
        <w:tc>
          <w:tcPr>
            <w:tcW w:w="3211" w:type="dxa"/>
            <w:tcBorders>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61,5%</w:t>
            </w:r>
          </w:p>
        </w:tc>
      </w:tr>
      <w:tr w:rsidR="006C2E2F">
        <w:trPr>
          <w:trHeight w:hRule="exact" w:val="349"/>
          <w:jc w:val="center"/>
        </w:trPr>
        <w:tc>
          <w:tcPr>
            <w:tcW w:w="3244"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10.02.2016</w:t>
            </w:r>
          </w:p>
        </w:tc>
        <w:tc>
          <w:tcPr>
            <w:tcW w:w="3211"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58,29%</w:t>
            </w:r>
          </w:p>
        </w:tc>
      </w:tr>
      <w:tr w:rsidR="006C2E2F">
        <w:trPr>
          <w:trHeight w:hRule="exact" w:val="346"/>
          <w:jc w:val="center"/>
        </w:trPr>
        <w:tc>
          <w:tcPr>
            <w:tcW w:w="3244"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05.01.2018</w:t>
            </w:r>
          </w:p>
        </w:tc>
        <w:tc>
          <w:tcPr>
            <w:tcW w:w="3211"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58,29%</w:t>
            </w:r>
          </w:p>
        </w:tc>
      </w:tr>
      <w:tr w:rsidR="006C2E2F">
        <w:trPr>
          <w:trHeight w:hRule="exact" w:val="349"/>
          <w:jc w:val="center"/>
        </w:trPr>
        <w:tc>
          <w:tcPr>
            <w:tcW w:w="3244"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27.12.2018</w:t>
            </w:r>
          </w:p>
        </w:tc>
        <w:tc>
          <w:tcPr>
            <w:tcW w:w="3211"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58,29%</w:t>
            </w:r>
          </w:p>
        </w:tc>
      </w:tr>
      <w:tr w:rsidR="006C2E2F">
        <w:trPr>
          <w:trHeight w:hRule="exact" w:val="349"/>
          <w:jc w:val="center"/>
        </w:trPr>
        <w:tc>
          <w:tcPr>
            <w:tcW w:w="3244"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15.01.2020</w:t>
            </w:r>
          </w:p>
        </w:tc>
        <w:tc>
          <w:tcPr>
            <w:tcW w:w="3211"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58,29%</w:t>
            </w:r>
          </w:p>
        </w:tc>
      </w:tr>
      <w:tr w:rsidR="006C2E2F">
        <w:trPr>
          <w:trHeight w:hRule="exact" w:val="349"/>
          <w:jc w:val="center"/>
        </w:trPr>
        <w:tc>
          <w:tcPr>
            <w:tcW w:w="3244"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18.02.2021</w:t>
            </w:r>
          </w:p>
        </w:tc>
        <w:tc>
          <w:tcPr>
            <w:tcW w:w="3211"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58,29%</w:t>
            </w:r>
          </w:p>
        </w:tc>
      </w:tr>
      <w:tr w:rsidR="006C2E2F">
        <w:trPr>
          <w:trHeight w:hRule="exact" w:val="349"/>
          <w:jc w:val="center"/>
        </w:trPr>
        <w:tc>
          <w:tcPr>
            <w:tcW w:w="3244"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07.12.2021</w:t>
            </w:r>
          </w:p>
        </w:tc>
        <w:tc>
          <w:tcPr>
            <w:tcW w:w="3211" w:type="dxa"/>
            <w:tcBorders>
              <w:top w:val="single" w:sz="4" w:space="0" w:color="auto"/>
              <w:left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58,29%</w:t>
            </w:r>
          </w:p>
        </w:tc>
      </w:tr>
      <w:tr w:rsidR="006C2E2F">
        <w:trPr>
          <w:trHeight w:hRule="exact" w:val="360"/>
          <w:jc w:val="center"/>
        </w:trPr>
        <w:tc>
          <w:tcPr>
            <w:tcW w:w="3244" w:type="dxa"/>
            <w:tcBorders>
              <w:top w:val="single" w:sz="4" w:space="0" w:color="auto"/>
              <w:left w:val="single" w:sz="4" w:space="0" w:color="auto"/>
              <w:bottom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24.11.2022</w:t>
            </w:r>
          </w:p>
        </w:tc>
        <w:tc>
          <w:tcPr>
            <w:tcW w:w="3211" w:type="dxa"/>
            <w:tcBorders>
              <w:top w:val="single" w:sz="4" w:space="0" w:color="auto"/>
              <w:left w:val="single" w:sz="4" w:space="0" w:color="auto"/>
              <w:bottom w:val="single" w:sz="4" w:space="0" w:color="auto"/>
            </w:tcBorders>
          </w:tcPr>
          <w:p w:rsidR="006C2E2F" w:rsidRDefault="00D86529">
            <w:pPr>
              <w:pStyle w:val="Other"/>
              <w:spacing w:after="0" w:line="360" w:lineRule="auto"/>
              <w:jc w:val="center"/>
              <w:rPr>
                <w:rFonts w:ascii="Times New Roman" w:hAnsi="Times New Roman" w:cs="Times New Roman"/>
                <w:bCs/>
                <w:sz w:val="24"/>
                <w:szCs w:val="24"/>
              </w:rPr>
            </w:pPr>
            <w:r>
              <w:rPr>
                <w:rStyle w:val="Other0"/>
                <w:rFonts w:ascii="Times New Roman" w:hAnsi="Times New Roman" w:cs="Times New Roman"/>
                <w:bCs/>
                <w:sz w:val="24"/>
                <w:szCs w:val="24"/>
              </w:rPr>
              <w:t>58,29%</w:t>
            </w:r>
          </w:p>
        </w:tc>
      </w:tr>
    </w:tbl>
    <w:p w:rsidR="006C2E2F" w:rsidRDefault="006C2E2F">
      <w:pPr>
        <w:spacing w:before="240" w:after="0" w:line="360" w:lineRule="auto"/>
        <w:jc w:val="both"/>
        <w:rPr>
          <w:rFonts w:ascii="Times New Roman" w:hAnsi="Times New Roman" w:cs="Times New Roman"/>
          <w:bCs/>
          <w:sz w:val="24"/>
          <w:szCs w:val="24"/>
        </w:rPr>
      </w:pP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sz w:val="24"/>
          <w:szCs w:val="24"/>
        </w:rPr>
        <w:t>(</w:t>
      </w:r>
      <w:r>
        <w:rPr>
          <w:rFonts w:ascii="Times New Roman" w:hAnsi="Times New Roman" w:cs="Times New Roman"/>
          <w:bCs/>
          <w:i/>
          <w:iCs/>
          <w:sz w:val="24"/>
          <w:szCs w:val="24"/>
        </w:rPr>
        <w:t>dowody:</w:t>
      </w:r>
      <w:r>
        <w:rPr>
          <w:rFonts w:ascii="Times New Roman" w:hAnsi="Times New Roman" w:cs="Times New Roman"/>
          <w:bCs/>
          <w:sz w:val="24"/>
          <w:szCs w:val="24"/>
        </w:rPr>
        <w:t xml:space="preserve"> </w:t>
      </w:r>
      <w:r>
        <w:rPr>
          <w:rFonts w:ascii="Times New Roman" w:hAnsi="Times New Roman" w:cs="Times New Roman"/>
          <w:bCs/>
          <w:i/>
          <w:sz w:val="24"/>
          <w:szCs w:val="24"/>
        </w:rPr>
        <w:t>umowa EŻ spółki z ograniczoną odpowiedzialnością. Tekst jednolity na dzień 25 lutego 2021 r., k. 477 – 484 akt adm., Księga udziałów EŻ – k. 103-116v, odpis pełny z KRS k. 84-99)</w:t>
      </w:r>
    </w:p>
    <w:p w:rsidR="006C2E2F" w:rsidRDefault="00D86529">
      <w:pPr>
        <w:spacing w:before="24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W okresie </w:t>
      </w:r>
      <w:r>
        <w:rPr>
          <w:rFonts w:ascii="Times New Roman" w:hAnsi="Times New Roman" w:cs="Times New Roman"/>
          <w:bCs/>
          <w:sz w:val="24"/>
          <w:szCs w:val="24"/>
        </w:rPr>
        <w:t>od 2013 r. w EŻ kilkukrotnie były podejmowane uchwały o umorzeniu udziałów wspólników – klubów, które przeszły do niższej ligi, co nie ma wpływu na wysokość kapitału wpisaną w KRS i było przez zarząd spółki regularnie uwidaczniane w prowadzonej księdze udz</w:t>
      </w:r>
      <w:r>
        <w:rPr>
          <w:rFonts w:ascii="Times New Roman" w:hAnsi="Times New Roman" w:cs="Times New Roman"/>
          <w:bCs/>
          <w:sz w:val="24"/>
          <w:szCs w:val="24"/>
        </w:rPr>
        <w:t>iałów. Umorzenie udziałów nie następowało poprzez obniżenie kapitału zakładowego, tym samym nie powodowało jego zmiany.</w:t>
      </w:r>
    </w:p>
    <w:p w:rsidR="006C2E2F" w:rsidRDefault="00D86529">
      <w:pPr>
        <w:spacing w:before="24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PZM posiada największy pakiet udziałów w kapitale zakładowym EŻ, który w dacie decyzji stanowił 58,29% udziałów. Pozostałe udziały od ro</w:t>
      </w:r>
      <w:r>
        <w:rPr>
          <w:rFonts w:ascii="Times New Roman" w:hAnsi="Times New Roman" w:cs="Times New Roman"/>
          <w:bCs/>
          <w:sz w:val="24"/>
          <w:szCs w:val="24"/>
        </w:rPr>
        <w:t xml:space="preserve">ku 2014 przypadają w równych częściach 8 klubom żużlowym. Łącznie kluby (pozostali wspólnicy) dysponują 88 udziałami, co stanowi 41,71% udziałów. </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i/>
          <w:sz w:val="24"/>
          <w:szCs w:val="24"/>
        </w:rPr>
        <w:t>(dowody: Księga udziałów EŻ – k. 103-116v, odpis pełny z KRS k. 84-99)</w:t>
      </w:r>
    </w:p>
    <w:p w:rsidR="006C2E2F" w:rsidRDefault="00D86529">
      <w:pPr>
        <w:spacing w:before="24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Zgodnie z umową spółki EŻ ma dwa oblig</w:t>
      </w:r>
      <w:r>
        <w:rPr>
          <w:rFonts w:ascii="Times New Roman" w:hAnsi="Times New Roman" w:cs="Times New Roman"/>
          <w:bCs/>
          <w:sz w:val="24"/>
          <w:szCs w:val="24"/>
        </w:rPr>
        <w:t xml:space="preserve">atoryjne organy: Zgromadzenie Wspólników i Zarząd oraz powołany organ nadzoru – Radę Nadzorczą. Uchwały zgromadzenia wspólników EŻ zgodnie z § 16 ust. 2 umowy spółki zapadają zwykłą większością głosów, przy obecności </w:t>
      </w:r>
      <w:r>
        <w:rPr>
          <w:rFonts w:ascii="Times New Roman" w:hAnsi="Times New Roman" w:cs="Times New Roman"/>
          <w:bCs/>
          <w:sz w:val="24"/>
          <w:szCs w:val="24"/>
        </w:rPr>
        <w:lastRenderedPageBreak/>
        <w:t>wspólników reprezentujących co najmniej</w:t>
      </w:r>
      <w:r>
        <w:rPr>
          <w:rFonts w:ascii="Times New Roman" w:hAnsi="Times New Roman" w:cs="Times New Roman"/>
          <w:bCs/>
          <w:sz w:val="24"/>
          <w:szCs w:val="24"/>
        </w:rPr>
        <w:t xml:space="preserve"> 2/3 udziałów, chyba że umowa lub ustawa stanowi inaczej. Uchwałą zgromadzenia wspólników zwykłą większością kapitał zakładowy może być podwyższony do wysokości 1.500.000 zł w terminie do 31 grudnia 2025 r. i nie stanowi to zmiany umowy spółki (§ 17). Uchw</w:t>
      </w:r>
      <w:r>
        <w:rPr>
          <w:rFonts w:ascii="Times New Roman" w:hAnsi="Times New Roman" w:cs="Times New Roman"/>
          <w:bCs/>
          <w:sz w:val="24"/>
          <w:szCs w:val="24"/>
        </w:rPr>
        <w:t>ały zgromadzenia wspólników w zwykłej większości wymagają: zawarcie przez spółkę umowy w sprawie sponsoringu strategicznego rozgrywek Ekstraligi żużlowej, zawarcie przez spółkę umowy z nadawcami telewizyjnymi w sprawie transmisji i rejestracji rozgrywek Ek</w:t>
      </w:r>
      <w:r>
        <w:rPr>
          <w:rFonts w:ascii="Times New Roman" w:hAnsi="Times New Roman" w:cs="Times New Roman"/>
          <w:bCs/>
          <w:sz w:val="24"/>
          <w:szCs w:val="24"/>
        </w:rPr>
        <w:t xml:space="preserve">straligi żużlowej, zatwierdzenie treści umowy w sprawie przedsięwzięć biznesowych spółki wymagających współpracy wspólnika ze spółką. </w:t>
      </w:r>
    </w:p>
    <w:p w:rsidR="006C2E2F" w:rsidRDefault="00D86529">
      <w:pPr>
        <w:spacing w:before="240" w:after="0" w:line="360" w:lineRule="auto"/>
        <w:ind w:firstLine="708"/>
        <w:jc w:val="both"/>
        <w:rPr>
          <w:rFonts w:ascii="Times New Roman" w:hAnsi="Times New Roman" w:cs="Times New Roman"/>
          <w:bCs/>
          <w:sz w:val="24"/>
          <w:szCs w:val="24"/>
        </w:rPr>
      </w:pPr>
      <w:r>
        <w:rPr>
          <w:rStyle w:val="TekstpodstawowyZnak"/>
          <w:rFonts w:eastAsiaTheme="minorHAnsi"/>
          <w:bCs/>
          <w:sz w:val="24"/>
          <w:szCs w:val="24"/>
        </w:rPr>
        <w:t xml:space="preserve">Zgodnie z § 26 ust. 1 umowy spółki: </w:t>
      </w:r>
      <w:r>
        <w:rPr>
          <w:rStyle w:val="TekstpodstawowyZnak"/>
          <w:rFonts w:eastAsiaTheme="minorHAnsi"/>
          <w:bCs/>
          <w:i/>
          <w:iCs/>
          <w:sz w:val="24"/>
          <w:szCs w:val="24"/>
        </w:rPr>
        <w:t xml:space="preserve">Powołuje się Radę Nadzorczą składającą się od 3 do 5 członków. Przewodniczącego Rady </w:t>
      </w:r>
      <w:r>
        <w:rPr>
          <w:rStyle w:val="TekstpodstawowyZnak"/>
          <w:rFonts w:eastAsiaTheme="minorHAnsi"/>
          <w:bCs/>
          <w:i/>
          <w:iCs/>
          <w:sz w:val="24"/>
          <w:szCs w:val="24"/>
        </w:rPr>
        <w:t>wyznacza Wspólnik - Polski Związek Motorowy. Pozostałych członków Rady, w tym Wiceprzewodniczącego Rady wybiera Zgromadzenie Wspólników”.</w:t>
      </w:r>
      <w:r>
        <w:rPr>
          <w:rStyle w:val="TekstpodstawowyZnak"/>
          <w:rFonts w:eastAsiaTheme="minorHAnsi"/>
          <w:bCs/>
          <w:sz w:val="24"/>
          <w:szCs w:val="24"/>
        </w:rPr>
        <w:t xml:space="preserve"> Jednocześnie wybór członków Rady Nadzorczej następuje zwykłą większością głosów, wobec czego PZM (będąc większościowym udziałowcem) samodzielnie może powołać cały skład tego organu. Natomiast zgodnie z postanowieniem § 26 ust. 13 umowy spółki </w:t>
      </w:r>
      <w:r>
        <w:rPr>
          <w:rStyle w:val="TekstpodstawowyZnak"/>
          <w:rFonts w:eastAsiaTheme="minorHAnsi"/>
          <w:bCs/>
          <w:i/>
          <w:iCs/>
          <w:sz w:val="24"/>
          <w:szCs w:val="24"/>
        </w:rPr>
        <w:t xml:space="preserve">wyłącza się </w:t>
      </w:r>
      <w:r>
        <w:rPr>
          <w:rStyle w:val="TekstpodstawowyZnak"/>
          <w:rFonts w:eastAsiaTheme="minorHAnsi"/>
          <w:bCs/>
          <w:i/>
          <w:iCs/>
          <w:sz w:val="24"/>
          <w:szCs w:val="24"/>
        </w:rPr>
        <w:t xml:space="preserve">w całości indywidualną kontrolę wspólników, </w:t>
      </w:r>
      <w:r>
        <w:rPr>
          <w:rStyle w:val="TekstpodstawowyZnak"/>
          <w:rFonts w:eastAsiaTheme="minorHAnsi"/>
          <w:bCs/>
          <w:sz w:val="24"/>
          <w:szCs w:val="24"/>
        </w:rPr>
        <w:t>a co za tym idzie, Rada Nadzorcza jest jedynym ciałem nadzorującym EŻ, a jej skład w całości zależy od PZM.</w:t>
      </w:r>
    </w:p>
    <w:p w:rsidR="006C2E2F" w:rsidRDefault="00D86529">
      <w:pPr>
        <w:spacing w:before="24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Zarząd spółki EŻ zgodnie z § 23 umowy spółki składa się z jednego lub dwóch członków zakładają sztywno t</w:t>
      </w:r>
      <w:r>
        <w:rPr>
          <w:rFonts w:ascii="Times New Roman" w:hAnsi="Times New Roman" w:cs="Times New Roman"/>
          <w:bCs/>
          <w:sz w:val="24"/>
          <w:szCs w:val="24"/>
        </w:rPr>
        <w:t>e dwie opcje. Zarząd jest powoływany i odwoływany w drodze uchwały Rady Nadzorczej podjętej zwykłą większością głosów. Jeżeli chodzi o sposób reprezentacji, to w przypadku Zarządu jednoosobowego do składania oświadczeń woli w imieniu spółki upoważniony jes</w:t>
      </w:r>
      <w:r>
        <w:rPr>
          <w:rFonts w:ascii="Times New Roman" w:hAnsi="Times New Roman" w:cs="Times New Roman"/>
          <w:bCs/>
          <w:sz w:val="24"/>
          <w:szCs w:val="24"/>
        </w:rPr>
        <w:t>t jednoosobowo Członek zarządu a w przypadku Zarządu dwuosobowego (taki skład miał zarząd PZM w relewantnym dla sprawy okresie), spółkę reprezentują obydwaj członkowie zarządu, działający wspólnie, za wyjątkiem spraw w zakresie prowadzenia przez spółkę roz</w:t>
      </w:r>
      <w:r>
        <w:rPr>
          <w:rFonts w:ascii="Times New Roman" w:hAnsi="Times New Roman" w:cs="Times New Roman"/>
          <w:bCs/>
          <w:sz w:val="24"/>
          <w:szCs w:val="24"/>
        </w:rPr>
        <w:t xml:space="preserve">grywek Ekstraligi żużlowej i zawodów sportu żużlowego powierzonych spółce do zarządzania przez PZM, nietworzących zobowiązań finansowych po stronie spółki, w których Wiceprezes Zarządu jest uprawniony do samodzielnej reprezentacji. </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i/>
          <w:sz w:val="24"/>
          <w:szCs w:val="24"/>
        </w:rPr>
        <w:t>(dowody: umowa spółki z</w:t>
      </w:r>
      <w:r>
        <w:rPr>
          <w:rFonts w:ascii="Times New Roman" w:hAnsi="Times New Roman" w:cs="Times New Roman"/>
          <w:bCs/>
          <w:i/>
          <w:sz w:val="24"/>
          <w:szCs w:val="24"/>
        </w:rPr>
        <w:t xml:space="preserve"> ograniczoną odpowiedzialnością. Tekst jednolity na dzień 25 lutego 2021 r., k. 477 – 484 akt adm., tekst jednolity umowy spółki k. 307-371 akt sąd.)</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Rozgrywki ligowe w sporcie żużlowym organizowane są na trzech szczeblach rozgrywkowych:</w:t>
      </w:r>
    </w:p>
    <w:p w:rsidR="006C2E2F" w:rsidRDefault="00D86529">
      <w:pPr>
        <w:pStyle w:val="Akapitzlist"/>
        <w:numPr>
          <w:ilvl w:val="1"/>
          <w:numId w:val="33"/>
        </w:numPr>
        <w:spacing w:before="240" w:after="0" w:line="360" w:lineRule="auto"/>
        <w:ind w:left="426" w:hanging="367"/>
        <w:jc w:val="both"/>
        <w:rPr>
          <w:rFonts w:ascii="Times New Roman" w:hAnsi="Times New Roman" w:cs="Times New Roman"/>
          <w:bCs/>
          <w:sz w:val="24"/>
          <w:szCs w:val="24"/>
        </w:rPr>
      </w:pPr>
      <w:r>
        <w:rPr>
          <w:rFonts w:ascii="Times New Roman" w:hAnsi="Times New Roman" w:cs="Times New Roman"/>
          <w:bCs/>
          <w:sz w:val="24"/>
          <w:szCs w:val="24"/>
        </w:rPr>
        <w:t>Drużynowe Mistrzo</w:t>
      </w:r>
      <w:r>
        <w:rPr>
          <w:rFonts w:ascii="Times New Roman" w:hAnsi="Times New Roman" w:cs="Times New Roman"/>
          <w:bCs/>
          <w:sz w:val="24"/>
          <w:szCs w:val="24"/>
        </w:rPr>
        <w:t>stwa Polski (DMP);</w:t>
      </w:r>
    </w:p>
    <w:p w:rsidR="006C2E2F" w:rsidRDefault="00D86529">
      <w:pPr>
        <w:pStyle w:val="Akapitzlist"/>
        <w:numPr>
          <w:ilvl w:val="1"/>
          <w:numId w:val="33"/>
        </w:numPr>
        <w:spacing w:before="240" w:after="0" w:line="360" w:lineRule="auto"/>
        <w:ind w:left="426" w:hanging="367"/>
        <w:jc w:val="both"/>
        <w:rPr>
          <w:rFonts w:ascii="Times New Roman" w:hAnsi="Times New Roman" w:cs="Times New Roman"/>
          <w:bCs/>
          <w:sz w:val="24"/>
          <w:szCs w:val="24"/>
        </w:rPr>
      </w:pPr>
      <w:r>
        <w:rPr>
          <w:rFonts w:ascii="Times New Roman" w:hAnsi="Times New Roman" w:cs="Times New Roman"/>
          <w:bCs/>
          <w:sz w:val="24"/>
          <w:szCs w:val="24"/>
        </w:rPr>
        <w:lastRenderedPageBreak/>
        <w:t>Drużynowe Mistrzostwa I ligi (DM I);</w:t>
      </w:r>
    </w:p>
    <w:p w:rsidR="006C2E2F" w:rsidRDefault="00D86529">
      <w:pPr>
        <w:pStyle w:val="Akapitzlist"/>
        <w:numPr>
          <w:ilvl w:val="1"/>
          <w:numId w:val="33"/>
        </w:numPr>
        <w:spacing w:before="240" w:after="0" w:line="360" w:lineRule="auto"/>
        <w:ind w:left="426" w:hanging="367"/>
        <w:jc w:val="both"/>
        <w:rPr>
          <w:rFonts w:ascii="Times New Roman" w:hAnsi="Times New Roman" w:cs="Times New Roman"/>
          <w:bCs/>
          <w:sz w:val="24"/>
          <w:szCs w:val="24"/>
        </w:rPr>
      </w:pPr>
      <w:r>
        <w:rPr>
          <w:rFonts w:ascii="Times New Roman" w:hAnsi="Times New Roman" w:cs="Times New Roman"/>
          <w:bCs/>
          <w:sz w:val="24"/>
          <w:szCs w:val="24"/>
        </w:rPr>
        <w:t>Drużynowe Mistrzostwa II ligi (DM II).</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Rozgrywki ligowe w żużlu organizowane są w podziale na sezony. Uczestnikami rozgrywek ligowych żużla (w zawodach drużynowych) są kluby sportowe. Kluby sportowe </w:t>
      </w:r>
      <w:r>
        <w:rPr>
          <w:rFonts w:ascii="Times New Roman" w:hAnsi="Times New Roman" w:cs="Times New Roman"/>
          <w:bCs/>
          <w:sz w:val="24"/>
          <w:szCs w:val="24"/>
        </w:rPr>
        <w:t>działają w formie spółek akcyjnych lub sportowych spółek akcyjnych w myśl art. 15 ust. 3 ustawy o sporcie. We wskazanych wyżej ligach rozgrywkowych, poza klubami w formie spółek, uczestniczą również kluby sportowe posiadające prawną formę stowarzyszeń. Klu</w:t>
      </w:r>
      <w:r>
        <w:rPr>
          <w:rFonts w:ascii="Times New Roman" w:hAnsi="Times New Roman" w:cs="Times New Roman"/>
          <w:bCs/>
          <w:sz w:val="24"/>
          <w:szCs w:val="24"/>
        </w:rPr>
        <w:t>by biorące udział w rywalizacji sportowej mogą osiągać przychody pochodzące np. ze sprzedaży biletów wstępu na mecze, wpłat od sponsorów, z kontraktów reklamowych, czy sprzedaży różnego rodzajów akcesoriów dla kibiców.</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Kluby sportowe zawierają umowy cywil</w:t>
      </w:r>
      <w:r>
        <w:rPr>
          <w:rFonts w:ascii="Times New Roman" w:hAnsi="Times New Roman" w:cs="Times New Roman"/>
          <w:bCs/>
          <w:sz w:val="24"/>
          <w:szCs w:val="24"/>
        </w:rPr>
        <w:t>ne (tzw. kontrakty o profesjonalne uprawianie sportu żużlowego) z zawodnikami żużla, dysponującymi stosownymi licencjami sportowymi wydanymi przez PZM (lub przez federacje sportowe z innych krajów, jeżeli są uznawane przez PZM). Ustandaryzowane i ujednolic</w:t>
      </w:r>
      <w:r>
        <w:rPr>
          <w:rFonts w:ascii="Times New Roman" w:hAnsi="Times New Roman" w:cs="Times New Roman"/>
          <w:bCs/>
          <w:sz w:val="24"/>
          <w:szCs w:val="24"/>
        </w:rPr>
        <w:t>one wzory kontraktów, przygotowywane są i publikowane przez PZM. Kontrakty te stanowią podstawę do reprezentowania klubu przez zawodnika w ramach rozgrywek ligowych. Zawodowi zawodnicy żużla przeważnie działają jako przedsiębiorcy prowadzący jednoosobowe d</w:t>
      </w:r>
      <w:r>
        <w:rPr>
          <w:rFonts w:ascii="Times New Roman" w:hAnsi="Times New Roman" w:cs="Times New Roman"/>
          <w:bCs/>
          <w:sz w:val="24"/>
          <w:szCs w:val="24"/>
        </w:rPr>
        <w:t>ziałalności gospodarcze.</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Zasady współzawodnictwa sportowego w sporcie żużlowym oraz uczestnictwa klubów i zawodników w rozgrywkach sportowych określane są przez PZM w drodze regulaminów i wytycznych opracowywanych oraz przyjmowanych przez GKSŻ, która jest</w:t>
      </w:r>
      <w:r>
        <w:rPr>
          <w:rFonts w:ascii="Times New Roman" w:hAnsi="Times New Roman" w:cs="Times New Roman"/>
          <w:bCs/>
          <w:sz w:val="24"/>
          <w:szCs w:val="24"/>
        </w:rPr>
        <w:t xml:space="preserve"> utworzona w oparciu o statut PZM. W odniesieniu do zasad obowiązujących w Ekstralidze odbywa się to przy udziale i w uzgodnieniu z EŻ, co wynika z łączącej PZM i EŻ umowy o zarządzanie ligą zawodową. </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Relacje między klubami oraz zawodnikami dotyczące prz</w:t>
      </w:r>
      <w:r>
        <w:rPr>
          <w:rFonts w:ascii="Times New Roman" w:hAnsi="Times New Roman" w:cs="Times New Roman"/>
          <w:bCs/>
          <w:sz w:val="24"/>
          <w:szCs w:val="24"/>
        </w:rPr>
        <w:t>ynależności klubowej zawodnika oraz tryb i zasady mian barw klubowych szczegółowo uregulowane są w Regulaminie Przynależności Klubowej w Sporcie Żużlowym (dalej: Regulamin) oraz załączniku do Regulaminu – Zbiorze Zasad Regulujących Stosunki Pomiędzy Zawodn</w:t>
      </w:r>
      <w:r>
        <w:rPr>
          <w:rFonts w:ascii="Times New Roman" w:hAnsi="Times New Roman" w:cs="Times New Roman"/>
          <w:bCs/>
          <w:sz w:val="24"/>
          <w:szCs w:val="24"/>
        </w:rPr>
        <w:t>ikiem i Klubem (dalej: Załącznik). Dokumenty te opracowywane i przyjmowane są przez GKSŻ w wewnętrznym procesie decyzyjnym, poprzez przyjęcie uchwały GKSŻ. W procesie tym bierze udział również EŻ jako podmiot współuczestniczący w opracowaniu i uzgadniający</w:t>
      </w:r>
      <w:r>
        <w:rPr>
          <w:rFonts w:ascii="Times New Roman" w:hAnsi="Times New Roman" w:cs="Times New Roman"/>
          <w:bCs/>
          <w:sz w:val="24"/>
          <w:szCs w:val="24"/>
        </w:rPr>
        <w:t xml:space="preserve"> postanowienia tych dokumentów – w zakresie, w jakim dotyczą Ekstraligi Żużlowej. Zgodnie </w:t>
      </w:r>
      <w:r>
        <w:rPr>
          <w:rFonts w:ascii="Times New Roman" w:hAnsi="Times New Roman" w:cs="Times New Roman"/>
          <w:bCs/>
          <w:sz w:val="24"/>
          <w:szCs w:val="24"/>
        </w:rPr>
        <w:lastRenderedPageBreak/>
        <w:t>z łączącą PZM i EŻ umową o zarządzanie ligą zawodową, każda zmiana przepisów dotyczących pośrednio lub bezpośrednio meczów Ekstraligi wymaga uzgodnienia z EŻ, a w prz</w:t>
      </w:r>
      <w:r>
        <w:rPr>
          <w:rFonts w:ascii="Times New Roman" w:hAnsi="Times New Roman" w:cs="Times New Roman"/>
          <w:bCs/>
          <w:sz w:val="24"/>
          <w:szCs w:val="24"/>
        </w:rPr>
        <w:t xml:space="preserve">ypadku braku takiego uzgodnienia, obowiązują zasady dotychczasowe. W przypadku gdyby GKSŻ naruszyła zobowiązanie do współdziałania z EŻ, to EŻ ma możliwość zaskarżyć takie działanie do Trybunału Związku. </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Kluby żużlowe, podobnie jak pozostałe zainteresowa</w:t>
      </w:r>
      <w:r>
        <w:rPr>
          <w:rFonts w:ascii="Times New Roman" w:hAnsi="Times New Roman" w:cs="Times New Roman"/>
          <w:bCs/>
          <w:sz w:val="24"/>
          <w:szCs w:val="24"/>
        </w:rPr>
        <w:t>ne podmioty, jak np. przedstawiciele środowiska zawodników mogą przedstawiać swoje uwagi, czy propozycje w ramach konsultacji środowiskowych prowadzonych przez GKSŻ. Nie mają one głosu wiążącego w ramach procedury przyjmowania treści Regulaminu i Załącznik</w:t>
      </w:r>
      <w:r>
        <w:rPr>
          <w:rFonts w:ascii="Times New Roman" w:hAnsi="Times New Roman" w:cs="Times New Roman"/>
          <w:bCs/>
          <w:sz w:val="24"/>
          <w:szCs w:val="24"/>
        </w:rPr>
        <w:t>a, ale mogą zaskarżyć uchwałę GKSŻ do Trybunału Związku z żądaniem jej uchylenia.</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(dowód: pismo PZM z 14 października 2021 r., k. 11 – 35 akt adm.)</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Regulamin reguluje m.in. szeroko pojęte relacje zawodowe i organizacyjne między klubami sportowymi a zawodn</w:t>
      </w:r>
      <w:r>
        <w:rPr>
          <w:rFonts w:ascii="Times New Roman" w:hAnsi="Times New Roman" w:cs="Times New Roman"/>
          <w:bCs/>
          <w:sz w:val="24"/>
          <w:szCs w:val="24"/>
        </w:rPr>
        <w:t xml:space="preserve">ikami, w szczególności sposób i podstawę nawiązania współpracy między zawodnikiem a klubem, a także ogólne wytyczne dotyczące treści, formy i zakresu kontraktów o profesjonalne uprawianie sportu żużlowego. Stosowanie się do postanowień Regulaminu jest dla </w:t>
      </w:r>
      <w:r>
        <w:rPr>
          <w:rFonts w:ascii="Times New Roman" w:hAnsi="Times New Roman" w:cs="Times New Roman"/>
          <w:bCs/>
          <w:sz w:val="24"/>
          <w:szCs w:val="24"/>
        </w:rPr>
        <w:t>klubów i zawodników obowiązkowe. Konsekwencją niestosowania się do Regulaminu, a w szczególności niedostosowania treści kontraktu między klubem a zawodnikiem do postanowień Regulaminu, jest możliwość niedopuszczenia danego zawodnika do udziału w rozgrywkac</w:t>
      </w:r>
      <w:r>
        <w:rPr>
          <w:rFonts w:ascii="Times New Roman" w:hAnsi="Times New Roman" w:cs="Times New Roman"/>
          <w:bCs/>
          <w:sz w:val="24"/>
          <w:szCs w:val="24"/>
        </w:rPr>
        <w:t xml:space="preserve">h sportowych (a tym samym brak udziału w nich danego klubu) przez podmiot zarządzający ligą, tj. EŻ w przypadku Drużynowych Mistrzostw Polski Ekstraligi oraz GKSŻ w przypadku I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II ligi.</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Załącznik jest jednym z elementów Regulaminu. Określa szczegółowe z</w:t>
      </w:r>
      <w:r>
        <w:rPr>
          <w:rFonts w:ascii="Times New Roman" w:hAnsi="Times New Roman" w:cs="Times New Roman"/>
          <w:bCs/>
          <w:sz w:val="24"/>
          <w:szCs w:val="24"/>
        </w:rPr>
        <w:t xml:space="preserve">obowiązania wiążące klub i zawodnika, stanowiące uzupełnienie postanowień kontraktów o profesjonalne uprawianie sportu żużlowego. Załącznik zawiera regulacje dotyczące m.in. obowiązków i praw zawodnika wobec klubu oraz klubu wobec zawodnika; zasad wypłaty </w:t>
      </w:r>
      <w:r>
        <w:rPr>
          <w:rFonts w:ascii="Times New Roman" w:hAnsi="Times New Roman" w:cs="Times New Roman"/>
          <w:bCs/>
          <w:sz w:val="24"/>
          <w:szCs w:val="24"/>
        </w:rPr>
        <w:t>zawodnikom wynagrodzeń.</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Kluby sportowe, przed rozpoczęciem każdego sezonu rozgrywek klubowych, kompletują skład drużyny, która będzie reprezentować klub w rozgrywkach w danym sezonie. Skład ten może być zmieniany i uzupełniany również w trakcie trwania se</w:t>
      </w:r>
      <w:r>
        <w:rPr>
          <w:rFonts w:ascii="Times New Roman" w:hAnsi="Times New Roman" w:cs="Times New Roman"/>
          <w:bCs/>
          <w:sz w:val="24"/>
          <w:szCs w:val="24"/>
        </w:rPr>
        <w:t xml:space="preserve">zonu na warunkach określonych w regulacjach PZM (w szczególności w Regulaminie). Kluby negocjują </w:t>
      </w:r>
      <w:r>
        <w:rPr>
          <w:rFonts w:ascii="Times New Roman" w:hAnsi="Times New Roman" w:cs="Times New Roman"/>
          <w:bCs/>
          <w:sz w:val="24"/>
          <w:szCs w:val="24"/>
        </w:rPr>
        <w:lastRenderedPageBreak/>
        <w:t>i zawierają kontrakty z zawodnikami, którzy posiadają stosowne licencje sportowe uprawniające do występowania w danej klasie rozgrywkowej.</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Profesjonalne kontr</w:t>
      </w:r>
      <w:r>
        <w:rPr>
          <w:rFonts w:ascii="Times New Roman" w:hAnsi="Times New Roman" w:cs="Times New Roman"/>
          <w:bCs/>
          <w:sz w:val="24"/>
          <w:szCs w:val="24"/>
        </w:rPr>
        <w:t xml:space="preserve">akty w sporcie żużlowym zawierane są według ustandaryzowanego wzoru opracowanego przez PZM, a szczegółowy przedmiot i zasady wykonywania kontraktu unormowane są w Regulaminie i Załączniku, do przestrzegania których zobowiązują się obydwie strony w umowie. </w:t>
      </w:r>
      <w:r>
        <w:rPr>
          <w:rFonts w:ascii="Times New Roman" w:hAnsi="Times New Roman" w:cs="Times New Roman"/>
          <w:bCs/>
          <w:sz w:val="24"/>
          <w:szCs w:val="24"/>
        </w:rPr>
        <w:t>Przedmiotem negocjacji między zawodnikiem a klubem jest przede wszystkim rodzaj i wysokość wynagrodzenia, jakie przysługiwać będzie zawodnikowi, zasady jego wypłaty oraz podział miejsc reklamowych na kombinezonie i motocyklu zawodnika. Profesjonalne kontra</w:t>
      </w:r>
      <w:r>
        <w:rPr>
          <w:rFonts w:ascii="Times New Roman" w:hAnsi="Times New Roman" w:cs="Times New Roman"/>
          <w:bCs/>
          <w:sz w:val="24"/>
          <w:szCs w:val="24"/>
        </w:rPr>
        <w:t>kty zawierane są przez kluby z zawodnikami przeważnie na 1 sezon, ale możliwe są kontrakty dłuższe, obejmujące maksymalnie 6 sezonów rozgrywkowych. Oprócz kontraktów profesjonalnych kluby mogą zawierać z zawodnikami (wykorzystując ten sam szablon umowy) ko</w:t>
      </w:r>
      <w:r>
        <w:rPr>
          <w:rFonts w:ascii="Times New Roman" w:hAnsi="Times New Roman" w:cs="Times New Roman"/>
          <w:bCs/>
          <w:sz w:val="24"/>
          <w:szCs w:val="24"/>
        </w:rPr>
        <w:t xml:space="preserve">ntrakty amatorskie, kontrakty „gościa” oraz kontrakty na podstawie umowy wypożyczenia. </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Każdy klub jest zobowiązany zgłosić przynależność klubową zawodnika, z którym zawarł umowę: do EŻ w przypadku klubów Ekstraligi lub do PZM w przypadku klubów I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II li</w:t>
      </w:r>
      <w:r>
        <w:rPr>
          <w:rFonts w:ascii="Times New Roman" w:hAnsi="Times New Roman" w:cs="Times New Roman"/>
          <w:bCs/>
          <w:sz w:val="24"/>
          <w:szCs w:val="24"/>
        </w:rPr>
        <w:t>gi, przedkładając m.in. egzemplarz podpisanego kontraktu (art. 211 Regulaminu). Potwierdzony do startu w zawodach może być tylko zawodnik, który został zgłoszony i ma ustaloną przynależność klubową (art. 216 Regulaminu). Ponadto, klub jest zobowiązany prze</w:t>
      </w:r>
      <w:r>
        <w:rPr>
          <w:rFonts w:ascii="Times New Roman" w:hAnsi="Times New Roman" w:cs="Times New Roman"/>
          <w:bCs/>
          <w:sz w:val="24"/>
          <w:szCs w:val="24"/>
        </w:rPr>
        <w:t>kazywać egzemplarz każdego kontraktu, aneksu zmieniającego, czy umowy dodatkowej do kontraktu do PZM lub EŻ (w zależności od ligi, w której startuje).</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Regulamin przewiduje (art. 203 ust. 1), że „zapisy kontraktu, aneksu lub umowy dodatkowej zawartych pomi</w:t>
      </w:r>
      <w:r>
        <w:rPr>
          <w:rFonts w:ascii="Times New Roman" w:hAnsi="Times New Roman" w:cs="Times New Roman"/>
          <w:bCs/>
          <w:sz w:val="24"/>
          <w:szCs w:val="24"/>
        </w:rPr>
        <w:t xml:space="preserve">ędzy klubem a zawodnikiem sprzeczne z Regulaminem są nieważne”. Konsekwencją sprzeczności kontraktu z postanowieniami Regulaminu jest brak uznania przynależności klubowej takiego zawodnika oraz niedopuszczenie do udziału w rozgrywkach. </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Kontrakty z polski</w:t>
      </w:r>
      <w:r>
        <w:rPr>
          <w:rFonts w:ascii="Times New Roman" w:hAnsi="Times New Roman" w:cs="Times New Roman"/>
          <w:bCs/>
          <w:sz w:val="24"/>
          <w:szCs w:val="24"/>
        </w:rPr>
        <w:t>mi klubami mogą podpisywać również obcokrajowcy posiadający zagraniczne licencje sportowe, za zgodą swojej macierzystej federacji sportowej na start w polskiej lidze. Polscy zawodnicy żużla mogą startować, za zgodą PZM, w zagranicznych rozgrywkach żużlowyc</w:t>
      </w:r>
      <w:r>
        <w:rPr>
          <w:rFonts w:ascii="Times New Roman" w:hAnsi="Times New Roman" w:cs="Times New Roman"/>
          <w:bCs/>
          <w:sz w:val="24"/>
          <w:szCs w:val="24"/>
        </w:rPr>
        <w:t xml:space="preserve">h na podstawie kontraktów zagranicznych.  Zgodnie z art. 203 ust. 2 Regulaminu „zapisy kontraktu zagranicznego nie mogą być sprzeczne z przepisami PZM dotyczącymi sportu żużlowego, a w szczególności z zapisami [Regulaminu]”. W przypadku </w:t>
      </w:r>
      <w:r>
        <w:rPr>
          <w:rFonts w:ascii="Times New Roman" w:hAnsi="Times New Roman" w:cs="Times New Roman"/>
          <w:bCs/>
          <w:sz w:val="24"/>
          <w:szCs w:val="24"/>
        </w:rPr>
        <w:lastRenderedPageBreak/>
        <w:t>braku zgodności, PZ</w:t>
      </w:r>
      <w:r>
        <w:rPr>
          <w:rFonts w:ascii="Times New Roman" w:hAnsi="Times New Roman" w:cs="Times New Roman"/>
          <w:bCs/>
          <w:sz w:val="24"/>
          <w:szCs w:val="24"/>
        </w:rPr>
        <w:t>M cofa zgodę na starty zawodnika w zawodach rozgrywanych poza granicami kraju, odmawia wydania takiej zgody lub zakazuje startu w zawodach zagranicznych (art. 203 ust. 4 Regulaminu). W polskich rozgrywkach drużynowych mogą również brać udział kluby zagrani</w:t>
      </w:r>
      <w:r>
        <w:rPr>
          <w:rFonts w:ascii="Times New Roman" w:hAnsi="Times New Roman" w:cs="Times New Roman"/>
          <w:bCs/>
          <w:sz w:val="24"/>
          <w:szCs w:val="24"/>
        </w:rPr>
        <w:t xml:space="preserve">czne na zasadach określonych między PZM a krajową narodową federacją sportową, do której należy ten klub. </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(dowody: pismo PZM z 14 października 2021 r., k. 11 – 35 akt adm.; pismo EŻ z 7 grudnia 2021 r., k. 69 – 73A akt adm.; Statuty Polskiego Związku Moto</w:t>
      </w:r>
      <w:r>
        <w:rPr>
          <w:rFonts w:ascii="Times New Roman" w:hAnsi="Times New Roman" w:cs="Times New Roman"/>
          <w:bCs/>
          <w:i/>
          <w:sz w:val="24"/>
          <w:szCs w:val="24"/>
        </w:rPr>
        <w:t>rowego k. 36 – 42v, k. 43 – 49, k. 50 – 58, k. 59 – 68 akt adm.; Regulaminy Przynależności Klubowej– załącznik do pisma PZM z 21 lutego 2022 r., płyta CD, k. 282A akt adm.; Regulamin Przynależności Klubowej, k. 339 –355, k. 356 – 372v, k. 373 – 390, k. 391</w:t>
      </w:r>
      <w:r>
        <w:rPr>
          <w:rFonts w:ascii="Times New Roman" w:hAnsi="Times New Roman" w:cs="Times New Roman"/>
          <w:bCs/>
          <w:i/>
          <w:sz w:val="24"/>
          <w:szCs w:val="24"/>
        </w:rPr>
        <w:t xml:space="preserve"> – 408, k. 409 – 426, k. 535 – 551 akt adm.; zał. do Regulaminu – Zbiór zasad regulujących stosunki między zawodnikiem i klubem, k. 552 – 568 akt adm.)</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Prezes Urzędu Ochrony Konkurencji i Konsumentów 1 września 2021 r. wszczął postępowanie wyjaśniające, m</w:t>
      </w:r>
      <w:r>
        <w:rPr>
          <w:rFonts w:ascii="Times New Roman" w:hAnsi="Times New Roman" w:cs="Times New Roman"/>
          <w:bCs/>
          <w:sz w:val="24"/>
          <w:szCs w:val="24"/>
        </w:rPr>
        <w:t xml:space="preserve">ające na celu wstępne ustalenie, czy w związku z działaniami podmiotów funkcjonujących na rynku profesjonalnych rozgrywek żużlowych, w szczególności w związku z działaniami dotyczącymi ustalania zasad współpracy klubów żużlowych z zawodnikami, mogło dojść </w:t>
      </w:r>
      <w:r>
        <w:rPr>
          <w:rFonts w:ascii="Times New Roman" w:hAnsi="Times New Roman" w:cs="Times New Roman"/>
          <w:bCs/>
          <w:sz w:val="24"/>
          <w:szCs w:val="24"/>
        </w:rPr>
        <w:t>do naruszenia przepisów ustawy o ochronie konkurencji i konsumentów lub Traktatu o Funkcjonowaniu Unii Europejskiej (Dz. Urz. UE C 202 z 7.6.2016 r., s. 1–388), co uzasadniałoby wszczęcie postępowania antymonopolowego.</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12 maja 2022 r. Prezes Urzędu wszczą</w:t>
      </w:r>
      <w:r>
        <w:rPr>
          <w:rFonts w:ascii="Times New Roman" w:hAnsi="Times New Roman" w:cs="Times New Roman"/>
          <w:bCs/>
          <w:sz w:val="24"/>
          <w:szCs w:val="24"/>
        </w:rPr>
        <w:t xml:space="preserve">ł w przedmiotowej sprawie postępowanie antymonopolowe. </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(dowód: postanowienie Prezesa UOKiK z 12 maja 2022 r, k. 1 – 5v akt adm.)</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W piśmie z 25 lipca 2022 r. PZM i EŻ przedstawiły wspólną odpowiedź na zarzuty zawarte w postanowieniu o wszczęciu postępowan</w:t>
      </w:r>
      <w:r>
        <w:rPr>
          <w:rFonts w:ascii="Times New Roman" w:hAnsi="Times New Roman" w:cs="Times New Roman"/>
          <w:bCs/>
          <w:sz w:val="24"/>
          <w:szCs w:val="24"/>
        </w:rPr>
        <w:t>ia antymonopolowego, w której zajęły stanowisko odnośnie do: reguł prawa konkurencji w sporcie, stosowania limitów finansowych w sporcie, w kontekście obowiązującego unijnego prawa konkurencji, braku zawarcia porozumienia ograniczającego konkurencję oraz b</w:t>
      </w:r>
      <w:r>
        <w:rPr>
          <w:rFonts w:ascii="Times New Roman" w:hAnsi="Times New Roman" w:cs="Times New Roman"/>
          <w:bCs/>
          <w:sz w:val="24"/>
          <w:szCs w:val="24"/>
        </w:rPr>
        <w:t xml:space="preserve">raku </w:t>
      </w:r>
      <w:proofErr w:type="spellStart"/>
      <w:r>
        <w:rPr>
          <w:rFonts w:ascii="Times New Roman" w:hAnsi="Times New Roman" w:cs="Times New Roman"/>
          <w:bCs/>
          <w:sz w:val="24"/>
          <w:szCs w:val="24"/>
        </w:rPr>
        <w:t>antykonkurencyjnego</w:t>
      </w:r>
      <w:proofErr w:type="spellEnd"/>
      <w:r>
        <w:rPr>
          <w:rFonts w:ascii="Times New Roman" w:hAnsi="Times New Roman" w:cs="Times New Roman"/>
          <w:bCs/>
          <w:sz w:val="24"/>
          <w:szCs w:val="24"/>
        </w:rPr>
        <w:t xml:space="preserve"> skutku wprowadzenia limitów wynagrodzeń.</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(dowód: pismo PZM i EŻ z 25 lipca 2022 r. , k. 292 – 331 akt adm.)</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8 lutego 2023 r. Prezes Urzędu zawiadomił strony o zakończeniu postępowania dowodowego w sprawie oraz o możliwości przedst</w:t>
      </w:r>
      <w:r>
        <w:rPr>
          <w:rFonts w:ascii="Times New Roman" w:hAnsi="Times New Roman" w:cs="Times New Roman"/>
          <w:bCs/>
          <w:sz w:val="24"/>
          <w:szCs w:val="24"/>
        </w:rPr>
        <w:t>awienia ostatecznego stanowiska.</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Pr>
          <w:rFonts w:ascii="Times New Roman" w:hAnsi="Times New Roman" w:cs="Times New Roman"/>
          <w:bCs/>
          <w:i/>
          <w:sz w:val="24"/>
          <w:szCs w:val="24"/>
        </w:rPr>
        <w:t>(dowód: pismo Prezesa UOKiK z 8 lutego 2023 r., k. 601 – 602 akt adm.)</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Pismem z 3 marca 2023 r. strony przedstawiły wspólne stanowisko w związku z zawiadomieniem o zakończeniu postępowania dowodowego. </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(dowód: pismo PZM i</w:t>
      </w:r>
      <w:r>
        <w:rPr>
          <w:rFonts w:ascii="Times New Roman" w:hAnsi="Times New Roman" w:cs="Times New Roman"/>
          <w:bCs/>
          <w:i/>
          <w:sz w:val="24"/>
          <w:szCs w:val="24"/>
        </w:rPr>
        <w:t xml:space="preserve"> EŻ z 3 marca 2023 r., k. 605 – 657 akt adm.)</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Okolicznością bezsporną w niniejszej sprawie jest fakt, wynikający ze zgromadzonego materiału dowodowego sprawy, ustalania w ciągu szeregu lat (tj. począwszy od 2013 – 2022 r.) przez PZM maksymalnych stawek wy</w:t>
      </w:r>
      <w:r>
        <w:rPr>
          <w:rFonts w:ascii="Times New Roman" w:hAnsi="Times New Roman" w:cs="Times New Roman"/>
          <w:bCs/>
          <w:sz w:val="24"/>
          <w:szCs w:val="24"/>
        </w:rPr>
        <w:t xml:space="preserve">nagrodzeń, jakie kluby żużlowe mogły określać w kontraktach o profesjonalne uprawianie sportu żużlowego z zawodnikami.  </w:t>
      </w:r>
    </w:p>
    <w:p w:rsidR="006C2E2F" w:rsidRDefault="00D86529">
      <w:pPr>
        <w:spacing w:before="240" w:after="0" w:line="360" w:lineRule="auto"/>
        <w:jc w:val="both"/>
        <w:rPr>
          <w:rFonts w:ascii="Times New Roman" w:hAnsi="Times New Roman" w:cs="Times New Roman"/>
          <w:bCs/>
          <w:i/>
          <w:sz w:val="24"/>
          <w:szCs w:val="24"/>
        </w:rPr>
      </w:pPr>
      <w:r>
        <w:rPr>
          <w:rFonts w:ascii="Times New Roman" w:hAnsi="Times New Roman" w:cs="Times New Roman"/>
          <w:bCs/>
          <w:i/>
          <w:sz w:val="24"/>
          <w:szCs w:val="24"/>
        </w:rPr>
        <w:t xml:space="preserve">(dowody: Zbiory Zasad Regulujących Stosunki Pomiędzy Zawodnikiem i Klubem – załącznik do pisma PZM z 21 lutego 2022 r., płyta CD, k. </w:t>
      </w:r>
      <w:r>
        <w:rPr>
          <w:rFonts w:ascii="Times New Roman" w:hAnsi="Times New Roman" w:cs="Times New Roman"/>
          <w:bCs/>
          <w:i/>
          <w:sz w:val="24"/>
          <w:szCs w:val="24"/>
        </w:rPr>
        <w:t>282A; Decyzje Głównej Komisji Sportu Żużlowego PZM – załącznik do pisma PZM z 21 lutego 2022 r., płyta CD, k. 282A)</w:t>
      </w:r>
    </w:p>
    <w:p w:rsidR="006C2E2F" w:rsidRDefault="006C2E2F">
      <w:pPr>
        <w:widowControl w:val="0"/>
        <w:tabs>
          <w:tab w:val="left" w:pos="709"/>
        </w:tabs>
        <w:spacing w:before="240" w:after="0" w:line="360" w:lineRule="auto"/>
        <w:ind w:firstLine="567"/>
        <w:jc w:val="both"/>
        <w:rPr>
          <w:rStyle w:val="TekstpodstawowyZnak"/>
          <w:rFonts w:eastAsiaTheme="minorHAnsi"/>
          <w:bCs/>
          <w:sz w:val="24"/>
          <w:szCs w:val="24"/>
        </w:rPr>
      </w:pPr>
    </w:p>
    <w:p w:rsidR="006C2E2F" w:rsidRDefault="00D86529">
      <w:pPr>
        <w:widowControl w:val="0"/>
        <w:tabs>
          <w:tab w:val="left" w:pos="709"/>
        </w:tabs>
        <w:spacing w:before="240" w:after="0" w:line="360" w:lineRule="auto"/>
        <w:ind w:firstLine="567"/>
        <w:jc w:val="both"/>
        <w:rPr>
          <w:rFonts w:ascii="Times New Roman" w:eastAsia="Arial" w:hAnsi="Times New Roman" w:cs="Times New Roman"/>
          <w:bCs/>
          <w:iCs/>
          <w:sz w:val="24"/>
          <w:szCs w:val="24"/>
          <w:lang w:eastAsia="pl-PL"/>
        </w:rPr>
      </w:pPr>
      <w:r>
        <w:rPr>
          <w:rStyle w:val="TekstpodstawowyZnak"/>
          <w:rFonts w:eastAsiaTheme="minorHAnsi"/>
          <w:bCs/>
          <w:sz w:val="24"/>
          <w:szCs w:val="24"/>
        </w:rPr>
        <w:t>Przedstawiony stan faktyczny Sąd ustalił</w:t>
      </w:r>
      <w:r>
        <w:rPr>
          <w:rFonts w:ascii="Times New Roman" w:eastAsia="Arial" w:hAnsi="Times New Roman" w:cs="Times New Roman"/>
          <w:bCs/>
          <w:iCs/>
          <w:sz w:val="24"/>
          <w:szCs w:val="24"/>
          <w:lang w:eastAsia="pl-PL"/>
        </w:rPr>
        <w:t xml:space="preserve"> na podstawie dokumentów złożonych w trakcie postępowania administracyjnego i sądowego, których autentyczność nie była podważana przez żadną ze stron postępowania, jak też w oparciu o niekwestionowane twierdzenia stron, które nie budziły wątpliwości Sądu. </w:t>
      </w:r>
    </w:p>
    <w:p w:rsidR="006C2E2F" w:rsidRDefault="00D86529">
      <w:pPr>
        <w:spacing w:before="240"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Powyższe ustalenia faktyczne, dokonane w oparciu o powołane wyżej dowody, w szczególności: umowa spółki Ekstraliga Żużlowa sp. z o.o. w tekście jednolitym, wyciągi z księgi udziałów EŻ, statut PZM, umowa o zarządzanie ligą zawodową, dały Sądowi podstawę </w:t>
      </w:r>
      <w:r>
        <w:rPr>
          <w:rFonts w:ascii="Times New Roman" w:hAnsi="Times New Roman" w:cs="Times New Roman"/>
          <w:bCs/>
          <w:sz w:val="24"/>
          <w:szCs w:val="24"/>
        </w:rPr>
        <w:t>do uznania, że oba podmioty objęte zaskarżoną decyzją: PZM i EŻ są w takiej zależności, że zachodzą podstawy do wniosku (odmiennie od organu), że pozostają w jednej grupie kapitałowej i tworzą jeden organizm gospodarczy co prawnie i faktycznie nie daje moż</w:t>
      </w:r>
      <w:r>
        <w:rPr>
          <w:rFonts w:ascii="Times New Roman" w:hAnsi="Times New Roman" w:cs="Times New Roman"/>
          <w:bCs/>
          <w:sz w:val="24"/>
          <w:szCs w:val="24"/>
        </w:rPr>
        <w:t>liwości zawarcia pomiędzy nimi porozumienia ograniczającego konkurencję w zakresie sportu żużlowego z uwzględnieniem też ustawowego obowiązku zawarcia między PZM i EŻ umowy o zarządzanie ligą zawodową.</w:t>
      </w:r>
    </w:p>
    <w:p w:rsidR="006C2E2F" w:rsidRDefault="00D86529">
      <w:pPr>
        <w:widowControl w:val="0"/>
        <w:tabs>
          <w:tab w:val="left" w:pos="709"/>
        </w:tabs>
        <w:spacing w:before="240" w:after="0" w:line="360" w:lineRule="auto"/>
        <w:ind w:firstLine="567"/>
        <w:jc w:val="both"/>
        <w:rPr>
          <w:rFonts w:ascii="Times New Roman" w:eastAsia="Arial" w:hAnsi="Times New Roman" w:cs="Times New Roman"/>
          <w:bCs/>
          <w:iCs/>
          <w:sz w:val="24"/>
          <w:szCs w:val="24"/>
          <w:lang w:eastAsia="pl-PL"/>
        </w:rPr>
      </w:pPr>
      <w:r>
        <w:rPr>
          <w:rFonts w:ascii="Times New Roman" w:eastAsia="Arial" w:hAnsi="Times New Roman" w:cs="Times New Roman"/>
          <w:bCs/>
          <w:iCs/>
          <w:sz w:val="24"/>
          <w:szCs w:val="24"/>
          <w:lang w:eastAsia="pl-PL"/>
        </w:rPr>
        <w:t>Sąd mając na względzie powyższe, a konkretnie ustaleni</w:t>
      </w:r>
      <w:r>
        <w:rPr>
          <w:rFonts w:ascii="Times New Roman" w:eastAsia="Arial" w:hAnsi="Times New Roman" w:cs="Times New Roman"/>
          <w:bCs/>
          <w:iCs/>
          <w:sz w:val="24"/>
          <w:szCs w:val="24"/>
          <w:lang w:eastAsia="pl-PL"/>
        </w:rPr>
        <w:t xml:space="preserve">a dotyczące zakresu faktycznego zarzutu najdalej idącego (na co zwrócono też uwagę wszystkim stronom z zakreśleniem odpowiednich terminów do stanowiska procesowego), nie przeprowadzał postępowania dowodowego w zakresie osobowych dowodów objętych wnioskami </w:t>
      </w:r>
      <w:r>
        <w:rPr>
          <w:rFonts w:ascii="Times New Roman" w:eastAsia="Arial" w:hAnsi="Times New Roman" w:cs="Times New Roman"/>
          <w:bCs/>
          <w:iCs/>
          <w:sz w:val="24"/>
          <w:szCs w:val="24"/>
          <w:lang w:eastAsia="pl-PL"/>
        </w:rPr>
        <w:t xml:space="preserve">odwołujących i dowodu z </w:t>
      </w:r>
      <w:r>
        <w:rPr>
          <w:rFonts w:ascii="Times New Roman" w:eastAsia="Arial" w:hAnsi="Times New Roman" w:cs="Times New Roman"/>
          <w:bCs/>
          <w:iCs/>
          <w:sz w:val="24"/>
          <w:szCs w:val="24"/>
          <w:lang w:eastAsia="pl-PL"/>
        </w:rPr>
        <w:lastRenderedPageBreak/>
        <w:t xml:space="preserve">opinii biegłego oraz objętych żądaniami złożenia dokumentów w trybie art. 248 § 1 k.p.c., ponieważ odwołujący wskazywali je na potwierdzenie faktów związanych z dalszymi zarzutami. </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eastAsia="Arial" w:hAnsi="Times New Roman" w:cs="Times New Roman"/>
          <w:bCs/>
          <w:iCs/>
          <w:sz w:val="24"/>
          <w:szCs w:val="24"/>
          <w:lang w:eastAsia="pl-PL"/>
        </w:rPr>
        <w:t xml:space="preserve">Sąd na rozprawie 5 grudnia 2025 r. </w:t>
      </w:r>
      <w:r>
        <w:rPr>
          <w:rFonts w:ascii="Times New Roman" w:hAnsi="Times New Roman" w:cs="Times New Roman"/>
          <w:bCs/>
          <w:sz w:val="24"/>
          <w:szCs w:val="24"/>
        </w:rPr>
        <w:t>postanowił na p</w:t>
      </w:r>
      <w:r>
        <w:rPr>
          <w:rFonts w:ascii="Times New Roman" w:hAnsi="Times New Roman" w:cs="Times New Roman"/>
          <w:bCs/>
          <w:sz w:val="24"/>
          <w:szCs w:val="24"/>
        </w:rPr>
        <w:t>odstawie art. 235</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 1 pkt 2) k.p.c. pominąć wnioski dowodowe powodów w obu połączonych sprawach – z zeznań świadków ujętych w pkt 2 </w:t>
      </w:r>
      <w:proofErr w:type="spellStart"/>
      <w:r>
        <w:rPr>
          <w:rFonts w:ascii="Times New Roman" w:hAnsi="Times New Roman" w:cs="Times New Roman"/>
          <w:bCs/>
          <w:sz w:val="24"/>
          <w:szCs w:val="24"/>
        </w:rPr>
        <w:t>odwołań</w:t>
      </w:r>
      <w:proofErr w:type="spellEnd"/>
      <w:r>
        <w:rPr>
          <w:rFonts w:ascii="Times New Roman" w:hAnsi="Times New Roman" w:cs="Times New Roman"/>
          <w:bCs/>
          <w:sz w:val="24"/>
          <w:szCs w:val="24"/>
        </w:rPr>
        <w:t xml:space="preserve">: Michał </w:t>
      </w:r>
      <w:proofErr w:type="spellStart"/>
      <w:r>
        <w:rPr>
          <w:rFonts w:ascii="Times New Roman" w:hAnsi="Times New Roman" w:cs="Times New Roman"/>
          <w:bCs/>
          <w:sz w:val="24"/>
          <w:szCs w:val="24"/>
        </w:rPr>
        <w:t>Świącik</w:t>
      </w:r>
      <w:proofErr w:type="spellEnd"/>
      <w:r>
        <w:rPr>
          <w:rFonts w:ascii="Times New Roman" w:hAnsi="Times New Roman" w:cs="Times New Roman"/>
          <w:bCs/>
          <w:sz w:val="24"/>
          <w:szCs w:val="24"/>
        </w:rPr>
        <w:t xml:space="preserve">, Jakub Kępa, Marcin Murawski, Ireneusz </w:t>
      </w:r>
      <w:proofErr w:type="spellStart"/>
      <w:r>
        <w:rPr>
          <w:rFonts w:ascii="Times New Roman" w:hAnsi="Times New Roman" w:cs="Times New Roman"/>
          <w:bCs/>
          <w:sz w:val="24"/>
          <w:szCs w:val="24"/>
        </w:rPr>
        <w:t>Igielski</w:t>
      </w:r>
      <w:proofErr w:type="spellEnd"/>
      <w:r>
        <w:rPr>
          <w:rFonts w:ascii="Times New Roman" w:hAnsi="Times New Roman" w:cs="Times New Roman"/>
          <w:bCs/>
          <w:sz w:val="24"/>
          <w:szCs w:val="24"/>
        </w:rPr>
        <w:t xml:space="preserve">, Kamil </w:t>
      </w:r>
      <w:proofErr w:type="spellStart"/>
      <w:r>
        <w:rPr>
          <w:rFonts w:ascii="Times New Roman" w:hAnsi="Times New Roman" w:cs="Times New Roman"/>
          <w:bCs/>
          <w:sz w:val="24"/>
          <w:szCs w:val="24"/>
        </w:rPr>
        <w:t>Kawicki</w:t>
      </w:r>
      <w:proofErr w:type="spellEnd"/>
      <w:r>
        <w:rPr>
          <w:rFonts w:ascii="Times New Roman" w:hAnsi="Times New Roman" w:cs="Times New Roman"/>
          <w:bCs/>
          <w:sz w:val="24"/>
          <w:szCs w:val="24"/>
        </w:rPr>
        <w:t xml:space="preserve">, Adam </w:t>
      </w:r>
      <w:proofErr w:type="spellStart"/>
      <w:r>
        <w:rPr>
          <w:rFonts w:ascii="Times New Roman" w:hAnsi="Times New Roman" w:cs="Times New Roman"/>
          <w:bCs/>
          <w:sz w:val="24"/>
          <w:szCs w:val="24"/>
        </w:rPr>
        <w:t>Krużyński</w:t>
      </w:r>
      <w:proofErr w:type="spellEnd"/>
      <w:r>
        <w:rPr>
          <w:rFonts w:ascii="Times New Roman" w:hAnsi="Times New Roman" w:cs="Times New Roman"/>
          <w:bCs/>
          <w:sz w:val="24"/>
          <w:szCs w:val="24"/>
        </w:rPr>
        <w:t>, Dariusz Cieślak, St</w:t>
      </w:r>
      <w:r>
        <w:rPr>
          <w:rFonts w:ascii="Times New Roman" w:hAnsi="Times New Roman" w:cs="Times New Roman"/>
          <w:bCs/>
          <w:sz w:val="24"/>
          <w:szCs w:val="24"/>
        </w:rPr>
        <w:t xml:space="preserve">anisław </w:t>
      </w:r>
      <w:proofErr w:type="spellStart"/>
      <w:r>
        <w:rPr>
          <w:rFonts w:ascii="Times New Roman" w:hAnsi="Times New Roman" w:cs="Times New Roman"/>
          <w:bCs/>
          <w:sz w:val="24"/>
          <w:szCs w:val="24"/>
        </w:rPr>
        <w:t>Chomski</w:t>
      </w:r>
      <w:proofErr w:type="spellEnd"/>
      <w:r>
        <w:rPr>
          <w:rFonts w:ascii="Times New Roman" w:hAnsi="Times New Roman" w:cs="Times New Roman"/>
          <w:bCs/>
          <w:sz w:val="24"/>
          <w:szCs w:val="24"/>
        </w:rPr>
        <w:t xml:space="preserve">, Michał Finfa, Krzysztof Orzeł, Jarosław Dymek, Rafał Dobrucki, Piotr Szymański, Łukasz Szmit, Andrzej Witkowski, Martin </w:t>
      </w:r>
      <w:proofErr w:type="spellStart"/>
      <w:r>
        <w:rPr>
          <w:rFonts w:ascii="Times New Roman" w:hAnsi="Times New Roman" w:cs="Times New Roman"/>
          <w:bCs/>
          <w:sz w:val="24"/>
          <w:szCs w:val="24"/>
        </w:rPr>
        <w:t>Vaculik</w:t>
      </w:r>
      <w:proofErr w:type="spellEnd"/>
      <w:r>
        <w:rPr>
          <w:rFonts w:ascii="Times New Roman" w:hAnsi="Times New Roman" w:cs="Times New Roman"/>
          <w:bCs/>
          <w:sz w:val="24"/>
          <w:szCs w:val="24"/>
        </w:rPr>
        <w:t xml:space="preserve"> jako dotyczące okoliczności nieistotnych dla rozstrzygnięcia sprawy z powodów powołanych wyżej. Także na rozpra</w:t>
      </w:r>
      <w:r>
        <w:rPr>
          <w:rFonts w:ascii="Times New Roman" w:hAnsi="Times New Roman" w:cs="Times New Roman"/>
          <w:bCs/>
          <w:sz w:val="24"/>
          <w:szCs w:val="24"/>
        </w:rPr>
        <w:t>wie 5 grudnia 2025 r. Sąd postanowił na podstawie art. 235</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 1 pkt 2) i 5) k.p.c. pominąć wnioski dowodowe powodów w obu połączonych sprawach – z opinii biegłego z zakresu ekonomiki sportu ze szczególnym uwzględnieniem sportu żużlowego, uznając, że jest t</w:t>
      </w:r>
      <w:r>
        <w:rPr>
          <w:rFonts w:ascii="Times New Roman" w:hAnsi="Times New Roman" w:cs="Times New Roman"/>
          <w:bCs/>
          <w:sz w:val="24"/>
          <w:szCs w:val="24"/>
        </w:rPr>
        <w:t xml:space="preserve">o nieistotne dla rozstrzygnięcia sprawy, a ponadto zmierza do przedłużenia postępowania. Kolejno Sąd </w:t>
      </w:r>
      <w:r>
        <w:rPr>
          <w:rFonts w:ascii="Times New Roman" w:eastAsia="Arial" w:hAnsi="Times New Roman" w:cs="Times New Roman"/>
          <w:bCs/>
          <w:iCs/>
          <w:sz w:val="24"/>
          <w:szCs w:val="24"/>
          <w:lang w:eastAsia="pl-PL"/>
        </w:rPr>
        <w:t xml:space="preserve">postanowił </w:t>
      </w:r>
      <w:r>
        <w:rPr>
          <w:rFonts w:ascii="Times New Roman" w:hAnsi="Times New Roman" w:cs="Times New Roman"/>
          <w:bCs/>
          <w:sz w:val="24"/>
          <w:szCs w:val="24"/>
        </w:rPr>
        <w:t>na podstawie art. 235</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 1 pkt 2) k.p.c. w zw. z art. 299 k.p.c. pominąć wnioski dowodowe powodów w obu połączonych sprawach – z przesłuchania s</w:t>
      </w:r>
      <w:r>
        <w:rPr>
          <w:rFonts w:ascii="Times New Roman" w:hAnsi="Times New Roman" w:cs="Times New Roman"/>
          <w:bCs/>
          <w:sz w:val="24"/>
          <w:szCs w:val="24"/>
        </w:rPr>
        <w:t xml:space="preserve">tron, uznając, że nie zostały spełnione przesłanki z art. 299 k.p.c. i dowód ten jest na okoliczność faktów nieistotnych dla rozstrzygnięcia sprawy. </w:t>
      </w:r>
      <w:r>
        <w:rPr>
          <w:rFonts w:ascii="Times New Roman" w:eastAsia="Arial" w:hAnsi="Times New Roman" w:cs="Times New Roman"/>
          <w:bCs/>
          <w:iCs/>
          <w:sz w:val="24"/>
          <w:szCs w:val="24"/>
          <w:lang w:eastAsia="pl-PL"/>
        </w:rPr>
        <w:t xml:space="preserve">Także </w:t>
      </w:r>
      <w:r>
        <w:rPr>
          <w:rFonts w:ascii="Times New Roman" w:hAnsi="Times New Roman" w:cs="Times New Roman"/>
          <w:bCs/>
          <w:sz w:val="24"/>
          <w:szCs w:val="24"/>
        </w:rPr>
        <w:t>na podstawie art. 235(2) § 1 pkt 2) k.p.c. Sąd postanowił pominąć wnioski powodów w obu połączonych s</w:t>
      </w:r>
      <w:r>
        <w:rPr>
          <w:rFonts w:ascii="Times New Roman" w:hAnsi="Times New Roman" w:cs="Times New Roman"/>
          <w:bCs/>
          <w:sz w:val="24"/>
          <w:szCs w:val="24"/>
        </w:rPr>
        <w:t xml:space="preserve">prawach o zobowiązanie przez Sąd do złożenia dokumentów w trybie art. 248 § 1 k.p.c.  wobec podmiotów wskazanych w </w:t>
      </w:r>
      <w:proofErr w:type="spellStart"/>
      <w:r>
        <w:rPr>
          <w:rFonts w:ascii="Times New Roman" w:hAnsi="Times New Roman" w:cs="Times New Roman"/>
          <w:bCs/>
          <w:sz w:val="24"/>
          <w:szCs w:val="24"/>
        </w:rPr>
        <w:t>odwołaniach</w:t>
      </w:r>
      <w:proofErr w:type="spellEnd"/>
      <w:r>
        <w:rPr>
          <w:rFonts w:ascii="Times New Roman" w:hAnsi="Times New Roman" w:cs="Times New Roman"/>
          <w:bCs/>
          <w:sz w:val="24"/>
          <w:szCs w:val="24"/>
        </w:rPr>
        <w:t xml:space="preserve"> - </w:t>
      </w:r>
      <w:proofErr w:type="spellStart"/>
      <w:r>
        <w:rPr>
          <w:rFonts w:ascii="Times New Roman" w:hAnsi="Times New Roman" w:cs="Times New Roman"/>
          <w:bCs/>
          <w:sz w:val="24"/>
          <w:szCs w:val="24"/>
        </w:rPr>
        <w:t>Grudziącki</w:t>
      </w:r>
      <w:proofErr w:type="spellEnd"/>
      <w:r>
        <w:rPr>
          <w:rFonts w:ascii="Times New Roman" w:hAnsi="Times New Roman" w:cs="Times New Roman"/>
          <w:bCs/>
          <w:sz w:val="24"/>
          <w:szCs w:val="24"/>
        </w:rPr>
        <w:t xml:space="preserve"> Klub Motocyklowy S.A. i Speedway Lublin S.A. jako dotyczące okoliczności nieistotnych dla rozstrzygnięcia sprawy.</w:t>
      </w:r>
    </w:p>
    <w:p w:rsidR="006C2E2F" w:rsidRDefault="00D86529">
      <w:pPr>
        <w:widowControl w:val="0"/>
        <w:tabs>
          <w:tab w:val="left" w:pos="709"/>
        </w:tabs>
        <w:spacing w:before="240" w:after="0" w:line="360" w:lineRule="auto"/>
        <w:ind w:firstLine="567"/>
        <w:jc w:val="both"/>
        <w:rPr>
          <w:rFonts w:ascii="Times New Roman" w:eastAsia="Arial" w:hAnsi="Times New Roman" w:cs="Times New Roman"/>
          <w:b/>
          <w:iCs/>
          <w:sz w:val="24"/>
          <w:szCs w:val="24"/>
          <w:lang w:eastAsia="pl-PL"/>
        </w:rPr>
      </w:pPr>
      <w:r>
        <w:rPr>
          <w:rFonts w:ascii="Times New Roman" w:eastAsia="Arial" w:hAnsi="Times New Roman" w:cs="Times New Roman"/>
          <w:b/>
          <w:iCs/>
          <w:sz w:val="24"/>
          <w:szCs w:val="24"/>
          <w:lang w:eastAsia="pl-PL"/>
        </w:rPr>
        <w:t>Są</w:t>
      </w:r>
      <w:r>
        <w:rPr>
          <w:rFonts w:ascii="Times New Roman" w:eastAsia="Arial" w:hAnsi="Times New Roman" w:cs="Times New Roman"/>
          <w:b/>
          <w:iCs/>
          <w:sz w:val="24"/>
          <w:szCs w:val="24"/>
          <w:lang w:eastAsia="pl-PL"/>
        </w:rPr>
        <w:t>d Okręgowy – Sąd Ochrony Konkurencji i Konsumentów zważył, co następuje:</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Odwołania PZM i EŻ były uzasadnione i skutkowały koniecznością uchylenia zaskarżonej decyzji.</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W ocenie Sądu, zaskarżona decyzja jest nieprawidłowa, ponieważ organ wydał ją w oparciu o</w:t>
      </w:r>
      <w:r>
        <w:rPr>
          <w:rFonts w:ascii="Times New Roman" w:hAnsi="Times New Roman" w:cs="Times New Roman"/>
          <w:bCs/>
          <w:sz w:val="24"/>
          <w:szCs w:val="24"/>
        </w:rPr>
        <w:t xml:space="preserve"> wadliwe ustalenia faktyczne m. in., że PZM ma 44,4% udziałów w kapitale zakładowym EŻ, podczas gdy z pewnością od 2013 r. ma tych udziałów 58,29% a pozostałe udziały w kapitale są rozproszone (po 5,21%), co w efekcie spowodowało błędne uznanie przez Preze</w:t>
      </w:r>
      <w:r>
        <w:rPr>
          <w:rFonts w:ascii="Times New Roman" w:hAnsi="Times New Roman" w:cs="Times New Roman"/>
          <w:bCs/>
          <w:sz w:val="24"/>
          <w:szCs w:val="24"/>
        </w:rPr>
        <w:t xml:space="preserve">sa UOKiK, że powodowie należą do odrębnych grup kapitałowych i wzięli udział w porozumieniu antymonopolowym – błędna kwalifikacja prawna sprawy. Tymczasem analiza </w:t>
      </w:r>
      <w:r>
        <w:rPr>
          <w:rFonts w:ascii="Times New Roman" w:hAnsi="Times New Roman" w:cs="Times New Roman"/>
          <w:bCs/>
          <w:sz w:val="24"/>
          <w:szCs w:val="24"/>
        </w:rPr>
        <w:lastRenderedPageBreak/>
        <w:t>dokumentów z księgi udziałów EŻ oraz umownych i ustawowych zależności między powodami, któryc</w:t>
      </w:r>
      <w:r>
        <w:rPr>
          <w:rFonts w:ascii="Times New Roman" w:hAnsi="Times New Roman" w:cs="Times New Roman"/>
          <w:bCs/>
          <w:sz w:val="24"/>
          <w:szCs w:val="24"/>
        </w:rPr>
        <w:t xml:space="preserve">h organ nie dokonał prowadzi do wniosku, że PZM i EŻ stanowią jedną grupę kapitałową w rozumieniu przejęcia kontroli PZM nad EŻ oraz jeden organizm gospodarczy, co wyłącza kwalifikację prawną porozumienia między nimi ograniczającego konkurencję. </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W związku</w:t>
      </w:r>
      <w:r>
        <w:rPr>
          <w:rFonts w:ascii="Times New Roman" w:hAnsi="Times New Roman" w:cs="Times New Roman"/>
          <w:bCs/>
          <w:sz w:val="24"/>
          <w:szCs w:val="24"/>
        </w:rPr>
        <w:t xml:space="preserve"> z tym, że obaj powodowie w </w:t>
      </w:r>
      <w:proofErr w:type="spellStart"/>
      <w:r>
        <w:rPr>
          <w:rFonts w:ascii="Times New Roman" w:hAnsi="Times New Roman" w:cs="Times New Roman"/>
          <w:bCs/>
          <w:sz w:val="24"/>
          <w:szCs w:val="24"/>
        </w:rPr>
        <w:t>odwołaniach</w:t>
      </w:r>
      <w:proofErr w:type="spellEnd"/>
      <w:r>
        <w:rPr>
          <w:rFonts w:ascii="Times New Roman" w:hAnsi="Times New Roman" w:cs="Times New Roman"/>
          <w:bCs/>
          <w:sz w:val="24"/>
          <w:szCs w:val="24"/>
        </w:rPr>
        <w:t xml:space="preserve"> podnieśli takie same zarzuty, to ocena zarzutów tych </w:t>
      </w:r>
      <w:proofErr w:type="spellStart"/>
      <w:r>
        <w:rPr>
          <w:rFonts w:ascii="Times New Roman" w:hAnsi="Times New Roman" w:cs="Times New Roman"/>
          <w:bCs/>
          <w:sz w:val="24"/>
          <w:szCs w:val="24"/>
        </w:rPr>
        <w:t>odwołań</w:t>
      </w:r>
      <w:proofErr w:type="spellEnd"/>
      <w:r>
        <w:rPr>
          <w:rFonts w:ascii="Times New Roman" w:hAnsi="Times New Roman" w:cs="Times New Roman"/>
          <w:bCs/>
          <w:sz w:val="24"/>
          <w:szCs w:val="24"/>
        </w:rPr>
        <w:t xml:space="preserve"> w oparciu o dokonane ustalenia faktyczne i ocenę prawną zostanie przedstawiona łącznie z odpowiednim odniesieniem do każdego z nich.</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Wstępnie należy sprecy</w:t>
      </w:r>
      <w:r>
        <w:rPr>
          <w:rFonts w:ascii="Times New Roman" w:hAnsi="Times New Roman" w:cs="Times New Roman"/>
          <w:bCs/>
          <w:sz w:val="24"/>
          <w:szCs w:val="24"/>
        </w:rPr>
        <w:t xml:space="preserve">zować, że decyzja Prezesa UOKiK stwierdza naruszenie przez PZM i EŻ reguł konkurencji określonych w art. 6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101 Traktatu o funkcjonowaniu Unii Europejskiej (dalej: TFUE), poprzez udział tych podmiotów w porozumieniu w rozumieniu art. 4 pkt 5</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a zarazem w decyzji związku przedsiębiorstw i praktyce uzgodnionej w rozumieniu art. 101 ust. 1 TFUE dotyczącym ustalania maksymalnych stawek wynagrodzeń zawodników biorących udział w rozgrywkach ligowych sportu żużlowego, co według organu stanowi </w:t>
      </w:r>
      <w:r>
        <w:rPr>
          <w:rFonts w:ascii="Times New Roman" w:hAnsi="Times New Roman" w:cs="Times New Roman"/>
          <w:bCs/>
          <w:sz w:val="24"/>
          <w:szCs w:val="24"/>
        </w:rPr>
        <w:t xml:space="preserve">naruszenie art. 6 ust. 1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oraz art. 101 ust. 1 lit. a) TFUE.</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eastAsia="Times New Roman" w:hAnsi="Times New Roman" w:cs="Times New Roman"/>
          <w:bCs/>
          <w:sz w:val="24"/>
          <w:szCs w:val="24"/>
          <w:shd w:val="clear" w:color="auto" w:fill="FFFFFF"/>
          <w:lang w:eastAsia="pl-PL"/>
        </w:rPr>
        <w:t xml:space="preserve">Zgodnie z art. 4 pkt 5) </w:t>
      </w:r>
      <w:proofErr w:type="spellStart"/>
      <w:r>
        <w:rPr>
          <w:rFonts w:ascii="Times New Roman" w:eastAsia="Times New Roman" w:hAnsi="Times New Roman" w:cs="Times New Roman"/>
          <w:bCs/>
          <w:sz w:val="24"/>
          <w:szCs w:val="24"/>
          <w:shd w:val="clear" w:color="auto" w:fill="FFFFFF"/>
          <w:lang w:eastAsia="pl-PL"/>
        </w:rPr>
        <w:t>uokik</w:t>
      </w:r>
      <w:proofErr w:type="spellEnd"/>
      <w:r>
        <w:rPr>
          <w:rFonts w:ascii="Times New Roman" w:eastAsia="Times New Roman" w:hAnsi="Times New Roman" w:cs="Times New Roman"/>
          <w:bCs/>
          <w:sz w:val="24"/>
          <w:szCs w:val="24"/>
          <w:shd w:val="clear" w:color="auto" w:fill="FFFFFF"/>
          <w:lang w:eastAsia="pl-PL"/>
        </w:rPr>
        <w:t xml:space="preserve"> </w:t>
      </w:r>
      <w:r>
        <w:rPr>
          <w:rFonts w:ascii="Times New Roman" w:hAnsi="Times New Roman" w:cs="Times New Roman"/>
          <w:bCs/>
          <w:sz w:val="24"/>
          <w:szCs w:val="24"/>
          <w:shd w:val="clear" w:color="auto" w:fill="FFFFFF"/>
        </w:rPr>
        <w:t xml:space="preserve">ilekroć w ustawie jest mowa o: </w:t>
      </w:r>
      <w:r>
        <w:rPr>
          <w:rFonts w:ascii="Times New Roman" w:eastAsia="Times New Roman" w:hAnsi="Times New Roman" w:cs="Times New Roman"/>
          <w:bCs/>
          <w:sz w:val="24"/>
          <w:szCs w:val="24"/>
          <w:shd w:val="clear" w:color="auto" w:fill="FFFFFF"/>
          <w:lang w:eastAsia="pl-PL"/>
        </w:rPr>
        <w:t>porozumieniach - rozumie się przez to:</w:t>
      </w:r>
      <w:r>
        <w:rPr>
          <w:rFonts w:ascii="Times New Roman" w:eastAsia="Times New Roman" w:hAnsi="Times New Roman" w:cs="Times New Roman"/>
          <w:bCs/>
          <w:sz w:val="24"/>
          <w:szCs w:val="24"/>
          <w:lang w:eastAsia="pl-PL"/>
        </w:rPr>
        <w:t xml:space="preserve"> </w:t>
      </w:r>
    </w:p>
    <w:p w:rsidR="006C2E2F" w:rsidRDefault="00D86529">
      <w:pPr>
        <w:spacing w:before="240" w:after="0" w:line="360" w:lineRule="auto"/>
        <w:ind w:firstLine="567"/>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a) umowy zawierane między przedsiębiorcami, między związkami przedsiębiorców oraz </w:t>
      </w:r>
      <w:r>
        <w:rPr>
          <w:rFonts w:ascii="Times New Roman" w:eastAsia="Times New Roman" w:hAnsi="Times New Roman" w:cs="Times New Roman"/>
          <w:bCs/>
          <w:sz w:val="24"/>
          <w:szCs w:val="24"/>
          <w:lang w:eastAsia="pl-PL"/>
        </w:rPr>
        <w:t>między przedsiębiorcami i ich związkami albo niektóre postanowienia tych umów,</w:t>
      </w:r>
    </w:p>
    <w:p w:rsidR="006C2E2F" w:rsidRDefault="00D86529">
      <w:pPr>
        <w:spacing w:before="240" w:after="0" w:line="360" w:lineRule="auto"/>
        <w:ind w:firstLine="567"/>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b) uzgodnienia dokonane w jakiejkolwiek formie przez dwóch lub więcej przedsiębiorców lub ich związki,</w:t>
      </w:r>
    </w:p>
    <w:p w:rsidR="006C2E2F" w:rsidRDefault="00D86529">
      <w:pPr>
        <w:spacing w:before="240" w:after="0" w:line="360" w:lineRule="auto"/>
        <w:ind w:firstLine="567"/>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c) uchwały lub inne akty związków przedsiębiorców lub ich organów statutow</w:t>
      </w:r>
      <w:r>
        <w:rPr>
          <w:rFonts w:ascii="Times New Roman" w:eastAsia="Times New Roman" w:hAnsi="Times New Roman" w:cs="Times New Roman"/>
          <w:bCs/>
          <w:sz w:val="24"/>
          <w:szCs w:val="24"/>
          <w:lang w:eastAsia="pl-PL"/>
        </w:rPr>
        <w:t>ych.</w:t>
      </w:r>
    </w:p>
    <w:p w:rsidR="006C2E2F" w:rsidRDefault="00D86529">
      <w:pPr>
        <w:widowControl w:val="0"/>
        <w:tabs>
          <w:tab w:val="left" w:pos="709"/>
        </w:tabs>
        <w:spacing w:before="240" w:after="0" w:line="360" w:lineRule="auto"/>
        <w:jc w:val="both"/>
        <w:rPr>
          <w:rFonts w:ascii="Times New Roman" w:eastAsia="Times New Roman" w:hAnsi="Times New Roman" w:cs="Times New Roman"/>
          <w:bCs/>
          <w:sz w:val="24"/>
          <w:szCs w:val="24"/>
          <w:lang w:eastAsia="pl-PL"/>
        </w:rPr>
      </w:pPr>
      <w:r>
        <w:rPr>
          <w:rFonts w:ascii="Times New Roman" w:hAnsi="Times New Roman" w:cs="Times New Roman"/>
          <w:bCs/>
          <w:sz w:val="24"/>
          <w:szCs w:val="24"/>
        </w:rPr>
        <w:tab/>
        <w:t xml:space="preserve">Według powołanego art. 6 ust. 1 pkt 1) </w:t>
      </w:r>
      <w:proofErr w:type="spellStart"/>
      <w:r>
        <w:rPr>
          <w:rFonts w:ascii="Times New Roman" w:eastAsia="Times New Roman" w:hAnsi="Times New Roman" w:cs="Times New Roman"/>
          <w:bCs/>
          <w:sz w:val="24"/>
          <w:szCs w:val="24"/>
          <w:lang w:eastAsia="pl-PL"/>
        </w:rPr>
        <w:t>uokik</w:t>
      </w:r>
      <w:proofErr w:type="spellEnd"/>
      <w:r>
        <w:rPr>
          <w:rFonts w:ascii="Times New Roman" w:eastAsia="Times New Roman" w:hAnsi="Times New Roman" w:cs="Times New Roman"/>
          <w:bCs/>
          <w:sz w:val="24"/>
          <w:szCs w:val="24"/>
          <w:lang w:eastAsia="pl-PL"/>
        </w:rPr>
        <w:t xml:space="preserve"> zakazane są porozumienia, których celem lub skutkiem jest wyeliminowanie, ograniczenie lub naruszenie w inny sposób konkurencji na rynku właściwym, polegające w szczególności na:</w:t>
      </w:r>
      <w:bookmarkStart w:id="3" w:name="mip80291751"/>
      <w:bookmarkEnd w:id="3"/>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1)</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ustalaniu, bezpośrednio</w:t>
      </w:r>
      <w:r>
        <w:rPr>
          <w:rFonts w:ascii="Times New Roman" w:eastAsia="Times New Roman" w:hAnsi="Times New Roman" w:cs="Times New Roman"/>
          <w:bCs/>
          <w:sz w:val="24"/>
          <w:szCs w:val="24"/>
          <w:lang w:eastAsia="pl-PL"/>
        </w:rPr>
        <w:t xml:space="preserve"> lub pośrednio, cen i innych warunków zakupu lub sprzedaży towarów;</w:t>
      </w:r>
      <w:bookmarkStart w:id="4" w:name="mip80291752"/>
      <w:bookmarkEnd w:id="4"/>
      <w:r>
        <w:rPr>
          <w:rFonts w:ascii="Times New Roman" w:hAnsi="Times New Roman" w:cs="Times New Roman"/>
          <w:bCs/>
          <w:sz w:val="24"/>
          <w:szCs w:val="24"/>
        </w:rPr>
        <w:t xml:space="preserve"> </w:t>
      </w:r>
    </w:p>
    <w:p w:rsidR="006C2E2F" w:rsidRDefault="00D86529">
      <w:pPr>
        <w:widowControl w:val="0"/>
        <w:tabs>
          <w:tab w:val="left" w:pos="709"/>
        </w:tabs>
        <w:spacing w:before="240" w:after="0" w:line="360" w:lineRule="auto"/>
        <w:ind w:firstLine="567"/>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Art. 101 ust. 1 a) TFUE stanowi, że </w:t>
      </w:r>
      <w:r>
        <w:rPr>
          <w:rFonts w:ascii="Times New Roman" w:eastAsia="Times New Roman" w:hAnsi="Times New Roman" w:cs="Times New Roman"/>
          <w:bCs/>
          <w:sz w:val="24"/>
          <w:szCs w:val="24"/>
          <w:shd w:val="clear" w:color="auto" w:fill="FFFFFF"/>
          <w:lang w:eastAsia="pl-PL"/>
        </w:rPr>
        <w:t>niezgodne z rynkiem wewnętrznym i zakazane są wszelkie porozumienia między przedsiębiorstwami, wszelkie decyzje związków przedsiębiorstw i wszelkie pra</w:t>
      </w:r>
      <w:r>
        <w:rPr>
          <w:rFonts w:ascii="Times New Roman" w:eastAsia="Times New Roman" w:hAnsi="Times New Roman" w:cs="Times New Roman"/>
          <w:bCs/>
          <w:sz w:val="24"/>
          <w:szCs w:val="24"/>
          <w:shd w:val="clear" w:color="auto" w:fill="FFFFFF"/>
          <w:lang w:eastAsia="pl-PL"/>
        </w:rPr>
        <w:t xml:space="preserve">ktyki uzgodnione, które mogą wpływać na handel między Państwami Członkowskimi i których celem lub skutkiem jest zapobieżenie, ograniczenie lub </w:t>
      </w:r>
      <w:r>
        <w:rPr>
          <w:rFonts w:ascii="Times New Roman" w:eastAsia="Times New Roman" w:hAnsi="Times New Roman" w:cs="Times New Roman"/>
          <w:bCs/>
          <w:sz w:val="24"/>
          <w:szCs w:val="24"/>
          <w:shd w:val="clear" w:color="auto" w:fill="FFFFFF"/>
          <w:lang w:eastAsia="pl-PL"/>
        </w:rPr>
        <w:lastRenderedPageBreak/>
        <w:t>zakłócenie konkurencji wewnątrz rynku wewnętrznego, a w szczególności te, które polegają na:</w:t>
      </w:r>
      <w:r>
        <w:rPr>
          <w:rFonts w:ascii="Times New Roman" w:eastAsia="Times New Roman" w:hAnsi="Times New Roman" w:cs="Times New Roman"/>
          <w:bCs/>
          <w:sz w:val="24"/>
          <w:szCs w:val="24"/>
          <w:lang w:eastAsia="pl-PL"/>
        </w:rPr>
        <w:t xml:space="preserve"> a) ustalaniu w sposó</w:t>
      </w:r>
      <w:r>
        <w:rPr>
          <w:rFonts w:ascii="Times New Roman" w:eastAsia="Times New Roman" w:hAnsi="Times New Roman" w:cs="Times New Roman"/>
          <w:bCs/>
          <w:sz w:val="24"/>
          <w:szCs w:val="24"/>
          <w:lang w:eastAsia="pl-PL"/>
        </w:rPr>
        <w:t>b bezpośredni lub pośredni cen zakupu lub sprzedaży albo innych warunków transakcji.</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Pojęcie przedsiębiorcy zdefiniowane zostało w art. 4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W zakres tej definicji wchodzą między innymi przedsiębiorcy w rozumieniu ustawy z dnia 6 marca 2018 r. P</w:t>
      </w:r>
      <w:r>
        <w:rPr>
          <w:rFonts w:ascii="Times New Roman" w:hAnsi="Times New Roman" w:cs="Times New Roman"/>
          <w:bCs/>
          <w:sz w:val="24"/>
          <w:szCs w:val="24"/>
        </w:rPr>
        <w:t>rawo przedsiębiorców (</w:t>
      </w:r>
      <w:proofErr w:type="spellStart"/>
      <w:r>
        <w:rPr>
          <w:rFonts w:ascii="Times New Roman" w:hAnsi="Times New Roman" w:cs="Times New Roman"/>
          <w:bCs/>
          <w:sz w:val="24"/>
          <w:szCs w:val="24"/>
        </w:rPr>
        <w:t>Pr.przeds</w:t>
      </w:r>
      <w:proofErr w:type="spellEnd"/>
      <w:r>
        <w:rPr>
          <w:rFonts w:ascii="Times New Roman" w:hAnsi="Times New Roman" w:cs="Times New Roman"/>
          <w:bCs/>
          <w:sz w:val="24"/>
          <w:szCs w:val="24"/>
        </w:rPr>
        <w:t xml:space="preserve">.). Zgodnie z art. 4 ust. 1 </w:t>
      </w:r>
      <w:proofErr w:type="spellStart"/>
      <w:r>
        <w:rPr>
          <w:rFonts w:ascii="Times New Roman" w:hAnsi="Times New Roman" w:cs="Times New Roman"/>
          <w:bCs/>
          <w:sz w:val="24"/>
          <w:szCs w:val="24"/>
        </w:rPr>
        <w:t>Pr.przeds</w:t>
      </w:r>
      <w:proofErr w:type="spellEnd"/>
      <w:r>
        <w:rPr>
          <w:rFonts w:ascii="Times New Roman" w:hAnsi="Times New Roman" w:cs="Times New Roman"/>
          <w:bCs/>
          <w:sz w:val="24"/>
          <w:szCs w:val="24"/>
        </w:rPr>
        <w:t>., przedsiębiorcą jest osoba fizyczna, osoba prawna lub jednostka organizacyjna niebędąca osobą prawną, której odrębna ustawa przyznaje zdolność prawną, wykonująca działalność gospodarczą.</w:t>
      </w:r>
      <w:r>
        <w:rPr>
          <w:rFonts w:ascii="Times New Roman" w:hAnsi="Times New Roman" w:cs="Times New Roman"/>
          <w:bCs/>
          <w:sz w:val="24"/>
          <w:szCs w:val="24"/>
        </w:rPr>
        <w:t xml:space="preserve"> Zgodnie zaś z art. 3 </w:t>
      </w:r>
      <w:proofErr w:type="spellStart"/>
      <w:r>
        <w:rPr>
          <w:rFonts w:ascii="Times New Roman" w:hAnsi="Times New Roman" w:cs="Times New Roman"/>
          <w:bCs/>
          <w:sz w:val="24"/>
          <w:szCs w:val="24"/>
        </w:rPr>
        <w:t>Pr.przeds</w:t>
      </w:r>
      <w:proofErr w:type="spellEnd"/>
      <w:r>
        <w:rPr>
          <w:rFonts w:ascii="Times New Roman" w:hAnsi="Times New Roman" w:cs="Times New Roman"/>
          <w:bCs/>
          <w:sz w:val="24"/>
          <w:szCs w:val="24"/>
        </w:rPr>
        <w:t xml:space="preserve">., działalnością gospodarczą jest zorganizowana działalność zarobkowa, wykonywana we własnym imieniu i w sposób ciągły. Przedsiębiorcą jest każda spółka prawa handlowego co wynika z regulacji </w:t>
      </w:r>
      <w:proofErr w:type="spellStart"/>
      <w:r>
        <w:rPr>
          <w:rFonts w:ascii="Times New Roman" w:hAnsi="Times New Roman" w:cs="Times New Roman"/>
          <w:bCs/>
          <w:sz w:val="24"/>
          <w:szCs w:val="24"/>
        </w:rPr>
        <w:t>k.s.h</w:t>
      </w:r>
      <w:proofErr w:type="spellEnd"/>
      <w:r>
        <w:rPr>
          <w:rFonts w:ascii="Times New Roman" w:hAnsi="Times New Roman" w:cs="Times New Roman"/>
          <w:bCs/>
          <w:sz w:val="24"/>
          <w:szCs w:val="24"/>
        </w:rPr>
        <w:t>. odnośnie do każdego typu t</w:t>
      </w:r>
      <w:r>
        <w:rPr>
          <w:rFonts w:ascii="Times New Roman" w:hAnsi="Times New Roman" w:cs="Times New Roman"/>
          <w:bCs/>
          <w:sz w:val="24"/>
          <w:szCs w:val="24"/>
        </w:rPr>
        <w:t xml:space="preserve">akiej spółki w zw. z </w:t>
      </w:r>
      <w:proofErr w:type="spellStart"/>
      <w:r>
        <w:rPr>
          <w:rFonts w:ascii="Times New Roman" w:hAnsi="Times New Roman" w:cs="Times New Roman"/>
          <w:bCs/>
          <w:sz w:val="24"/>
          <w:szCs w:val="24"/>
        </w:rPr>
        <w:t>Pr.przeds</w:t>
      </w:r>
      <w:proofErr w:type="spellEnd"/>
      <w:r>
        <w:rPr>
          <w:rFonts w:ascii="Times New Roman" w:hAnsi="Times New Roman" w:cs="Times New Roman"/>
          <w:bCs/>
          <w:sz w:val="24"/>
          <w:szCs w:val="24"/>
        </w:rPr>
        <w:t>.</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Z kolei związek przedsiębiorców według art. 4 pkt 2)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xml:space="preserve">, to izby, zrzeszenia i inne organizacje zrzeszające przedsiębiorców, o których mowa w art. 4 pkt 1 </w:t>
      </w:r>
      <w:proofErr w:type="spellStart"/>
      <w:r>
        <w:rPr>
          <w:rFonts w:ascii="Times New Roman" w:hAnsi="Times New Roman" w:cs="Times New Roman"/>
          <w:bCs/>
          <w:sz w:val="24"/>
          <w:szCs w:val="24"/>
        </w:rPr>
        <w:t>uokik</w:t>
      </w:r>
      <w:proofErr w:type="spellEnd"/>
      <w:r>
        <w:rPr>
          <w:rFonts w:ascii="Times New Roman" w:hAnsi="Times New Roman" w:cs="Times New Roman"/>
          <w:bCs/>
          <w:sz w:val="24"/>
          <w:szCs w:val="24"/>
        </w:rPr>
        <w:t>, jak również związki tych organizacji. Związkiem przedsiębio</w:t>
      </w:r>
      <w:r>
        <w:rPr>
          <w:rFonts w:ascii="Times New Roman" w:hAnsi="Times New Roman" w:cs="Times New Roman"/>
          <w:bCs/>
          <w:sz w:val="24"/>
          <w:szCs w:val="24"/>
        </w:rPr>
        <w:t xml:space="preserve">rców może być tylko takie zrzeszenie czy organizacja, które skupiają przedsiębiorców, o których mowa w art. 4 ust. 1 </w:t>
      </w:r>
      <w:proofErr w:type="spellStart"/>
      <w:r>
        <w:rPr>
          <w:rFonts w:ascii="Times New Roman" w:hAnsi="Times New Roman" w:cs="Times New Roman"/>
          <w:bCs/>
          <w:sz w:val="24"/>
          <w:szCs w:val="24"/>
        </w:rPr>
        <w:t>Pr.przeds</w:t>
      </w:r>
      <w:proofErr w:type="spellEnd"/>
      <w:r>
        <w:rPr>
          <w:rFonts w:ascii="Times New Roman" w:hAnsi="Times New Roman" w:cs="Times New Roman"/>
          <w:bCs/>
          <w:sz w:val="24"/>
          <w:szCs w:val="24"/>
        </w:rPr>
        <w:t>. Stowarzyszenie co do zasady nie jest przedsiębiorcą, ponieważ według art. 2 ust. 1 ustawy z dnia 7 kwietnia 1989 r. Prawo o stow</w:t>
      </w:r>
      <w:r>
        <w:rPr>
          <w:rFonts w:ascii="Times New Roman" w:hAnsi="Times New Roman" w:cs="Times New Roman"/>
          <w:bCs/>
          <w:sz w:val="24"/>
          <w:szCs w:val="24"/>
        </w:rPr>
        <w:t>arzyszeniach (</w:t>
      </w:r>
      <w:proofErr w:type="spellStart"/>
      <w:r>
        <w:rPr>
          <w:rFonts w:ascii="Times New Roman" w:hAnsi="Times New Roman" w:cs="Times New Roman"/>
          <w:bCs/>
          <w:sz w:val="24"/>
          <w:szCs w:val="24"/>
        </w:rPr>
        <w:t>Pr.stow</w:t>
      </w:r>
      <w:proofErr w:type="spellEnd"/>
      <w:r>
        <w:rPr>
          <w:rFonts w:ascii="Times New Roman" w:hAnsi="Times New Roman" w:cs="Times New Roman"/>
          <w:bCs/>
          <w:sz w:val="24"/>
          <w:szCs w:val="24"/>
        </w:rPr>
        <w:t>.) stowarzyszenie jest dobrowolnym, samorządnym, trwałym zrzeszeniem o celach niezarobkowych. Stowarzyszenie uzyskuje osobowość prawną i może rozpocząć działalność po wpisie do Krajowego Rejestru Sądowego (rejestru fundacji, stowarzysz</w:t>
      </w:r>
      <w:r>
        <w:rPr>
          <w:rFonts w:ascii="Times New Roman" w:hAnsi="Times New Roman" w:cs="Times New Roman"/>
          <w:bCs/>
          <w:sz w:val="24"/>
          <w:szCs w:val="24"/>
        </w:rPr>
        <w:t>eń i innych organizacji społecznych i zawodowych). Stowarzyszenie wyjątkowo może być uznane za przedsiębiorcę w zakresie oznaczonego rodzaju działalności, gdy zgodnie z postanowieniami statutu może prowadzić działalność gospodarczą i ją prowadzi (art. 34),</w:t>
      </w:r>
      <w:r>
        <w:rPr>
          <w:rFonts w:ascii="Times New Roman" w:hAnsi="Times New Roman" w:cs="Times New Roman"/>
          <w:bCs/>
          <w:sz w:val="24"/>
          <w:szCs w:val="24"/>
        </w:rPr>
        <w:t xml:space="preserve"> w oparciu o konstytutywny wpis także w rejestrze przedsiębiorców Krajowego Rejestru Sądowego.</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Zgodnie z art. 7 ust. 1 ustawy o sporcie w celu organizowania i prowadzenia współzawodnictwa w danym sporcie może być utworzony polski związek sportowy. </w:t>
      </w:r>
      <w:r>
        <w:rPr>
          <w:rFonts w:ascii="Times New Roman" w:eastAsia="Times New Roman" w:hAnsi="Times New Roman" w:cs="Times New Roman"/>
          <w:bCs/>
          <w:sz w:val="24"/>
          <w:szCs w:val="24"/>
          <w:lang w:eastAsia="pl-PL"/>
        </w:rPr>
        <w:t> Utworze</w:t>
      </w:r>
      <w:r>
        <w:rPr>
          <w:rFonts w:ascii="Times New Roman" w:eastAsia="Times New Roman" w:hAnsi="Times New Roman" w:cs="Times New Roman"/>
          <w:bCs/>
          <w:sz w:val="24"/>
          <w:szCs w:val="24"/>
          <w:lang w:eastAsia="pl-PL"/>
        </w:rPr>
        <w:t>nie polskiego związku sportowego przez związek sportowy wymaga uzyskania zgody ministra właściwego do spraw kultury fizycznej.</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 xml:space="preserve">W sprawach nieuregulowanych w ustawie do polskiego związku sportowego stosuje się odpowiednio przepisy </w:t>
      </w:r>
      <w:proofErr w:type="spellStart"/>
      <w:r>
        <w:rPr>
          <w:rFonts w:ascii="Times New Roman" w:eastAsia="Times New Roman" w:hAnsi="Times New Roman" w:cs="Times New Roman"/>
          <w:bCs/>
          <w:sz w:val="24"/>
          <w:szCs w:val="24"/>
          <w:lang w:eastAsia="pl-PL"/>
        </w:rPr>
        <w:t>Pr.stow</w:t>
      </w:r>
      <w:proofErr w:type="spellEnd"/>
      <w:r>
        <w:rPr>
          <w:rFonts w:ascii="Times New Roman" w:eastAsia="Times New Roman" w:hAnsi="Times New Roman" w:cs="Times New Roman"/>
          <w:bCs/>
          <w:sz w:val="24"/>
          <w:szCs w:val="24"/>
          <w:lang w:eastAsia="pl-PL"/>
        </w:rPr>
        <w:t>.</w:t>
      </w:r>
      <w:r>
        <w:rPr>
          <w:rFonts w:ascii="Times New Roman" w:hAnsi="Times New Roman" w:cs="Times New Roman"/>
          <w:bCs/>
          <w:sz w:val="24"/>
          <w:szCs w:val="24"/>
        </w:rPr>
        <w:t xml:space="preserve"> Stowarzyszenie mo</w:t>
      </w:r>
      <w:r>
        <w:rPr>
          <w:rFonts w:ascii="Times New Roman" w:hAnsi="Times New Roman" w:cs="Times New Roman"/>
          <w:bCs/>
          <w:sz w:val="24"/>
          <w:szCs w:val="24"/>
        </w:rPr>
        <w:t xml:space="preserve">że być zawiązane wyłącznie przez osoby fizyczne (art. 3 i n. </w:t>
      </w:r>
      <w:proofErr w:type="spellStart"/>
      <w:r>
        <w:rPr>
          <w:rFonts w:ascii="Times New Roman" w:hAnsi="Times New Roman" w:cs="Times New Roman"/>
          <w:bCs/>
          <w:sz w:val="24"/>
          <w:szCs w:val="24"/>
        </w:rPr>
        <w:t>Pr.stow</w:t>
      </w:r>
      <w:proofErr w:type="spellEnd"/>
      <w:r>
        <w:rPr>
          <w:rFonts w:ascii="Times New Roman" w:hAnsi="Times New Roman" w:cs="Times New Roman"/>
          <w:bCs/>
          <w:sz w:val="24"/>
          <w:szCs w:val="24"/>
        </w:rPr>
        <w:t xml:space="preserve">.) a osoby prawne tj. inne stowarzyszenia mogą tworzyć związki stowarzyszeń (art. 22 </w:t>
      </w:r>
      <w:proofErr w:type="spellStart"/>
      <w:r>
        <w:rPr>
          <w:rFonts w:ascii="Times New Roman" w:hAnsi="Times New Roman" w:cs="Times New Roman"/>
          <w:bCs/>
          <w:sz w:val="24"/>
          <w:szCs w:val="24"/>
        </w:rPr>
        <w:t>Pr.stow</w:t>
      </w:r>
      <w:proofErr w:type="spellEnd"/>
      <w:r>
        <w:rPr>
          <w:rFonts w:ascii="Times New Roman" w:hAnsi="Times New Roman" w:cs="Times New Roman"/>
          <w:bCs/>
          <w:sz w:val="24"/>
          <w:szCs w:val="24"/>
        </w:rPr>
        <w:t xml:space="preserve">.). </w:t>
      </w:r>
    </w:p>
    <w:p w:rsidR="006C2E2F" w:rsidRDefault="00D86529">
      <w:pPr>
        <w:widowControl w:val="0"/>
        <w:tabs>
          <w:tab w:val="left" w:pos="709"/>
        </w:tabs>
        <w:spacing w:before="240" w:after="0" w:line="360" w:lineRule="auto"/>
        <w:ind w:firstLine="567"/>
        <w:jc w:val="both"/>
        <w:rPr>
          <w:rFonts w:ascii="Times New Roman" w:eastAsia="Times New Roman" w:hAnsi="Times New Roman" w:cs="Times New Roman"/>
          <w:bCs/>
          <w:sz w:val="24"/>
          <w:szCs w:val="24"/>
          <w:lang w:eastAsia="pl-PL"/>
        </w:rPr>
      </w:pPr>
      <w:r>
        <w:rPr>
          <w:rFonts w:ascii="Times New Roman" w:hAnsi="Times New Roman" w:cs="Times New Roman"/>
          <w:bCs/>
          <w:sz w:val="24"/>
          <w:szCs w:val="24"/>
        </w:rPr>
        <w:lastRenderedPageBreak/>
        <w:t>PZM (związek sportowy), co prawda nie jest stricte stowarzyszeniem ani związkiem stowarzysz</w:t>
      </w:r>
      <w:r>
        <w:rPr>
          <w:rFonts w:ascii="Times New Roman" w:hAnsi="Times New Roman" w:cs="Times New Roman"/>
          <w:bCs/>
          <w:sz w:val="24"/>
          <w:szCs w:val="24"/>
        </w:rPr>
        <w:t xml:space="preserve">eń utworzonym na mocy </w:t>
      </w:r>
      <w:proofErr w:type="spellStart"/>
      <w:r>
        <w:rPr>
          <w:rFonts w:ascii="Times New Roman" w:hAnsi="Times New Roman" w:cs="Times New Roman"/>
          <w:bCs/>
          <w:sz w:val="24"/>
          <w:szCs w:val="24"/>
        </w:rPr>
        <w:t>Pr.stow</w:t>
      </w:r>
      <w:proofErr w:type="spellEnd"/>
      <w:r>
        <w:rPr>
          <w:rFonts w:ascii="Times New Roman" w:hAnsi="Times New Roman" w:cs="Times New Roman"/>
          <w:bCs/>
          <w:sz w:val="24"/>
          <w:szCs w:val="24"/>
        </w:rPr>
        <w:t>. lecz należy uznać, że w oparciu o wniosek w trybie art. 11 ustawy o sporcie i kolejno wniosek o wpis do KRS zgodnie z art. 12 ust. 1 ustawy o sporcie, PZM ma ustrojowe cechy stowarzyszenia, ponieważ istotna regulacja ustrojow</w:t>
      </w:r>
      <w:r>
        <w:rPr>
          <w:rFonts w:ascii="Times New Roman" w:hAnsi="Times New Roman" w:cs="Times New Roman"/>
          <w:bCs/>
          <w:sz w:val="24"/>
          <w:szCs w:val="24"/>
        </w:rPr>
        <w:t xml:space="preserve">a odnośnie do niego jest zawarta w </w:t>
      </w:r>
      <w:proofErr w:type="spellStart"/>
      <w:r>
        <w:rPr>
          <w:rFonts w:ascii="Times New Roman" w:hAnsi="Times New Roman" w:cs="Times New Roman"/>
          <w:bCs/>
          <w:sz w:val="24"/>
          <w:szCs w:val="24"/>
        </w:rPr>
        <w:t>Pr.stow</w:t>
      </w:r>
      <w:proofErr w:type="spellEnd"/>
      <w:r>
        <w:rPr>
          <w:rFonts w:ascii="Times New Roman" w:hAnsi="Times New Roman" w:cs="Times New Roman"/>
          <w:bCs/>
          <w:sz w:val="24"/>
          <w:szCs w:val="24"/>
        </w:rPr>
        <w:t>, a to sposób utworzenia polegający na uchwaleniu statutu z oznaczeniem jego obligatoryjnych postanowień oraz wybraniu komitetu założycielskiego albo władz. Podlega wpisowi do Krajowego Rejestru Sądowego obok wielu</w:t>
      </w:r>
      <w:r>
        <w:rPr>
          <w:rFonts w:ascii="Times New Roman" w:hAnsi="Times New Roman" w:cs="Times New Roman"/>
          <w:bCs/>
          <w:sz w:val="24"/>
          <w:szCs w:val="24"/>
        </w:rPr>
        <w:t xml:space="preserve"> podmiotów, które nie są przedsiębiorcami, a to np.: </w:t>
      </w:r>
      <w:r>
        <w:rPr>
          <w:rFonts w:ascii="Times New Roman" w:eastAsia="Times New Roman" w:hAnsi="Times New Roman" w:cs="Times New Roman"/>
          <w:bCs/>
          <w:sz w:val="24"/>
          <w:szCs w:val="24"/>
          <w:lang w:eastAsia="pl-PL"/>
        </w:rPr>
        <w:t>fundacja</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stowarzyszenie, jednostka terenowa stowarzyszenia posiadająca osobowość prawną</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związek stowarzyszeń, stowarzyszenie ogrodowe</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związek stowarzyszeń ogrodowych, kółko rolnicze</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rolnicze zrzeszen</w:t>
      </w:r>
      <w:r>
        <w:rPr>
          <w:rFonts w:ascii="Times New Roman" w:eastAsia="Times New Roman" w:hAnsi="Times New Roman" w:cs="Times New Roman"/>
          <w:bCs/>
          <w:sz w:val="24"/>
          <w:szCs w:val="24"/>
          <w:lang w:eastAsia="pl-PL"/>
        </w:rPr>
        <w:t>ie branżowe, związek rolników, kółek i organizacji rolniczych</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związek rolniczych zrzeszeń branżowych, związek zawodowy rolników indywidualnych</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cech rzemieślniczy, izba rzemieślnicza</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Związek Rzemiosła Polskiego, zrzeszenie handlu i usług</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zrzeszenie tran</w:t>
      </w:r>
      <w:r>
        <w:rPr>
          <w:rFonts w:ascii="Times New Roman" w:eastAsia="Times New Roman" w:hAnsi="Times New Roman" w:cs="Times New Roman"/>
          <w:bCs/>
          <w:sz w:val="24"/>
          <w:szCs w:val="24"/>
          <w:lang w:eastAsia="pl-PL"/>
        </w:rPr>
        <w:t>sportu</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izba gospodarcza, związek zawodowy</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związek pracodawców</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pl-PL"/>
        </w:rPr>
        <w:t xml:space="preserve">federacja lub konfederacja związków pracodawców, uczniowski klub sportowy, klub sportowy. Jest też objęty procedurą określoną w art. 10 i n. </w:t>
      </w:r>
      <w:proofErr w:type="spellStart"/>
      <w:r>
        <w:rPr>
          <w:rFonts w:ascii="Times New Roman" w:eastAsia="Times New Roman" w:hAnsi="Times New Roman" w:cs="Times New Roman"/>
          <w:bCs/>
          <w:sz w:val="24"/>
          <w:szCs w:val="24"/>
          <w:lang w:eastAsia="pl-PL"/>
        </w:rPr>
        <w:t>Pr.stow</w:t>
      </w:r>
      <w:proofErr w:type="spellEnd"/>
      <w:r>
        <w:rPr>
          <w:rFonts w:ascii="Times New Roman" w:eastAsia="Times New Roman" w:hAnsi="Times New Roman" w:cs="Times New Roman"/>
          <w:bCs/>
          <w:sz w:val="24"/>
          <w:szCs w:val="24"/>
          <w:lang w:eastAsia="pl-PL"/>
        </w:rPr>
        <w:t xml:space="preserve">. </w:t>
      </w:r>
    </w:p>
    <w:p w:rsidR="006C2E2F" w:rsidRDefault="00D86529">
      <w:pPr>
        <w:widowControl w:val="0"/>
        <w:tabs>
          <w:tab w:val="left" w:pos="709"/>
        </w:tabs>
        <w:spacing w:before="240" w:after="0" w:line="360" w:lineRule="auto"/>
        <w:ind w:firstLine="567"/>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 uwagi na to, ze PZM jest w istocie zwi</w:t>
      </w:r>
      <w:r>
        <w:rPr>
          <w:rFonts w:ascii="Times New Roman" w:eastAsia="Times New Roman" w:hAnsi="Times New Roman" w:cs="Times New Roman"/>
          <w:bCs/>
          <w:sz w:val="24"/>
          <w:szCs w:val="24"/>
          <w:lang w:eastAsia="pl-PL"/>
        </w:rPr>
        <w:t>ązkiem innych podmiotów, to można przyjąć, że jest też związkiem przedsiębiorców, pod warunkiem, że owe podmioty mają status przedsiębiorców, w rozumieniu ww. regulacji po ustaleniu i ocenie składu związku. Jeżeli bowiem nie są to przedsiębiorcy, jak np. k</w:t>
      </w:r>
      <w:r>
        <w:rPr>
          <w:rFonts w:ascii="Times New Roman" w:eastAsia="Times New Roman" w:hAnsi="Times New Roman" w:cs="Times New Roman"/>
          <w:bCs/>
          <w:sz w:val="24"/>
          <w:szCs w:val="24"/>
          <w:lang w:eastAsia="pl-PL"/>
        </w:rPr>
        <w:t xml:space="preserve">luby sportowe, które działają w formie stowarzyszeń a ich statut nie przewiduje prowadzenia działalności gospodarczej, to związek sportowy nie jest związkiem przedsiębiorców. </w:t>
      </w:r>
    </w:p>
    <w:p w:rsidR="006C2E2F" w:rsidRDefault="00D86529">
      <w:pPr>
        <w:widowControl w:val="0"/>
        <w:tabs>
          <w:tab w:val="left" w:pos="709"/>
        </w:tabs>
        <w:spacing w:before="240" w:after="0" w:line="360" w:lineRule="auto"/>
        <w:ind w:firstLine="567"/>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ocenie Sądu, Prezes UOKiK przed oceną interesujących go działań </w:t>
      </w:r>
      <w:proofErr w:type="spellStart"/>
      <w:r>
        <w:rPr>
          <w:rFonts w:ascii="Times New Roman" w:eastAsia="Times New Roman" w:hAnsi="Times New Roman" w:cs="Times New Roman"/>
          <w:bCs/>
          <w:sz w:val="24"/>
          <w:szCs w:val="24"/>
          <w:lang w:eastAsia="pl-PL"/>
        </w:rPr>
        <w:t>antykonkurencyjnych</w:t>
      </w:r>
      <w:proofErr w:type="spellEnd"/>
      <w:r>
        <w:rPr>
          <w:rFonts w:ascii="Times New Roman" w:eastAsia="Times New Roman" w:hAnsi="Times New Roman" w:cs="Times New Roman"/>
          <w:bCs/>
          <w:sz w:val="24"/>
          <w:szCs w:val="24"/>
          <w:lang w:eastAsia="pl-PL"/>
        </w:rPr>
        <w:t xml:space="preserve"> PZM i EŻ nie dokonał koniecznej analizy statusu PZM i EŻ oraz kolejno ich wzajemnej zależności względnie samodzielności. Należy podnieść, że te oznaczone podmioty objęte </w:t>
      </w:r>
      <w:r>
        <w:rPr>
          <w:rFonts w:ascii="Times New Roman" w:eastAsia="Times New Roman" w:hAnsi="Times New Roman" w:cs="Times New Roman"/>
          <w:bCs/>
          <w:sz w:val="24"/>
          <w:szCs w:val="24"/>
          <w:lang w:eastAsia="pl-PL"/>
        </w:rPr>
        <w:t>postępowaniem antymonopolowym i wskazane w zaskarżonej decyzji mają szczególny charakter, ponieważ ich status wynika z regulacji ustawy o sporcie, a nadto w związku z formą prawną, to PZM jest objęty regulacją ustawy Prawo o stowarzyszeniach a EŻ jest obję</w:t>
      </w:r>
      <w:r>
        <w:rPr>
          <w:rFonts w:ascii="Times New Roman" w:eastAsia="Times New Roman" w:hAnsi="Times New Roman" w:cs="Times New Roman"/>
          <w:bCs/>
          <w:sz w:val="24"/>
          <w:szCs w:val="24"/>
          <w:lang w:eastAsia="pl-PL"/>
        </w:rPr>
        <w:t xml:space="preserve">ta regulacją Kodeksu spółek handlowych. Co więcej PZM jest wspólnikiem w EŻ i ma taki zakres uprawnień jaki wynika z umowy spółki oraz </w:t>
      </w:r>
      <w:proofErr w:type="spellStart"/>
      <w:r>
        <w:rPr>
          <w:rFonts w:ascii="Times New Roman" w:eastAsia="Times New Roman" w:hAnsi="Times New Roman" w:cs="Times New Roman"/>
          <w:bCs/>
          <w:sz w:val="24"/>
          <w:szCs w:val="24"/>
          <w:lang w:eastAsia="pl-PL"/>
        </w:rPr>
        <w:t>k.s.h</w:t>
      </w:r>
      <w:proofErr w:type="spellEnd"/>
      <w:r>
        <w:rPr>
          <w:rFonts w:ascii="Times New Roman" w:eastAsia="Times New Roman" w:hAnsi="Times New Roman" w:cs="Times New Roman"/>
          <w:bCs/>
          <w:sz w:val="24"/>
          <w:szCs w:val="24"/>
          <w:lang w:eastAsia="pl-PL"/>
        </w:rPr>
        <w:t>. a także decyzji/uchwał podejmowanych w trakcie istnienia spółki, w szczególności co do udziałów w kapitale zakłado</w:t>
      </w:r>
      <w:r>
        <w:rPr>
          <w:rFonts w:ascii="Times New Roman" w:eastAsia="Times New Roman" w:hAnsi="Times New Roman" w:cs="Times New Roman"/>
          <w:bCs/>
          <w:sz w:val="24"/>
          <w:szCs w:val="24"/>
          <w:lang w:eastAsia="pl-PL"/>
        </w:rPr>
        <w:t xml:space="preserve">wym spółki. </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eastAsia="Times New Roman" w:hAnsi="Times New Roman" w:cs="Times New Roman"/>
          <w:bCs/>
          <w:sz w:val="24"/>
          <w:szCs w:val="24"/>
          <w:lang w:eastAsia="pl-PL"/>
        </w:rPr>
        <w:lastRenderedPageBreak/>
        <w:t xml:space="preserve">Jak wynika z analizy księgi udziałów EŻ (k. </w:t>
      </w:r>
      <w:r>
        <w:rPr>
          <w:rFonts w:ascii="Times New Roman" w:eastAsia="Times New Roman" w:hAnsi="Times New Roman" w:cs="Times New Roman"/>
          <w:bCs/>
          <w:i/>
          <w:sz w:val="24"/>
          <w:szCs w:val="24"/>
          <w:lang w:eastAsia="pl-PL"/>
        </w:rPr>
        <w:t>103-116v akt sąd. i takie same dokumenty w aktach adm. dołączone do pisma strony z dnia 7 grudnia 2021 r. k. 69 akt adm.</w:t>
      </w:r>
      <w:r>
        <w:rPr>
          <w:rFonts w:ascii="Times New Roman" w:eastAsia="Times New Roman" w:hAnsi="Times New Roman" w:cs="Times New Roman"/>
          <w:bCs/>
          <w:sz w:val="24"/>
          <w:szCs w:val="24"/>
          <w:lang w:eastAsia="pl-PL"/>
        </w:rPr>
        <w:t xml:space="preserve">), to Sąd odmiennie niż Prezes UOKiK ustalił, że w czasie trwania postępowania </w:t>
      </w:r>
      <w:r>
        <w:rPr>
          <w:rFonts w:ascii="Times New Roman" w:eastAsia="Times New Roman" w:hAnsi="Times New Roman" w:cs="Times New Roman"/>
          <w:bCs/>
          <w:sz w:val="24"/>
          <w:szCs w:val="24"/>
          <w:lang w:eastAsia="pl-PL"/>
        </w:rPr>
        <w:t xml:space="preserve">administracyjnego </w:t>
      </w:r>
      <w:r>
        <w:rPr>
          <w:rFonts w:ascii="Times New Roman" w:hAnsi="Times New Roman" w:cs="Times New Roman"/>
          <w:bCs/>
          <w:sz w:val="24"/>
          <w:szCs w:val="24"/>
        </w:rPr>
        <w:t>PZM posiadał największy pakiet udziałów w kapitale zakładowym EŻ, który od 2013 r. do daty zaskarżonej decyzji stanowił 58,29% udziałów. Pozostałe udziały przypadały w równych częściach różnym klubom żużlowym. Udziały te z kolei należy uz</w:t>
      </w:r>
      <w:r>
        <w:rPr>
          <w:rFonts w:ascii="Times New Roman" w:hAnsi="Times New Roman" w:cs="Times New Roman"/>
          <w:bCs/>
          <w:sz w:val="24"/>
          <w:szCs w:val="24"/>
        </w:rPr>
        <w:t>nać za rozproszone, ponieważ z reguły każdy z pozostałych wspólników posiadał niewiele ponad 5% udziałów. Bez wątpienia posiadany pakiet udziałów dawał PZM prawo do samodzielnego podejmowania uchwał na zgromadzeniu wspólników i dotyczy to szczególnie uchwa</w:t>
      </w:r>
      <w:r>
        <w:rPr>
          <w:rFonts w:ascii="Times New Roman" w:hAnsi="Times New Roman" w:cs="Times New Roman"/>
          <w:bCs/>
          <w:sz w:val="24"/>
          <w:szCs w:val="24"/>
        </w:rPr>
        <w:t xml:space="preserve">ł związanych z bieżącą działalnością spółki (zwykła większość), w tym w zakresie uzgodnień co do współdziałania EŻ z PZM w opracowywaniu i uzgadnianiu dokumentów rekomendowanych i przyjmowanych przez PZM (GKSZ) według umowy o zarządzanie ligą zawodową. </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Ni</w:t>
      </w:r>
      <w:r>
        <w:rPr>
          <w:rFonts w:ascii="Times New Roman" w:hAnsi="Times New Roman" w:cs="Times New Roman"/>
          <w:bCs/>
          <w:sz w:val="24"/>
          <w:szCs w:val="24"/>
        </w:rPr>
        <w:t xml:space="preserve">e sposób uznać argumentacji pozwanego w opozycji do zarzutów </w:t>
      </w:r>
      <w:proofErr w:type="spellStart"/>
      <w:r>
        <w:rPr>
          <w:rFonts w:ascii="Times New Roman" w:hAnsi="Times New Roman" w:cs="Times New Roman"/>
          <w:bCs/>
          <w:sz w:val="24"/>
          <w:szCs w:val="24"/>
        </w:rPr>
        <w:t>odwołań</w:t>
      </w:r>
      <w:proofErr w:type="spellEnd"/>
      <w:r>
        <w:rPr>
          <w:rFonts w:ascii="Times New Roman" w:hAnsi="Times New Roman" w:cs="Times New Roman"/>
          <w:bCs/>
          <w:sz w:val="24"/>
          <w:szCs w:val="24"/>
        </w:rPr>
        <w:t xml:space="preserve"> w tej kwestii, że do oznaczonych spraw wymagana jest większość, którą PZM nie dysponuje. W ocenie Sądu stanowisko to nie odnosi się do istoty zarzutu w aspekcie pozycji PZM wobec EŻ w zwi</w:t>
      </w:r>
      <w:r>
        <w:rPr>
          <w:rFonts w:ascii="Times New Roman" w:hAnsi="Times New Roman" w:cs="Times New Roman"/>
          <w:bCs/>
          <w:sz w:val="24"/>
          <w:szCs w:val="24"/>
        </w:rPr>
        <w:t>ązku z zarzucanymi im praktykami, ponieważ jak wskazano wyżej do akceptacji decyzji/uchwał organów statutowych PZM wymagana jest zwykła większość, którą PZM dysponuje od 2013 r.</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 Należy jednak wyjaśnić, że co prawda zgodnie z art. 246 </w:t>
      </w:r>
      <w:r>
        <w:rPr>
          <w:rFonts w:ascii="Times New Roman" w:eastAsia="Times New Roman" w:hAnsi="Times New Roman" w:cs="Times New Roman"/>
          <w:bCs/>
          <w:sz w:val="24"/>
          <w:szCs w:val="24"/>
          <w:lang w:eastAsia="pl-PL"/>
        </w:rPr>
        <w:t xml:space="preserve">§ 1 </w:t>
      </w:r>
      <w:proofErr w:type="spellStart"/>
      <w:r>
        <w:rPr>
          <w:rFonts w:ascii="Times New Roman" w:eastAsia="Times New Roman" w:hAnsi="Times New Roman" w:cs="Times New Roman"/>
          <w:bCs/>
          <w:sz w:val="24"/>
          <w:szCs w:val="24"/>
          <w:lang w:eastAsia="pl-PL"/>
        </w:rPr>
        <w:t>k.s.h</w:t>
      </w:r>
      <w:proofErr w:type="spellEnd"/>
      <w:r>
        <w:rPr>
          <w:rFonts w:ascii="Times New Roman" w:eastAsia="Times New Roman" w:hAnsi="Times New Roman" w:cs="Times New Roman"/>
          <w:bCs/>
          <w:sz w:val="24"/>
          <w:szCs w:val="24"/>
          <w:lang w:eastAsia="pl-PL"/>
        </w:rPr>
        <w:t>. uchwały do</w:t>
      </w:r>
      <w:r>
        <w:rPr>
          <w:rFonts w:ascii="Times New Roman" w:eastAsia="Times New Roman" w:hAnsi="Times New Roman" w:cs="Times New Roman"/>
          <w:bCs/>
          <w:sz w:val="24"/>
          <w:szCs w:val="24"/>
          <w:lang w:eastAsia="pl-PL"/>
        </w:rPr>
        <w:t>tyczące zmiany umowy spółki, rozwiązania spółki lub zbycia przedsiębiorstwa albo jego zorganizowanej części zapadają większością 2/3 głosów a uchwała dotycząca istotnej zmiany przedmiotu działalności spółki wymaga większości 3/4 głosów, to i tak w przypadk</w:t>
      </w:r>
      <w:r>
        <w:rPr>
          <w:rFonts w:ascii="Times New Roman" w:eastAsia="Times New Roman" w:hAnsi="Times New Roman" w:cs="Times New Roman"/>
          <w:bCs/>
          <w:sz w:val="24"/>
          <w:szCs w:val="24"/>
          <w:lang w:eastAsia="pl-PL"/>
        </w:rPr>
        <w:t>u tej spółki (EŻ) do podjęcia takiej uchwały zawsze będzie konieczny udział PZM. Niezależnie bowiem od tego, czy będzie chodziło o podjęcie uchwały pozytywnej (zmiana) czy też uchwały negatywnej (przeciw zmianie) PZM musi być obecne na zgromadzeniu wspólni</w:t>
      </w:r>
      <w:r>
        <w:rPr>
          <w:rFonts w:ascii="Times New Roman" w:eastAsia="Times New Roman" w:hAnsi="Times New Roman" w:cs="Times New Roman"/>
          <w:bCs/>
          <w:sz w:val="24"/>
          <w:szCs w:val="24"/>
          <w:lang w:eastAsia="pl-PL"/>
        </w:rPr>
        <w:t>ków, aby było kworum konieczne dla ważności uchwał. Już zatem tylko nieobecność PZM albo obecność umożliwia procedowanie jakiejkolwiek uchwały przez zgromadzenie wspólników. Natomiast kwestia wielkości ułamkowej większości głosów na zgromadzeniu jest wtórn</w:t>
      </w:r>
      <w:r>
        <w:rPr>
          <w:rFonts w:ascii="Times New Roman" w:eastAsia="Times New Roman" w:hAnsi="Times New Roman" w:cs="Times New Roman"/>
          <w:bCs/>
          <w:sz w:val="24"/>
          <w:szCs w:val="24"/>
          <w:lang w:eastAsia="pl-PL"/>
        </w:rPr>
        <w:t xml:space="preserve">a, a postanowienie to nie ma znaczenia dla oceny czy PZM ma decydujący wpływ na funkcjonowanie EŻ. </w:t>
      </w:r>
      <w:r>
        <w:rPr>
          <w:rFonts w:ascii="Times New Roman" w:hAnsi="Times New Roman" w:cs="Times New Roman"/>
          <w:bCs/>
          <w:sz w:val="24"/>
          <w:szCs w:val="24"/>
        </w:rPr>
        <w:t>Uchwały zgromadzenia wspólników EŻ zgodnie z § 16 ust. 2 umowy spółki zapadają zwykłą większością głosów, przy obecności wspólników reprezentujących co najmn</w:t>
      </w:r>
      <w:r>
        <w:rPr>
          <w:rFonts w:ascii="Times New Roman" w:hAnsi="Times New Roman" w:cs="Times New Roman"/>
          <w:bCs/>
          <w:sz w:val="24"/>
          <w:szCs w:val="24"/>
        </w:rPr>
        <w:t xml:space="preserve">iej 2/3 udziałów, chyba że umowa lub ustawa stanowi inaczej. Uchwałą zgromadzenia wspólników zwykłą większością kapitał zakładowy może być podwyższony do wysokości 1.500.000 zł w terminie </w:t>
      </w:r>
      <w:r>
        <w:rPr>
          <w:rFonts w:ascii="Times New Roman" w:hAnsi="Times New Roman" w:cs="Times New Roman"/>
          <w:bCs/>
          <w:sz w:val="24"/>
          <w:szCs w:val="24"/>
        </w:rPr>
        <w:lastRenderedPageBreak/>
        <w:t>do 31 grudnia 2025 r. i nie stanowi to zmiany umowy spółki (§ 17). Z</w:t>
      </w:r>
      <w:r>
        <w:rPr>
          <w:rFonts w:ascii="Times New Roman" w:hAnsi="Times New Roman" w:cs="Times New Roman"/>
          <w:bCs/>
          <w:sz w:val="24"/>
          <w:szCs w:val="24"/>
        </w:rPr>
        <w:t xml:space="preserve"> takiego postanowienia mógłby skorzystać większościowy wspólnik taki jak PZM.</w:t>
      </w:r>
    </w:p>
    <w:p w:rsidR="006C2E2F" w:rsidRDefault="00D86529">
      <w:pPr>
        <w:pStyle w:val="Tekstpodstawowy"/>
        <w:tabs>
          <w:tab w:val="left" w:pos="564"/>
        </w:tabs>
        <w:spacing w:before="240" w:line="360" w:lineRule="auto"/>
        <w:jc w:val="both"/>
        <w:rPr>
          <w:rStyle w:val="TekstpodstawowyZnak"/>
          <w:rFonts w:eastAsiaTheme="majorEastAsia"/>
          <w:bCs/>
          <w:sz w:val="24"/>
          <w:szCs w:val="24"/>
        </w:rPr>
      </w:pPr>
      <w:r>
        <w:rPr>
          <w:rStyle w:val="TekstpodstawowyZnak"/>
          <w:rFonts w:eastAsiaTheme="majorEastAsia"/>
          <w:bCs/>
          <w:sz w:val="24"/>
          <w:szCs w:val="24"/>
        </w:rPr>
        <w:tab/>
        <w:t xml:space="preserve">Odwołujący słusznie podnieśli zarzut naruszenia art. 6 ust.1 pkt 1) w zw. z art. 4 pkt 1 lit. d) w zw. z art. 4 pkt 2 w zw. z art. 4 pkt 3 w zw. z art. 4 pkt 14) </w:t>
      </w:r>
      <w:proofErr w:type="spellStart"/>
      <w:r>
        <w:rPr>
          <w:rStyle w:val="TekstpodstawowyZnak"/>
          <w:rFonts w:eastAsiaTheme="majorEastAsia"/>
          <w:bCs/>
          <w:sz w:val="24"/>
          <w:szCs w:val="24"/>
        </w:rPr>
        <w:t>uokik</w:t>
      </w:r>
      <w:proofErr w:type="spellEnd"/>
      <w:r>
        <w:rPr>
          <w:rStyle w:val="TekstpodstawowyZnak"/>
          <w:rFonts w:eastAsiaTheme="majorEastAsia"/>
          <w:bCs/>
          <w:sz w:val="24"/>
          <w:szCs w:val="24"/>
        </w:rPr>
        <w:t xml:space="preserve"> oraz art.</w:t>
      </w:r>
      <w:r>
        <w:rPr>
          <w:rStyle w:val="TekstpodstawowyZnak"/>
          <w:rFonts w:eastAsiaTheme="majorEastAsia"/>
          <w:bCs/>
          <w:sz w:val="24"/>
          <w:szCs w:val="24"/>
        </w:rPr>
        <w:t xml:space="preserve"> 101 ust.1 lit. a) TFUE przez ich błędne zastosowanie polegające na uznaniu, że doszło do zawarcia porozumienia ograniczającego konkurencję, polegającego na ustalaniu cen pomiędzy PZM i EŻ, podczas gdy podmioty te tworzą jedną grupę kapitałową na gruncie p</w:t>
      </w:r>
      <w:r>
        <w:rPr>
          <w:rStyle w:val="TekstpodstawowyZnak"/>
          <w:rFonts w:eastAsiaTheme="majorEastAsia"/>
          <w:bCs/>
          <w:sz w:val="24"/>
          <w:szCs w:val="24"/>
        </w:rPr>
        <w:t>rawa krajowego oraz jeden organizm gospodarczy na gruncie prawa unijnego (samodzielną kontrolę nad EŻ sprawuje PZM), a w ramach grupy kapitałowej nie jest możliwe zawarcie porozumienia ograniczającego konkurencję. Innymi słowy słuszne były zarzuty dotycząc</w:t>
      </w:r>
      <w:r>
        <w:rPr>
          <w:rStyle w:val="TekstpodstawowyZnak"/>
          <w:rFonts w:eastAsiaTheme="majorEastAsia"/>
          <w:bCs/>
          <w:sz w:val="24"/>
          <w:szCs w:val="24"/>
        </w:rPr>
        <w:t>e błędnej kwalifikacji podmiotowej i przedmiotowej zachowania stron i przypisania im odpowiedzialności za zawarcie porozumienia naruszającego konkurencję.</w:t>
      </w:r>
    </w:p>
    <w:p w:rsidR="006C2E2F" w:rsidRDefault="00D86529">
      <w:pPr>
        <w:widowControl w:val="0"/>
        <w:tabs>
          <w:tab w:val="left" w:pos="709"/>
        </w:tabs>
        <w:spacing w:before="240" w:after="0" w:line="360" w:lineRule="auto"/>
        <w:ind w:firstLine="567"/>
        <w:jc w:val="both"/>
        <w:rPr>
          <w:rStyle w:val="TekstpodstawowyZnak"/>
          <w:rFonts w:eastAsiaTheme="minorHAnsi"/>
          <w:bCs/>
          <w:sz w:val="24"/>
          <w:szCs w:val="24"/>
        </w:rPr>
      </w:pPr>
      <w:r>
        <w:rPr>
          <w:rStyle w:val="TekstpodstawowyZnak"/>
          <w:rFonts w:eastAsiaTheme="minorHAnsi"/>
          <w:bCs/>
          <w:sz w:val="24"/>
          <w:szCs w:val="24"/>
        </w:rPr>
        <w:t>Sąd dokonał odmiennych niż Prezes UOKiK ustaleń faktycznych w zakresie statusu PZM oraz EŻ i ich rela</w:t>
      </w:r>
      <w:r>
        <w:rPr>
          <w:rStyle w:val="TekstpodstawowyZnak"/>
          <w:rFonts w:eastAsiaTheme="minorHAnsi"/>
          <w:bCs/>
          <w:sz w:val="24"/>
          <w:szCs w:val="24"/>
        </w:rPr>
        <w:t>cji faktycznych i prawnych, w oparciu o znane organowi dowody złożone przez strony, w postępowaniu antymonopolowym jak m. in. wszystkie wyciągi z księgi udziałów EŻ z uwzględnieniem tylko uzupełniająco dokumentów złożonych w postępowaniu sądowym, jak tekst</w:t>
      </w:r>
      <w:r>
        <w:rPr>
          <w:rStyle w:val="TekstpodstawowyZnak"/>
          <w:rFonts w:eastAsiaTheme="minorHAnsi"/>
          <w:bCs/>
          <w:sz w:val="24"/>
          <w:szCs w:val="24"/>
        </w:rPr>
        <w:t xml:space="preserve"> jednolity umowy spółki EŻ. Jak wynika z dokonanych przez Sąd ustaleń faktycznych, co należy podkreślić, to pozwany popełnił istotny błąd w zidentyfikowaniu problemu udziałów w kapitale zakładowym spółki z ograniczoną odpowiedzialnością. Wobec tego, że sta</w:t>
      </w:r>
      <w:r>
        <w:rPr>
          <w:rStyle w:val="TekstpodstawowyZnak"/>
          <w:rFonts w:eastAsiaTheme="minorHAnsi"/>
          <w:bCs/>
          <w:sz w:val="24"/>
          <w:szCs w:val="24"/>
        </w:rPr>
        <w:t>nowisko pozwanego zajęte wobec zobowiązania z rozprawy 8 sierpnia 2025 r. (k. 373) podtrzymuje ustalenia i ocenę, to Sąd wskazuje na brak podstaw do tych ustaleń i oceny.</w:t>
      </w:r>
    </w:p>
    <w:p w:rsidR="006C2E2F" w:rsidRDefault="00D86529">
      <w:pPr>
        <w:widowControl w:val="0"/>
        <w:tabs>
          <w:tab w:val="left" w:pos="709"/>
        </w:tabs>
        <w:spacing w:before="240" w:after="0" w:line="360" w:lineRule="auto"/>
        <w:ind w:firstLine="567"/>
        <w:jc w:val="both"/>
        <w:rPr>
          <w:rFonts w:ascii="Times New Roman" w:eastAsia="Times New Roman" w:hAnsi="Times New Roman" w:cs="Times New Roman"/>
          <w:bCs/>
          <w:sz w:val="24"/>
          <w:szCs w:val="24"/>
          <w:lang w:eastAsia="pl-PL"/>
        </w:rPr>
      </w:pPr>
      <w:r>
        <w:rPr>
          <w:rStyle w:val="TekstpodstawowyZnak"/>
          <w:rFonts w:eastAsiaTheme="minorHAnsi"/>
          <w:bCs/>
          <w:sz w:val="24"/>
          <w:szCs w:val="24"/>
        </w:rPr>
        <w:tab/>
        <w:t>Po pierwsze, pozwany pominął wszystkie dowody z dokumentów (k. 82-93), które jasno w</w:t>
      </w:r>
      <w:r>
        <w:rPr>
          <w:rStyle w:val="TekstpodstawowyZnak"/>
          <w:rFonts w:eastAsiaTheme="minorHAnsi"/>
          <w:bCs/>
          <w:sz w:val="24"/>
          <w:szCs w:val="24"/>
        </w:rPr>
        <w:t>skazywały na szereg zmian jakie miały miejsce w księdze udziałów EŻ. Po drugie, organ pominął wyjaśnienia stron w postępowaniu administracyjnym, które wprost wskazywały na inny znacznie większy udział PZM w kapitale zakładowym EŻ niż ustalony przez Prezesa</w:t>
      </w:r>
      <w:r>
        <w:rPr>
          <w:rStyle w:val="TekstpodstawowyZnak"/>
          <w:rFonts w:eastAsiaTheme="minorHAnsi"/>
          <w:bCs/>
          <w:sz w:val="24"/>
          <w:szCs w:val="24"/>
        </w:rPr>
        <w:t xml:space="preserve"> UOKiK na 44,4%. Po trzecie, ustalony przez Prezesa UOKiK procent udziałów PZM w ogóle nie ma oparcia w dokumentach będących merytorycznymi dowodami na potwierdzenie faktu wielkości udziałów w spółce z ograniczoną odpowiedzialnością, ponieważ jest tylko pr</w:t>
      </w:r>
      <w:r>
        <w:rPr>
          <w:rStyle w:val="TekstpodstawowyZnak"/>
          <w:rFonts w:eastAsiaTheme="minorHAnsi"/>
          <w:bCs/>
          <w:sz w:val="24"/>
          <w:szCs w:val="24"/>
        </w:rPr>
        <w:t xml:space="preserve">ostym wynikiem działania matematycznego – podzielenia wartości udziałów PZM przez wartość kapitału zakładowego EŻ wpisaną w KRS, bez uwzględnienia liczby udziałów, które zostały umorzone wedle księgi udziałów i podpisanej przez zarząd listy wspólników. Te </w:t>
      </w:r>
      <w:r>
        <w:rPr>
          <w:rStyle w:val="TekstpodstawowyZnak"/>
          <w:rFonts w:eastAsiaTheme="minorHAnsi"/>
          <w:bCs/>
          <w:sz w:val="24"/>
          <w:szCs w:val="24"/>
        </w:rPr>
        <w:t xml:space="preserve">ostatnie dokumenty stanowią istotną podstawę materialną potwierdzającą zmiany w księdze udziałów. </w:t>
      </w:r>
      <w:r>
        <w:rPr>
          <w:rStyle w:val="TekstpodstawowyZnak"/>
          <w:rFonts w:eastAsiaTheme="minorHAnsi"/>
          <w:bCs/>
          <w:sz w:val="24"/>
          <w:szCs w:val="24"/>
        </w:rPr>
        <w:lastRenderedPageBreak/>
        <w:t xml:space="preserve">Otóż, zgodnie z art. 188 </w:t>
      </w:r>
      <w:r>
        <w:rPr>
          <w:rFonts w:ascii="Times New Roman" w:eastAsia="Times New Roman" w:hAnsi="Times New Roman" w:cs="Times New Roman"/>
          <w:bCs/>
          <w:sz w:val="24"/>
          <w:szCs w:val="24"/>
          <w:lang w:eastAsia="pl-PL"/>
        </w:rPr>
        <w:t xml:space="preserve">§ 1 </w:t>
      </w:r>
      <w:proofErr w:type="spellStart"/>
      <w:r>
        <w:rPr>
          <w:rFonts w:ascii="Times New Roman" w:eastAsia="Times New Roman" w:hAnsi="Times New Roman" w:cs="Times New Roman"/>
          <w:bCs/>
          <w:sz w:val="24"/>
          <w:szCs w:val="24"/>
          <w:lang w:eastAsia="pl-PL"/>
        </w:rPr>
        <w:t>k.s.h</w:t>
      </w:r>
      <w:proofErr w:type="spellEnd"/>
      <w:r>
        <w:rPr>
          <w:rFonts w:ascii="Times New Roman" w:eastAsia="Times New Roman" w:hAnsi="Times New Roman" w:cs="Times New Roman"/>
          <w:bCs/>
          <w:sz w:val="24"/>
          <w:szCs w:val="24"/>
          <w:lang w:eastAsia="pl-PL"/>
        </w:rPr>
        <w:t>. zarząd spółki z o.o. jest obowiązany prowadzić księgę udziałów, do której należy wpisywać nazwisko i imię albo firmę (nazw</w:t>
      </w:r>
      <w:r>
        <w:rPr>
          <w:rFonts w:ascii="Times New Roman" w:eastAsia="Times New Roman" w:hAnsi="Times New Roman" w:cs="Times New Roman"/>
          <w:bCs/>
          <w:sz w:val="24"/>
          <w:szCs w:val="24"/>
          <w:lang w:eastAsia="pl-PL"/>
        </w:rPr>
        <w:t xml:space="preserve">ę) i siedzibę każdego wspólnika, adres albo adres do doręczeń elektronicznych, liczbę i wartość nominalną jego udziałów oraz ustanowienie zastawu lub użytkowania i wykonywanie prawa głosu przez zastawnika lub użytkownika, a także wszelkie zmiany dotyczące </w:t>
      </w:r>
      <w:r>
        <w:rPr>
          <w:rFonts w:ascii="Times New Roman" w:eastAsia="Times New Roman" w:hAnsi="Times New Roman" w:cs="Times New Roman"/>
          <w:bCs/>
          <w:sz w:val="24"/>
          <w:szCs w:val="24"/>
          <w:lang w:eastAsia="pl-PL"/>
        </w:rPr>
        <w:t xml:space="preserve">osób wspólników i przysługujących im udziałów. Z takiej księgi udziałów sporządza się wypisy, które ujawniają zmiany a nadto </w:t>
      </w:r>
      <w:r>
        <w:rPr>
          <w:rFonts w:ascii="Times New Roman" w:hAnsi="Times New Roman" w:cs="Times New Roman"/>
          <w:bCs/>
          <w:sz w:val="24"/>
          <w:szCs w:val="24"/>
        </w:rPr>
        <w:t xml:space="preserve">wedle art. 188 </w:t>
      </w:r>
      <w:r>
        <w:rPr>
          <w:rFonts w:ascii="Times New Roman" w:eastAsia="Times New Roman" w:hAnsi="Times New Roman" w:cs="Times New Roman"/>
          <w:bCs/>
          <w:sz w:val="24"/>
          <w:szCs w:val="24"/>
          <w:lang w:eastAsia="pl-PL"/>
        </w:rPr>
        <w:t xml:space="preserve">§ 3 </w:t>
      </w:r>
      <w:proofErr w:type="spellStart"/>
      <w:r>
        <w:rPr>
          <w:rFonts w:ascii="Times New Roman" w:eastAsia="Times New Roman" w:hAnsi="Times New Roman" w:cs="Times New Roman"/>
          <w:bCs/>
          <w:sz w:val="24"/>
          <w:szCs w:val="24"/>
          <w:lang w:eastAsia="pl-PL"/>
        </w:rPr>
        <w:t>k.s.h</w:t>
      </w:r>
      <w:proofErr w:type="spellEnd"/>
      <w:r>
        <w:rPr>
          <w:rFonts w:ascii="Times New Roman" w:eastAsia="Times New Roman" w:hAnsi="Times New Roman" w:cs="Times New Roman"/>
          <w:bCs/>
          <w:sz w:val="24"/>
          <w:szCs w:val="24"/>
          <w:lang w:eastAsia="pl-PL"/>
        </w:rPr>
        <w:t>. po każdym wpisaniu zmiany zarząd składa sądowi rejestrowemu podpisaną przez wszystkich członków zarządu n</w:t>
      </w:r>
      <w:r>
        <w:rPr>
          <w:rFonts w:ascii="Times New Roman" w:eastAsia="Times New Roman" w:hAnsi="Times New Roman" w:cs="Times New Roman"/>
          <w:bCs/>
          <w:sz w:val="24"/>
          <w:szCs w:val="24"/>
          <w:lang w:eastAsia="pl-PL"/>
        </w:rPr>
        <w:t xml:space="preserve">ową listę wspólników z wymienieniem liczby i wartości nominalnej udziałów każdego z nich oraz wzmianką o ustanowieniu zastawu lub użytkowania udziału. </w:t>
      </w:r>
    </w:p>
    <w:p w:rsidR="006C2E2F" w:rsidRDefault="00D86529">
      <w:pPr>
        <w:widowControl w:val="0"/>
        <w:tabs>
          <w:tab w:val="left" w:pos="709"/>
        </w:tabs>
        <w:spacing w:before="240" w:after="0" w:line="360" w:lineRule="auto"/>
        <w:ind w:firstLine="567"/>
        <w:jc w:val="both"/>
        <w:rPr>
          <w:rStyle w:val="TekstpodstawowyZnak"/>
          <w:rFonts w:eastAsiaTheme="minorHAnsi"/>
          <w:bCs/>
          <w:sz w:val="24"/>
          <w:szCs w:val="24"/>
          <w:lang w:eastAsia="pl-PL"/>
        </w:rPr>
      </w:pPr>
      <w:r>
        <w:rPr>
          <w:rFonts w:ascii="Times New Roman" w:eastAsia="Times New Roman" w:hAnsi="Times New Roman" w:cs="Times New Roman"/>
          <w:bCs/>
          <w:sz w:val="24"/>
          <w:szCs w:val="24"/>
          <w:lang w:eastAsia="pl-PL"/>
        </w:rPr>
        <w:t>W takich okolicznościach faktycznych i prawnych, których nie ocenił prezes UOKiK, to oczywistym jest, że</w:t>
      </w:r>
      <w:r>
        <w:rPr>
          <w:rFonts w:ascii="Times New Roman" w:eastAsia="Times New Roman" w:hAnsi="Times New Roman" w:cs="Times New Roman"/>
          <w:bCs/>
          <w:sz w:val="24"/>
          <w:szCs w:val="24"/>
          <w:lang w:eastAsia="pl-PL"/>
        </w:rPr>
        <w:t xml:space="preserve"> treść wpisów w Krajowym Rejestrze Sądowych nie musi ani często nie może odzwierciedlać wszystkich danych z księgi udziałów. Z resztą akurat jak chodzi o wspólników spółki z ograniczoną odpowiedzialnością to zgodnie z art. 38 pkt 8) ustawy z dnia 20 sierpn</w:t>
      </w:r>
      <w:r>
        <w:rPr>
          <w:rFonts w:ascii="Times New Roman" w:eastAsia="Times New Roman" w:hAnsi="Times New Roman" w:cs="Times New Roman"/>
          <w:bCs/>
          <w:sz w:val="24"/>
          <w:szCs w:val="24"/>
          <w:lang w:eastAsia="pl-PL"/>
        </w:rPr>
        <w:t xml:space="preserve">ia 1997 r. o Krajowym Rejestrze Sądowym, w dziale I rejestru (co do informacji o wspólnikach), </w:t>
      </w:r>
      <w:r>
        <w:rPr>
          <w:rFonts w:ascii="Times New Roman" w:eastAsia="Times New Roman" w:hAnsi="Times New Roman" w:cs="Times New Roman"/>
          <w:bCs/>
          <w:sz w:val="24"/>
          <w:szCs w:val="24"/>
          <w:shd w:val="clear" w:color="auto" w:fill="FFFFFF"/>
          <w:lang w:eastAsia="pl-PL"/>
        </w:rPr>
        <w:t>w przypadku spółki z ograniczoną odpowiedzialnością zamieszcza się</w:t>
      </w:r>
      <w:r>
        <w:rPr>
          <w:rFonts w:ascii="Times New Roman" w:eastAsia="Times New Roman" w:hAnsi="Times New Roman" w:cs="Times New Roman"/>
          <w:bCs/>
          <w:sz w:val="24"/>
          <w:szCs w:val="24"/>
          <w:lang w:eastAsia="pl-PL"/>
        </w:rPr>
        <w:t> określenie, czy wspólnik może mieć jeden czy większą liczbę udziałów i zgodnie z art. 35 ustaw</w:t>
      </w:r>
      <w:r>
        <w:rPr>
          <w:rFonts w:ascii="Times New Roman" w:eastAsia="Times New Roman" w:hAnsi="Times New Roman" w:cs="Times New Roman"/>
          <w:bCs/>
          <w:sz w:val="24"/>
          <w:szCs w:val="24"/>
          <w:lang w:eastAsia="pl-PL"/>
        </w:rPr>
        <w:t xml:space="preserve">y o KRS, oznaczenie wspólników posiadających samodzielnie lub łącznie z innymi co najmniej 10% kapitału zakładowego oraz ilość posiadanych przez tych wspólników udziałów i łączną ich wysokość. Tym samym wbrew przekonaniu organu, sama treść wpisu w KRS bez </w:t>
      </w:r>
      <w:r>
        <w:rPr>
          <w:rFonts w:ascii="Times New Roman" w:eastAsia="Times New Roman" w:hAnsi="Times New Roman" w:cs="Times New Roman"/>
          <w:bCs/>
          <w:sz w:val="24"/>
          <w:szCs w:val="24"/>
          <w:lang w:eastAsia="pl-PL"/>
        </w:rPr>
        <w:t xml:space="preserve">analizy dokumentów przedłożonych przez strony a wynikających z obowiązujących przepisów prawa, nie była wystarczająca do stwierdzenia takiego statusu i relacji PZM i EŻ jak wynika z decyzji. </w:t>
      </w:r>
    </w:p>
    <w:p w:rsidR="006C2E2F" w:rsidRDefault="00D86529">
      <w:pPr>
        <w:widowControl w:val="0"/>
        <w:tabs>
          <w:tab w:val="left" w:pos="709"/>
        </w:tabs>
        <w:spacing w:before="240" w:after="0" w:line="360" w:lineRule="auto"/>
        <w:ind w:firstLine="567"/>
        <w:jc w:val="both"/>
        <w:rPr>
          <w:rStyle w:val="TekstpodstawowyZnak"/>
          <w:rFonts w:eastAsiaTheme="minorHAnsi"/>
          <w:bCs/>
          <w:sz w:val="24"/>
          <w:szCs w:val="24"/>
        </w:rPr>
      </w:pPr>
      <w:r>
        <w:rPr>
          <w:rStyle w:val="TekstpodstawowyZnak"/>
          <w:rFonts w:eastAsiaTheme="minorHAnsi"/>
          <w:bCs/>
          <w:sz w:val="24"/>
          <w:szCs w:val="24"/>
        </w:rPr>
        <w:t>Co znamienne, w przypadku EŻ złożona w postępowaniu administracy</w:t>
      </w:r>
      <w:r>
        <w:rPr>
          <w:rStyle w:val="TekstpodstawowyZnak"/>
          <w:rFonts w:eastAsiaTheme="minorHAnsi"/>
          <w:bCs/>
          <w:sz w:val="24"/>
          <w:szCs w:val="24"/>
        </w:rPr>
        <w:t>jnym umowa spółki z o.o. jasno określa PZM jako jej wspólnika, przy czym także co bardzo istotne wspólnika, który ma przyznane w tej umowie (za zgodą pozostałych wspólników) osobiste uprawnienia np. w zakresie decyzji co do składu Rady Nadzorczej i głosowa</w:t>
      </w:r>
      <w:r>
        <w:rPr>
          <w:rStyle w:val="TekstpodstawowyZnak"/>
          <w:rFonts w:eastAsiaTheme="minorHAnsi"/>
          <w:bCs/>
          <w:sz w:val="24"/>
          <w:szCs w:val="24"/>
        </w:rPr>
        <w:t xml:space="preserve">nia oraz składu Zarządu. Zgodnie bowiem z postanowieniami § 26 ust. 1 umowy spółki z o.o. EŻ </w:t>
      </w:r>
      <w:r>
        <w:rPr>
          <w:rStyle w:val="TekstpodstawowyZnak"/>
          <w:rFonts w:eastAsiaTheme="minorHAnsi"/>
          <w:bCs/>
          <w:i/>
          <w:iCs/>
          <w:sz w:val="24"/>
          <w:szCs w:val="24"/>
        </w:rPr>
        <w:t>„Powołuje się Radę Nadzorczą składającą się od 3 do 5 członków. Przewodniczącego Rady wyznacza Wspólnik - Polski Związek Motorowy. Pozostałych członków Rady, w tym</w:t>
      </w:r>
      <w:r>
        <w:rPr>
          <w:rStyle w:val="TekstpodstawowyZnak"/>
          <w:rFonts w:eastAsiaTheme="minorHAnsi"/>
          <w:bCs/>
          <w:i/>
          <w:iCs/>
          <w:sz w:val="24"/>
          <w:szCs w:val="24"/>
        </w:rPr>
        <w:t xml:space="preserve"> Wiceprzewodniczącego Rady wybiera Zgromadzenie Wspólników”.</w:t>
      </w:r>
      <w:r>
        <w:rPr>
          <w:rStyle w:val="TekstpodstawowyZnak"/>
          <w:rFonts w:eastAsiaTheme="minorHAnsi"/>
          <w:bCs/>
          <w:sz w:val="24"/>
          <w:szCs w:val="24"/>
        </w:rPr>
        <w:t xml:space="preserve"> Jednocześnie wybór członków Rady Nadzorczej następuje zwykłą większością głosów, wobec czego PZM samodzielnie kształtuje skład tego istotnego organu. Co więcej, wszyscy wspólnicy wyrazili </w:t>
      </w:r>
      <w:r>
        <w:rPr>
          <w:rStyle w:val="TekstpodstawowyZnak"/>
          <w:rFonts w:eastAsiaTheme="minorHAnsi"/>
          <w:bCs/>
          <w:sz w:val="24"/>
          <w:szCs w:val="24"/>
        </w:rPr>
        <w:lastRenderedPageBreak/>
        <w:t>zgodę na wyłączenie własnego nadzoru w spółce, ponieważ zgodnie z §</w:t>
      </w:r>
      <w:r>
        <w:rPr>
          <w:rStyle w:val="TekstpodstawowyZnak"/>
          <w:rFonts w:eastAsiaTheme="minorHAnsi"/>
          <w:bCs/>
          <w:sz w:val="24"/>
          <w:szCs w:val="24"/>
        </w:rPr>
        <w:t xml:space="preserve"> 26 ust. 13 umowy spółki </w:t>
      </w:r>
      <w:r>
        <w:rPr>
          <w:rStyle w:val="TekstpodstawowyZnak"/>
          <w:rFonts w:eastAsiaTheme="minorHAnsi"/>
          <w:bCs/>
          <w:i/>
          <w:iCs/>
          <w:sz w:val="24"/>
          <w:szCs w:val="24"/>
        </w:rPr>
        <w:t xml:space="preserve">„Wyłącza się w całości indywidualną kontrolę Wspólników”, </w:t>
      </w:r>
      <w:r>
        <w:rPr>
          <w:rStyle w:val="TekstpodstawowyZnak"/>
          <w:rFonts w:eastAsiaTheme="minorHAnsi"/>
          <w:bCs/>
          <w:sz w:val="24"/>
          <w:szCs w:val="24"/>
        </w:rPr>
        <w:t>a co za tym idzie, Rada Nadzorcza jest jedynym ciałem nadzorującym EŻ, a jej skład w całości zależy od PZM.</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Style w:val="TekstpodstawowyZnak"/>
          <w:rFonts w:eastAsiaTheme="minorHAnsi"/>
          <w:bCs/>
          <w:sz w:val="24"/>
          <w:szCs w:val="24"/>
        </w:rPr>
        <w:t>Kolejno organ zarządzający w EŻ – Zarząd w istocie pochodzi od PZ</w:t>
      </w:r>
      <w:r>
        <w:rPr>
          <w:rStyle w:val="TekstpodstawowyZnak"/>
          <w:rFonts w:eastAsiaTheme="minorHAnsi"/>
          <w:bCs/>
          <w:sz w:val="24"/>
          <w:szCs w:val="24"/>
        </w:rPr>
        <w:t xml:space="preserve">M albo ze jego pełną rekomendacją, w szczególności gdy PZM ma wpływ na skład całej Rady Nadzorczej, którą w zwykłym głosowaniu wybiera Zgromadzenie Wspólników, na którym jest większościowym udziałowcem. Zgodnie bowiem z § 23 ust. 2 i 3 umowy spółki EŻ: </w:t>
      </w:r>
      <w:r>
        <w:rPr>
          <w:rStyle w:val="TekstpodstawowyZnak"/>
          <w:rFonts w:eastAsiaTheme="minorHAnsi"/>
          <w:bCs/>
          <w:i/>
          <w:iCs/>
          <w:sz w:val="24"/>
          <w:szCs w:val="24"/>
        </w:rPr>
        <w:t>„2.</w:t>
      </w:r>
      <w:r>
        <w:rPr>
          <w:rStyle w:val="TekstpodstawowyZnak"/>
          <w:rFonts w:eastAsiaTheme="minorHAnsi"/>
          <w:bCs/>
          <w:i/>
          <w:iCs/>
          <w:sz w:val="24"/>
          <w:szCs w:val="24"/>
        </w:rPr>
        <w:t xml:space="preserve"> Prezes Zarządu powoływany i odwoływany jest w drodze uchwały Rady Nadzorczej podjętej zwykłą większością głosów. 3. Wiceprezes Zarządu powoływany i odwoływany jest w drodze uchwały Rady Nadzorczej podjętej zwykłą większością głosów. Do powołania Wicepreze</w:t>
      </w:r>
      <w:r>
        <w:rPr>
          <w:rStyle w:val="TekstpodstawowyZnak"/>
          <w:rFonts w:eastAsiaTheme="minorHAnsi"/>
          <w:bCs/>
          <w:i/>
          <w:iCs/>
          <w:sz w:val="24"/>
          <w:szCs w:val="24"/>
        </w:rPr>
        <w:t>sa Zarządu wymagana jest pozytywna rekomendacja Wspólnika - Polskiego Związku Motorowego.”.</w:t>
      </w:r>
      <w:r>
        <w:rPr>
          <w:rStyle w:val="TekstpodstawowyZnak"/>
          <w:rFonts w:eastAsiaTheme="minorHAnsi"/>
          <w:bCs/>
          <w:sz w:val="24"/>
          <w:szCs w:val="24"/>
        </w:rPr>
        <w:t xml:space="preserve"> Jak to już zostało zasygnalizowane, to cytowane postanowienie umowy potwierdza, że skoro PZM samodzielnie decyduje o składzie Rady Nadzorczej, to również samodzieln</w:t>
      </w:r>
      <w:r>
        <w:rPr>
          <w:rStyle w:val="TekstpodstawowyZnak"/>
          <w:rFonts w:eastAsiaTheme="minorHAnsi"/>
          <w:bCs/>
          <w:sz w:val="24"/>
          <w:szCs w:val="24"/>
        </w:rPr>
        <w:t>ie decyduje o składzie Zarządu EŻ.</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Bez wątpienia w zaskarżonej decyzji nie stwierdzono praktyk polegających na czynieniu rozmaitych ustaleń różnych podmiotów w ramach PZM i oprócz nich także EŻ ale stwierdzono udział tylko i wyłącznie PZM i EŻ w porozumien</w:t>
      </w:r>
      <w:r>
        <w:rPr>
          <w:rFonts w:ascii="Times New Roman" w:hAnsi="Times New Roman" w:cs="Times New Roman"/>
          <w:bCs/>
          <w:sz w:val="24"/>
          <w:szCs w:val="24"/>
          <w:shd w:val="clear" w:color="auto" w:fill="FFFFFF"/>
        </w:rPr>
        <w:t>iu antymonopolowym. Jeżeli natomiast chodzi o analizę „porozumienia” wedle ustawy o ochronie konkurencji i konsumentów, to jednym z kluczowych czynników decydujących o tym, że dana umowa, uzgodnienie czy uchwała staje się przedmiotem analiz na gruncie prze</w:t>
      </w:r>
      <w:r>
        <w:rPr>
          <w:rFonts w:ascii="Times New Roman" w:hAnsi="Times New Roman" w:cs="Times New Roman"/>
          <w:bCs/>
          <w:sz w:val="24"/>
          <w:szCs w:val="24"/>
          <w:shd w:val="clear" w:color="auto" w:fill="FFFFFF"/>
        </w:rPr>
        <w:t xml:space="preserve">pisów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jest zbieżność (tożsamość) celów, jakie strony (przedsiębiorcy, związki przedsiębiorców lub ich organy statutowe) chcą osiągnąć poprzez zawarcie porozumienia, "wspólnej intencji zachowania się na rynku" (por. wyr. SA w Warszawie z 21.9.2011 r.</w:t>
      </w:r>
      <w:r>
        <w:rPr>
          <w:rFonts w:ascii="Times New Roman" w:hAnsi="Times New Roman" w:cs="Times New Roman"/>
          <w:bCs/>
          <w:sz w:val="24"/>
          <w:szCs w:val="24"/>
          <w:shd w:val="clear" w:color="auto" w:fill="FFFFFF"/>
        </w:rPr>
        <w:t>, </w:t>
      </w:r>
      <w:r>
        <w:rPr>
          <w:rStyle w:val="Hipercze"/>
          <w:rFonts w:ascii="Times New Roman" w:hAnsi="Times New Roman" w:cs="Times New Roman"/>
          <w:bCs/>
          <w:color w:val="auto"/>
          <w:sz w:val="24"/>
          <w:szCs w:val="24"/>
          <w:u w:val="none"/>
          <w:shd w:val="clear" w:color="auto" w:fill="FFFFFF"/>
        </w:rPr>
        <w:t xml:space="preserve">VI </w:t>
      </w:r>
      <w:proofErr w:type="spellStart"/>
      <w:r>
        <w:rPr>
          <w:rStyle w:val="Hipercze"/>
          <w:rFonts w:ascii="Times New Roman" w:hAnsi="Times New Roman" w:cs="Times New Roman"/>
          <w:bCs/>
          <w:color w:val="auto"/>
          <w:sz w:val="24"/>
          <w:szCs w:val="24"/>
          <w:u w:val="none"/>
          <w:shd w:val="clear" w:color="auto" w:fill="FFFFFF"/>
        </w:rPr>
        <w:t>ACa</w:t>
      </w:r>
      <w:proofErr w:type="spellEnd"/>
      <w:r>
        <w:rPr>
          <w:rStyle w:val="Hipercze"/>
          <w:rFonts w:ascii="Times New Roman" w:hAnsi="Times New Roman" w:cs="Times New Roman"/>
          <w:bCs/>
          <w:color w:val="auto"/>
          <w:sz w:val="24"/>
          <w:szCs w:val="24"/>
          <w:u w:val="none"/>
          <w:shd w:val="clear" w:color="auto" w:fill="FFFFFF"/>
        </w:rPr>
        <w:t xml:space="preserve"> 240/11</w:t>
      </w:r>
      <w:r>
        <w:rPr>
          <w:rFonts w:ascii="Times New Roman" w:hAnsi="Times New Roman" w:cs="Times New Roman"/>
          <w:bCs/>
          <w:sz w:val="24"/>
          <w:szCs w:val="24"/>
          <w:shd w:val="clear" w:color="auto" w:fill="FFFFFF"/>
        </w:rPr>
        <w:t xml:space="preserve">, </w:t>
      </w:r>
      <w:proofErr w:type="spellStart"/>
      <w:r>
        <w:rPr>
          <w:rFonts w:ascii="Times New Roman" w:hAnsi="Times New Roman" w:cs="Times New Roman"/>
          <w:bCs/>
          <w:sz w:val="24"/>
          <w:szCs w:val="24"/>
          <w:shd w:val="clear" w:color="auto" w:fill="FFFFFF"/>
        </w:rPr>
        <w:t>Legalis</w:t>
      </w:r>
      <w:proofErr w:type="spellEnd"/>
      <w:r>
        <w:rPr>
          <w:rFonts w:ascii="Times New Roman" w:hAnsi="Times New Roman" w:cs="Times New Roman"/>
          <w:bCs/>
          <w:sz w:val="24"/>
          <w:szCs w:val="24"/>
          <w:shd w:val="clear" w:color="auto" w:fill="FFFFFF"/>
        </w:rPr>
        <w:t>). Rozważając zagadnienie wspólnego zamiaru stron porozumienia SN (wyr. SN z 22.2.1994 r., </w:t>
      </w:r>
      <w:r>
        <w:rPr>
          <w:rStyle w:val="Hipercze"/>
          <w:rFonts w:ascii="Times New Roman" w:hAnsi="Times New Roman" w:cs="Times New Roman"/>
          <w:bCs/>
          <w:color w:val="auto"/>
          <w:sz w:val="24"/>
          <w:szCs w:val="24"/>
          <w:u w:val="none"/>
          <w:shd w:val="clear" w:color="auto" w:fill="FFFFFF"/>
        </w:rPr>
        <w:t>I CRN 238/93</w:t>
      </w:r>
      <w:r>
        <w:rPr>
          <w:rFonts w:ascii="Times New Roman" w:hAnsi="Times New Roman" w:cs="Times New Roman"/>
          <w:bCs/>
          <w:sz w:val="24"/>
          <w:szCs w:val="24"/>
          <w:shd w:val="clear" w:color="auto" w:fill="FFFFFF"/>
        </w:rPr>
        <w:t>, OSNC 1994, Nr 10, poz. 198) przywołał wcześniejsze stanowisko sądu, wskazujące, iż: "Przez zgodny zamiar stron, w świetle </w:t>
      </w:r>
      <w:r>
        <w:rPr>
          <w:rStyle w:val="Hipercze"/>
          <w:rFonts w:ascii="Times New Roman" w:hAnsi="Times New Roman" w:cs="Times New Roman"/>
          <w:bCs/>
          <w:color w:val="auto"/>
          <w:sz w:val="24"/>
          <w:szCs w:val="24"/>
          <w:u w:val="none"/>
          <w:shd w:val="clear" w:color="auto" w:fill="FFFFFF"/>
        </w:rPr>
        <w:t xml:space="preserve">art. </w:t>
      </w:r>
      <w:r>
        <w:rPr>
          <w:rStyle w:val="Hipercze"/>
          <w:rFonts w:ascii="Times New Roman" w:hAnsi="Times New Roman" w:cs="Times New Roman"/>
          <w:bCs/>
          <w:color w:val="auto"/>
          <w:sz w:val="24"/>
          <w:szCs w:val="24"/>
          <w:u w:val="none"/>
          <w:shd w:val="clear" w:color="auto" w:fill="FFFFFF"/>
        </w:rPr>
        <w:t>65 § 2</w:t>
      </w:r>
      <w:r>
        <w:rPr>
          <w:rFonts w:ascii="Times New Roman" w:hAnsi="Times New Roman" w:cs="Times New Roman"/>
          <w:bCs/>
          <w:sz w:val="24"/>
          <w:szCs w:val="24"/>
          <w:shd w:val="clear" w:color="auto" w:fill="FFFFFF"/>
        </w:rPr>
        <w:t> KC trzeba rozumieć uzgodnienie istotnych okoliczności bądź w samej umowie bądź poza nią (np. w rokowaniach). Jeżeli strony uprzednio pozostawały w takich samych stosunkach prawnych, należy mieć na uwadze ponadto takie znaczenie niezbyt jasnych sform</w:t>
      </w:r>
      <w:r>
        <w:rPr>
          <w:rFonts w:ascii="Times New Roman" w:hAnsi="Times New Roman" w:cs="Times New Roman"/>
          <w:bCs/>
          <w:sz w:val="24"/>
          <w:szCs w:val="24"/>
          <w:shd w:val="clear" w:color="auto" w:fill="FFFFFF"/>
        </w:rPr>
        <w:t>ułowań umowy, jakie było przyjmowane przy ich stosowaniu w poprzednich stosunkach prawnych między stronami" (wyr. SN z 4.7.1975 r., </w:t>
      </w:r>
      <w:r>
        <w:rPr>
          <w:rStyle w:val="Hipercze"/>
          <w:rFonts w:ascii="Times New Roman" w:hAnsi="Times New Roman" w:cs="Times New Roman"/>
          <w:bCs/>
          <w:color w:val="auto"/>
          <w:sz w:val="24"/>
          <w:szCs w:val="24"/>
          <w:u w:val="none"/>
          <w:shd w:val="clear" w:color="auto" w:fill="FFFFFF"/>
        </w:rPr>
        <w:t>III CRN 160/75</w:t>
      </w:r>
      <w:r>
        <w:rPr>
          <w:rFonts w:ascii="Times New Roman" w:hAnsi="Times New Roman" w:cs="Times New Roman"/>
          <w:bCs/>
          <w:sz w:val="24"/>
          <w:szCs w:val="24"/>
          <w:shd w:val="clear" w:color="auto" w:fill="FFFFFF"/>
        </w:rPr>
        <w:t>, OSP 1977, Nr 1, poz. 6). W tym kontekście umową w rozumieniu art. 4 pkt 5 lit. a nie będzie np. umowa zawart</w:t>
      </w:r>
      <w:r>
        <w:rPr>
          <w:rFonts w:ascii="Times New Roman" w:hAnsi="Times New Roman" w:cs="Times New Roman"/>
          <w:bCs/>
          <w:sz w:val="24"/>
          <w:szCs w:val="24"/>
          <w:shd w:val="clear" w:color="auto" w:fill="FFFFFF"/>
        </w:rPr>
        <w:t>a między urzędem miasta, udostępniającym miejsce w USC na reklamę usług zakładu pogrzebowego, a tym ostatnim. Prezes UOKiK (</w:t>
      </w:r>
      <w:proofErr w:type="spellStart"/>
      <w:r>
        <w:rPr>
          <w:rFonts w:ascii="Times New Roman" w:hAnsi="Times New Roman" w:cs="Times New Roman"/>
          <w:bCs/>
          <w:sz w:val="24"/>
          <w:szCs w:val="24"/>
          <w:shd w:val="clear" w:color="auto" w:fill="FFFFFF"/>
        </w:rPr>
        <w:t>dec</w:t>
      </w:r>
      <w:proofErr w:type="spellEnd"/>
      <w:r>
        <w:rPr>
          <w:rFonts w:ascii="Times New Roman" w:hAnsi="Times New Roman" w:cs="Times New Roman"/>
          <w:bCs/>
          <w:sz w:val="24"/>
          <w:szCs w:val="24"/>
          <w:shd w:val="clear" w:color="auto" w:fill="FFFFFF"/>
        </w:rPr>
        <w:t xml:space="preserve">. Prezesa UOKiK 8.5.2000 r., Nr RŁO-4/2000) stanął na </w:t>
      </w:r>
      <w:r>
        <w:rPr>
          <w:rFonts w:ascii="Times New Roman" w:hAnsi="Times New Roman" w:cs="Times New Roman"/>
          <w:bCs/>
          <w:sz w:val="24"/>
          <w:szCs w:val="24"/>
          <w:shd w:val="clear" w:color="auto" w:fill="FFFFFF"/>
        </w:rPr>
        <w:lastRenderedPageBreak/>
        <w:t xml:space="preserve">stanowisku zaakceptowanym następnie przez </w:t>
      </w:r>
      <w:proofErr w:type="spellStart"/>
      <w:r>
        <w:rPr>
          <w:rFonts w:ascii="Times New Roman" w:hAnsi="Times New Roman" w:cs="Times New Roman"/>
          <w:bCs/>
          <w:sz w:val="24"/>
          <w:szCs w:val="24"/>
          <w:shd w:val="clear" w:color="auto" w:fill="FFFFFF"/>
        </w:rPr>
        <w:t>SOKiK</w:t>
      </w:r>
      <w:proofErr w:type="spellEnd"/>
      <w:r>
        <w:rPr>
          <w:rFonts w:ascii="Times New Roman" w:hAnsi="Times New Roman" w:cs="Times New Roman"/>
          <w:bCs/>
          <w:sz w:val="24"/>
          <w:szCs w:val="24"/>
          <w:shd w:val="clear" w:color="auto" w:fill="FFFFFF"/>
        </w:rPr>
        <w:t xml:space="preserve"> (wyr. SAM z 25.6.2001 r., </w:t>
      </w:r>
      <w:r>
        <w:rPr>
          <w:rStyle w:val="Hipercze"/>
          <w:rFonts w:ascii="Times New Roman" w:hAnsi="Times New Roman" w:cs="Times New Roman"/>
          <w:bCs/>
          <w:color w:val="auto"/>
          <w:sz w:val="24"/>
          <w:szCs w:val="24"/>
          <w:shd w:val="clear" w:color="auto" w:fill="FFFFFF"/>
        </w:rPr>
        <w:t>X</w:t>
      </w:r>
      <w:r>
        <w:rPr>
          <w:rStyle w:val="Hipercze"/>
          <w:rFonts w:ascii="Times New Roman" w:hAnsi="Times New Roman" w:cs="Times New Roman"/>
          <w:bCs/>
          <w:color w:val="auto"/>
          <w:sz w:val="24"/>
          <w:szCs w:val="24"/>
          <w:shd w:val="clear" w:color="auto" w:fill="FFFFFF"/>
        </w:rPr>
        <w:t xml:space="preserve">VII </w:t>
      </w:r>
      <w:proofErr w:type="spellStart"/>
      <w:r>
        <w:rPr>
          <w:rStyle w:val="Hipercze"/>
          <w:rFonts w:ascii="Times New Roman" w:hAnsi="Times New Roman" w:cs="Times New Roman"/>
          <w:bCs/>
          <w:color w:val="auto"/>
          <w:sz w:val="24"/>
          <w:szCs w:val="24"/>
          <w:shd w:val="clear" w:color="auto" w:fill="FFFFFF"/>
        </w:rPr>
        <w:t>Ama</w:t>
      </w:r>
      <w:proofErr w:type="spellEnd"/>
      <w:r>
        <w:rPr>
          <w:rStyle w:val="Hipercze"/>
          <w:rFonts w:ascii="Times New Roman" w:hAnsi="Times New Roman" w:cs="Times New Roman"/>
          <w:bCs/>
          <w:color w:val="auto"/>
          <w:sz w:val="24"/>
          <w:szCs w:val="24"/>
          <w:shd w:val="clear" w:color="auto" w:fill="FFFFFF"/>
        </w:rPr>
        <w:t xml:space="preserve"> 84/00</w:t>
      </w:r>
      <w:r>
        <w:rPr>
          <w:rFonts w:ascii="Times New Roman" w:hAnsi="Times New Roman" w:cs="Times New Roman"/>
          <w:bCs/>
          <w:sz w:val="24"/>
          <w:szCs w:val="24"/>
          <w:shd w:val="clear" w:color="auto" w:fill="FFFFFF"/>
        </w:rPr>
        <w:t xml:space="preserve">, </w:t>
      </w:r>
      <w:proofErr w:type="spellStart"/>
      <w:r>
        <w:rPr>
          <w:rFonts w:ascii="Times New Roman" w:hAnsi="Times New Roman" w:cs="Times New Roman"/>
          <w:bCs/>
          <w:sz w:val="24"/>
          <w:szCs w:val="24"/>
          <w:shd w:val="clear" w:color="auto" w:fill="FFFFFF"/>
        </w:rPr>
        <w:t>Dz.Urz</w:t>
      </w:r>
      <w:proofErr w:type="spellEnd"/>
      <w:r>
        <w:rPr>
          <w:rFonts w:ascii="Times New Roman" w:hAnsi="Times New Roman" w:cs="Times New Roman"/>
          <w:bCs/>
          <w:sz w:val="24"/>
          <w:szCs w:val="24"/>
          <w:shd w:val="clear" w:color="auto" w:fill="FFFFFF"/>
        </w:rPr>
        <w:t xml:space="preserve">. UOKiK Nr 2, poz. 64), że w takim przypadku strony umowy działały w zupełnie odmiennych celach. </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W ocenie Sądu odnosząc się do stanowiska pozwanego, poszczególne uchwały przyjmowane samodzielnie przez PZM miały swój cel statutowy a dz</w:t>
      </w:r>
      <w:r>
        <w:rPr>
          <w:rFonts w:ascii="Times New Roman" w:hAnsi="Times New Roman" w:cs="Times New Roman"/>
          <w:bCs/>
          <w:sz w:val="24"/>
          <w:szCs w:val="24"/>
          <w:shd w:val="clear" w:color="auto" w:fill="FFFFFF"/>
        </w:rPr>
        <w:t>iałania EŻ wobec tych uchwał jeżeli miały miejsce, to z kolei miały cel wynikający z umowy o zarządzanie ligą. Ich związek ma umocowanie ustawowe, ponieważ zgodnie z art. 15 ust. 4 ustawy o sporcie liga zawodowa jest zarządzana przez osobę prawną działając</w:t>
      </w:r>
      <w:r>
        <w:rPr>
          <w:rFonts w:ascii="Times New Roman" w:hAnsi="Times New Roman" w:cs="Times New Roman"/>
          <w:bCs/>
          <w:sz w:val="24"/>
          <w:szCs w:val="24"/>
          <w:shd w:val="clear" w:color="auto" w:fill="FFFFFF"/>
        </w:rPr>
        <w:t>ą w formie spółki kapitałowej (EŻ). Zasady funkcjonowania ligi zawodowej są ustalane w umowie zawartej między polskim związkiem sportowym a spółką zarządzającą ligą zawodową. Umowa powinna zawierać w szczególności postanowienia gwarantujące realizację prac</w:t>
      </w:r>
      <w:r>
        <w:rPr>
          <w:rFonts w:ascii="Times New Roman" w:hAnsi="Times New Roman" w:cs="Times New Roman"/>
          <w:bCs/>
          <w:sz w:val="24"/>
          <w:szCs w:val="24"/>
          <w:shd w:val="clear" w:color="auto" w:fill="FFFFFF"/>
        </w:rPr>
        <w:t xml:space="preserve"> związku sportowego określonych w art 13 oraz jego udział w przychodach związanych z zarządzaniem ligą (art. 15 ust. 5 ustawy o sporcie). </w:t>
      </w:r>
    </w:p>
    <w:p w:rsidR="006C2E2F" w:rsidRDefault="00D86529">
      <w:pPr>
        <w:widowControl w:val="0"/>
        <w:tabs>
          <w:tab w:val="left" w:pos="709"/>
        </w:tabs>
        <w:spacing w:before="240" w:after="0" w:line="360" w:lineRule="auto"/>
        <w:ind w:firstLine="567"/>
        <w:jc w:val="both"/>
        <w:rPr>
          <w:rStyle w:val="TekstpodstawowyZnak"/>
          <w:rFonts w:eastAsiaTheme="minorHAnsi"/>
          <w:bCs/>
          <w:i/>
          <w:iCs/>
          <w:sz w:val="24"/>
          <w:szCs w:val="24"/>
        </w:rPr>
      </w:pPr>
      <w:r>
        <w:rPr>
          <w:rStyle w:val="TekstpodstawowyZnak"/>
          <w:rFonts w:eastAsiaTheme="minorHAnsi"/>
          <w:bCs/>
          <w:iCs/>
          <w:sz w:val="24"/>
          <w:szCs w:val="24"/>
        </w:rPr>
        <w:t xml:space="preserve">Jak słusznie podnoszą odwołujący powołując komentarz do </w:t>
      </w:r>
      <w:proofErr w:type="spellStart"/>
      <w:r>
        <w:rPr>
          <w:rStyle w:val="TekstpodstawowyZnak"/>
          <w:rFonts w:eastAsiaTheme="minorHAnsi"/>
          <w:bCs/>
          <w:iCs/>
          <w:sz w:val="24"/>
          <w:szCs w:val="24"/>
        </w:rPr>
        <w:t>uokik</w:t>
      </w:r>
      <w:proofErr w:type="spellEnd"/>
      <w:r>
        <w:rPr>
          <w:rStyle w:val="TekstpodstawowyZnak"/>
          <w:rFonts w:eastAsiaTheme="minorHAnsi"/>
          <w:bCs/>
          <w:iCs/>
          <w:sz w:val="24"/>
          <w:szCs w:val="24"/>
        </w:rPr>
        <w:t xml:space="preserve">, to na gruncie </w:t>
      </w:r>
      <w:r>
        <w:rPr>
          <w:rStyle w:val="TekstpodstawowyZnak"/>
          <w:rFonts w:eastAsiaTheme="minorHAnsi"/>
          <w:bCs/>
          <w:iCs/>
          <w:sz w:val="24"/>
          <w:szCs w:val="24"/>
          <w:lang w:val="en-US"/>
        </w:rPr>
        <w:t xml:space="preserve">art. </w:t>
      </w:r>
      <w:r>
        <w:rPr>
          <w:rStyle w:val="TekstpodstawowyZnak"/>
          <w:rFonts w:eastAsiaTheme="minorHAnsi"/>
          <w:bCs/>
          <w:iCs/>
          <w:sz w:val="24"/>
          <w:szCs w:val="24"/>
        </w:rPr>
        <w:t xml:space="preserve">6 i n. </w:t>
      </w:r>
      <w:proofErr w:type="spellStart"/>
      <w:r>
        <w:rPr>
          <w:rStyle w:val="TekstpodstawowyZnak"/>
          <w:rFonts w:eastAsiaTheme="minorHAnsi"/>
          <w:bCs/>
          <w:iCs/>
          <w:sz w:val="24"/>
          <w:szCs w:val="24"/>
        </w:rPr>
        <w:t>uokik</w:t>
      </w:r>
      <w:proofErr w:type="spellEnd"/>
      <w:r>
        <w:rPr>
          <w:rStyle w:val="TekstpodstawowyZnak"/>
          <w:rFonts w:eastAsiaTheme="minorHAnsi"/>
          <w:bCs/>
          <w:iCs/>
          <w:sz w:val="24"/>
          <w:szCs w:val="24"/>
        </w:rPr>
        <w:t xml:space="preserve"> działania dokonywane w</w:t>
      </w:r>
      <w:r>
        <w:rPr>
          <w:rStyle w:val="TekstpodstawowyZnak"/>
          <w:rFonts w:eastAsiaTheme="minorHAnsi"/>
          <w:bCs/>
          <w:iCs/>
          <w:sz w:val="24"/>
          <w:szCs w:val="24"/>
        </w:rPr>
        <w:t xml:space="preserve"> ramach grup kapitałowych również są - co do zasady - traktowane jako irrelewantne z punktu widzenia norm ochrony konkurencji. Biorąc pod uwagę funkcję rozgraniczającą adresatów norm zakazujących praktyk ograniczających konkurencję, należy bowiem wskazać, </w:t>
      </w:r>
      <w:r>
        <w:rPr>
          <w:rStyle w:val="TekstpodstawowyZnak"/>
          <w:rFonts w:eastAsiaTheme="minorHAnsi"/>
          <w:bCs/>
          <w:iCs/>
          <w:sz w:val="24"/>
          <w:szCs w:val="24"/>
        </w:rPr>
        <w:t xml:space="preserve">że zgodnie z poglądem wyrażanym na gruncie wypracowanej w orzecznictwie polskim (podobnie, jak i w nawiązaniu do orzecznictwa organów wspólnotowych - zob. wyżej) doktryny single </w:t>
      </w:r>
      <w:r>
        <w:rPr>
          <w:rStyle w:val="TekstpodstawowyZnak"/>
          <w:rFonts w:eastAsiaTheme="minorHAnsi"/>
          <w:bCs/>
          <w:iCs/>
          <w:sz w:val="24"/>
          <w:szCs w:val="24"/>
          <w:lang w:val="en-US"/>
        </w:rPr>
        <w:t xml:space="preserve">economic </w:t>
      </w:r>
      <w:r>
        <w:rPr>
          <w:rStyle w:val="TekstpodstawowyZnak"/>
          <w:rFonts w:eastAsiaTheme="minorHAnsi"/>
          <w:bCs/>
          <w:iCs/>
          <w:sz w:val="24"/>
          <w:szCs w:val="24"/>
        </w:rPr>
        <w:t>unit zakazy praktyk ograniczających konkurencję nie znajdują zastosow</w:t>
      </w:r>
      <w:r>
        <w:rPr>
          <w:rStyle w:val="TekstpodstawowyZnak"/>
          <w:rFonts w:eastAsiaTheme="minorHAnsi"/>
          <w:bCs/>
          <w:iCs/>
          <w:sz w:val="24"/>
          <w:szCs w:val="24"/>
        </w:rPr>
        <w:t xml:space="preserve">ania do działań podejmowanych pomiędzy przedsiębiorcami tworzącymi "jeden podmiot gospodarczy" (single </w:t>
      </w:r>
      <w:r>
        <w:rPr>
          <w:rStyle w:val="TekstpodstawowyZnak"/>
          <w:rFonts w:eastAsiaTheme="minorHAnsi"/>
          <w:bCs/>
          <w:iCs/>
          <w:sz w:val="24"/>
          <w:szCs w:val="24"/>
          <w:lang w:val="en-US"/>
        </w:rPr>
        <w:t xml:space="preserve">economic </w:t>
      </w:r>
      <w:r>
        <w:rPr>
          <w:rStyle w:val="TekstpodstawowyZnak"/>
          <w:rFonts w:eastAsiaTheme="minorHAnsi"/>
          <w:bCs/>
          <w:iCs/>
          <w:sz w:val="24"/>
          <w:szCs w:val="24"/>
        </w:rPr>
        <w:t xml:space="preserve">unit), w ramach którego przedsiębiorstwa kontrolowane (zależne) nie mogą samodzielnie kierować swym postępowaniem na tynku, lecz muszą stosować </w:t>
      </w:r>
      <w:r>
        <w:rPr>
          <w:rStyle w:val="TekstpodstawowyZnak"/>
          <w:rFonts w:eastAsiaTheme="minorHAnsi"/>
          <w:bCs/>
          <w:iCs/>
          <w:sz w:val="24"/>
          <w:szCs w:val="24"/>
        </w:rPr>
        <w:t xml:space="preserve">się do wytycznych ¡poleceń wydawanych przez przedsiębiorcę je kontrolującego (dominującego) - zob. wyr. </w:t>
      </w:r>
      <w:proofErr w:type="spellStart"/>
      <w:r>
        <w:rPr>
          <w:rStyle w:val="TekstpodstawowyZnak"/>
          <w:rFonts w:eastAsiaTheme="minorHAnsi"/>
          <w:bCs/>
          <w:iCs/>
          <w:sz w:val="24"/>
          <w:szCs w:val="24"/>
        </w:rPr>
        <w:t>SAMop</w:t>
      </w:r>
      <w:proofErr w:type="spellEnd"/>
      <w:r>
        <w:rPr>
          <w:rStyle w:val="TekstpodstawowyZnak"/>
          <w:rFonts w:eastAsiaTheme="minorHAnsi"/>
          <w:bCs/>
          <w:iCs/>
          <w:sz w:val="24"/>
          <w:szCs w:val="24"/>
        </w:rPr>
        <w:t xml:space="preserve"> z 17.1.1996 r., XVII AMR 54/95, </w:t>
      </w:r>
      <w:proofErr w:type="spellStart"/>
      <w:r>
        <w:rPr>
          <w:rStyle w:val="TekstpodstawowyZnak"/>
          <w:rFonts w:eastAsiaTheme="minorHAnsi"/>
          <w:bCs/>
          <w:iCs/>
          <w:sz w:val="24"/>
          <w:szCs w:val="24"/>
        </w:rPr>
        <w:t>Wok</w:t>
      </w:r>
      <w:proofErr w:type="spellEnd"/>
      <w:r>
        <w:rPr>
          <w:rStyle w:val="TekstpodstawowyZnak"/>
          <w:rFonts w:eastAsiaTheme="minorHAnsi"/>
          <w:bCs/>
          <w:iCs/>
          <w:sz w:val="24"/>
          <w:szCs w:val="24"/>
        </w:rPr>
        <w:t xml:space="preserve">. 1997, Nr 4, s. 52; wyr. </w:t>
      </w:r>
      <w:proofErr w:type="spellStart"/>
      <w:r>
        <w:rPr>
          <w:rStyle w:val="TekstpodstawowyZnak"/>
          <w:rFonts w:eastAsiaTheme="minorHAnsi"/>
          <w:bCs/>
          <w:iCs/>
          <w:sz w:val="24"/>
          <w:szCs w:val="24"/>
        </w:rPr>
        <w:t>SOKiK</w:t>
      </w:r>
      <w:proofErr w:type="spellEnd"/>
      <w:r>
        <w:rPr>
          <w:rStyle w:val="TekstpodstawowyZnak"/>
          <w:rFonts w:eastAsiaTheme="minorHAnsi"/>
          <w:bCs/>
          <w:iCs/>
          <w:sz w:val="24"/>
          <w:szCs w:val="24"/>
        </w:rPr>
        <w:t xml:space="preserve"> z 5.10.2005 r., XVII AMA 38/04, </w:t>
      </w:r>
      <w:proofErr w:type="spellStart"/>
      <w:r>
        <w:rPr>
          <w:rStyle w:val="TekstpodstawowyZnak"/>
          <w:rFonts w:eastAsiaTheme="minorHAnsi"/>
          <w:bCs/>
          <w:iCs/>
          <w:sz w:val="24"/>
          <w:szCs w:val="24"/>
        </w:rPr>
        <w:t>Dz.Urz</w:t>
      </w:r>
      <w:proofErr w:type="spellEnd"/>
      <w:r>
        <w:rPr>
          <w:rStyle w:val="TekstpodstawowyZnak"/>
          <w:rFonts w:eastAsiaTheme="minorHAnsi"/>
          <w:bCs/>
          <w:iCs/>
          <w:sz w:val="24"/>
          <w:szCs w:val="24"/>
        </w:rPr>
        <w:t xml:space="preserve">. UOKiK z 2006 r. Nr 1, poz. 13; wyr. SN </w:t>
      </w:r>
      <w:r>
        <w:rPr>
          <w:rStyle w:val="TekstpodstawowyZnak"/>
          <w:rFonts w:eastAsiaTheme="minorHAnsi"/>
          <w:bCs/>
          <w:iCs/>
          <w:sz w:val="24"/>
          <w:szCs w:val="24"/>
        </w:rPr>
        <w:t xml:space="preserve">z 19.1.2001 r., </w:t>
      </w:r>
      <w:r>
        <w:rPr>
          <w:rStyle w:val="TekstpodstawowyZnak"/>
          <w:rFonts w:eastAsiaTheme="minorHAnsi"/>
          <w:bCs/>
          <w:iCs/>
          <w:sz w:val="24"/>
          <w:szCs w:val="24"/>
          <w:lang w:val="en-US"/>
        </w:rPr>
        <w:t xml:space="preserve">I </w:t>
      </w:r>
      <w:r>
        <w:rPr>
          <w:rStyle w:val="TekstpodstawowyZnak"/>
          <w:rFonts w:eastAsiaTheme="minorHAnsi"/>
          <w:bCs/>
          <w:iCs/>
          <w:sz w:val="24"/>
          <w:szCs w:val="24"/>
        </w:rPr>
        <w:t xml:space="preserve">CKN 1036/98, </w:t>
      </w:r>
      <w:proofErr w:type="spellStart"/>
      <w:r>
        <w:rPr>
          <w:rStyle w:val="TekstpodstawowyZnak"/>
          <w:rFonts w:eastAsiaTheme="minorHAnsi"/>
          <w:bCs/>
          <w:iCs/>
          <w:sz w:val="24"/>
          <w:szCs w:val="24"/>
        </w:rPr>
        <w:t>Legalis</w:t>
      </w:r>
      <w:proofErr w:type="spellEnd"/>
      <w:r>
        <w:rPr>
          <w:rStyle w:val="TekstpodstawowyZnak"/>
          <w:rFonts w:eastAsiaTheme="minorHAnsi"/>
          <w:bCs/>
          <w:iCs/>
          <w:sz w:val="24"/>
          <w:szCs w:val="24"/>
        </w:rPr>
        <w:t>; wyr. SN z 16.1.2003 r., I CKN 1200/00, OSNC 2004, Nr 4, poz. 58; S. Gronowski, Ustawa, Wprowadzenie, Nb 33, s. 13. Przyjmuje się bowiem, że przedsiębiorcy należący do tej samej grupy kapitałowej nie konkurują ze sobą</w:t>
      </w:r>
      <w:r>
        <w:rPr>
          <w:rStyle w:val="TekstpodstawowyZnak"/>
          <w:rFonts w:eastAsiaTheme="minorHAnsi"/>
          <w:bCs/>
          <w:iCs/>
          <w:sz w:val="24"/>
          <w:szCs w:val="24"/>
        </w:rPr>
        <w:t>, a w konsekwencji nie jest możliwe naruszenie w stosunkach pomiędzy nimi zakazów stosowania praktyk ograniczających konkurencję – (</w:t>
      </w:r>
      <w:r>
        <w:rPr>
          <w:rStyle w:val="TekstpodstawowyZnak"/>
          <w:rFonts w:eastAsiaTheme="minorHAnsi"/>
          <w:bCs/>
          <w:i/>
          <w:iCs/>
          <w:sz w:val="24"/>
          <w:szCs w:val="24"/>
        </w:rPr>
        <w:t xml:space="preserve">zob. K. </w:t>
      </w:r>
      <w:proofErr w:type="spellStart"/>
      <w:r>
        <w:rPr>
          <w:rStyle w:val="TekstpodstawowyZnak"/>
          <w:rFonts w:eastAsiaTheme="minorHAnsi"/>
          <w:bCs/>
          <w:i/>
          <w:iCs/>
          <w:sz w:val="24"/>
          <w:szCs w:val="24"/>
        </w:rPr>
        <w:t>Kohutek</w:t>
      </w:r>
      <w:proofErr w:type="spellEnd"/>
      <w:r>
        <w:rPr>
          <w:rStyle w:val="TekstpodstawowyZnak"/>
          <w:rFonts w:eastAsiaTheme="minorHAnsi"/>
          <w:bCs/>
          <w:i/>
          <w:iCs/>
          <w:sz w:val="24"/>
          <w:szCs w:val="24"/>
        </w:rPr>
        <w:t xml:space="preserve">, w: </w:t>
      </w:r>
      <w:proofErr w:type="spellStart"/>
      <w:r>
        <w:rPr>
          <w:rStyle w:val="TekstpodstawowyZnak"/>
          <w:rFonts w:eastAsiaTheme="minorHAnsi"/>
          <w:bCs/>
          <w:i/>
          <w:iCs/>
          <w:sz w:val="24"/>
          <w:szCs w:val="24"/>
        </w:rPr>
        <w:t>Kohutek</w:t>
      </w:r>
      <w:proofErr w:type="spellEnd"/>
      <w:r>
        <w:rPr>
          <w:rStyle w:val="TekstpodstawowyZnak"/>
          <w:rFonts w:eastAsiaTheme="minorHAnsi"/>
          <w:bCs/>
          <w:i/>
          <w:iCs/>
          <w:sz w:val="24"/>
          <w:szCs w:val="24"/>
        </w:rPr>
        <w:t xml:space="preserve">, Sieradzka, </w:t>
      </w:r>
      <w:proofErr w:type="spellStart"/>
      <w:r>
        <w:rPr>
          <w:rStyle w:val="TekstpodstawowyZnak"/>
          <w:rFonts w:eastAsiaTheme="minorHAnsi"/>
          <w:bCs/>
          <w:i/>
          <w:iCs/>
          <w:sz w:val="24"/>
          <w:szCs w:val="24"/>
        </w:rPr>
        <w:t>OKiKU</w:t>
      </w:r>
      <w:proofErr w:type="spellEnd"/>
      <w:r>
        <w:rPr>
          <w:rStyle w:val="TekstpodstawowyZnak"/>
          <w:rFonts w:eastAsiaTheme="minorHAnsi"/>
          <w:bCs/>
          <w:i/>
          <w:iCs/>
          <w:sz w:val="24"/>
          <w:szCs w:val="24"/>
        </w:rPr>
        <w:t xml:space="preserve">. Komentarz, s. 258 i n.; por. także S. Gronowski, Ustawa o ochronie konkurencji i konsumentów, s. 227 i n.; </w:t>
      </w:r>
      <w:r>
        <w:rPr>
          <w:rStyle w:val="TekstpodstawowyZnak"/>
          <w:rFonts w:eastAsiaTheme="minorHAnsi"/>
          <w:bCs/>
          <w:i/>
          <w:iCs/>
          <w:sz w:val="24"/>
          <w:szCs w:val="24"/>
          <w:lang w:val="en-US"/>
        </w:rPr>
        <w:t xml:space="preserve">art. </w:t>
      </w:r>
      <w:r>
        <w:rPr>
          <w:rStyle w:val="TekstpodstawowyZnak"/>
          <w:rFonts w:eastAsiaTheme="minorHAnsi"/>
          <w:bCs/>
          <w:i/>
          <w:iCs/>
          <w:sz w:val="24"/>
          <w:szCs w:val="24"/>
        </w:rPr>
        <w:t>11, Nb 61</w:t>
      </w:r>
      <w:r>
        <w:rPr>
          <w:rStyle w:val="TekstpodstawowyZnak"/>
          <w:rFonts w:eastAsiaTheme="minorHAnsi"/>
          <w:bCs/>
          <w:iCs/>
          <w:sz w:val="24"/>
          <w:szCs w:val="24"/>
        </w:rPr>
        <w:t xml:space="preserve">). Z tych samych powodów, dla celów </w:t>
      </w:r>
      <w:r>
        <w:rPr>
          <w:rStyle w:val="TekstpodstawowyZnak"/>
          <w:rFonts w:eastAsiaTheme="minorHAnsi"/>
          <w:bCs/>
          <w:iCs/>
          <w:sz w:val="24"/>
          <w:szCs w:val="24"/>
        </w:rPr>
        <w:lastRenderedPageBreak/>
        <w:t xml:space="preserve">stosowania </w:t>
      </w:r>
      <w:proofErr w:type="spellStart"/>
      <w:r>
        <w:rPr>
          <w:rStyle w:val="TekstpodstawowyZnak"/>
          <w:rFonts w:eastAsiaTheme="minorHAnsi"/>
          <w:bCs/>
          <w:iCs/>
          <w:sz w:val="24"/>
          <w:szCs w:val="24"/>
        </w:rPr>
        <w:t>wyłączeń</w:t>
      </w:r>
      <w:proofErr w:type="spellEnd"/>
      <w:r>
        <w:rPr>
          <w:rStyle w:val="TekstpodstawowyZnak"/>
          <w:rFonts w:eastAsiaTheme="minorHAnsi"/>
          <w:bCs/>
          <w:iCs/>
          <w:sz w:val="24"/>
          <w:szCs w:val="24"/>
        </w:rPr>
        <w:t xml:space="preserve"> grupowych w zakresie porozumień </w:t>
      </w:r>
      <w:r>
        <w:rPr>
          <w:rStyle w:val="TekstpodstawowyZnak"/>
          <w:rFonts w:eastAsiaTheme="minorHAnsi"/>
          <w:bCs/>
          <w:iCs/>
          <w:sz w:val="24"/>
          <w:szCs w:val="24"/>
        </w:rPr>
        <w:t xml:space="preserve">ograniczających konkurencję, przedsiębiorstwa tworzące grupę kapitałową traktowane są jako jedno przedsiębiorstwo. Tym samym wszelkie działania podejmowane przez przedsiębiorców działających w ramach grupy kapitałowej pomiędzy sobą, nie podlegają ocenie z </w:t>
      </w:r>
      <w:r>
        <w:rPr>
          <w:rStyle w:val="TekstpodstawowyZnak"/>
          <w:rFonts w:eastAsiaTheme="minorHAnsi"/>
          <w:bCs/>
          <w:iCs/>
          <w:sz w:val="24"/>
          <w:szCs w:val="24"/>
        </w:rPr>
        <w:t xml:space="preserve">punktu widzenia ustawy antymonopolowej i są traktowane jako przejaw "wewnętrznego" podziału zadań i kompetencji lub alokacji środków i działań. Dla stosowania doktryny </w:t>
      </w:r>
      <w:r>
        <w:rPr>
          <w:rStyle w:val="TekstpodstawowyZnak"/>
          <w:rFonts w:eastAsiaTheme="minorHAnsi"/>
          <w:bCs/>
          <w:iCs/>
          <w:sz w:val="24"/>
          <w:szCs w:val="24"/>
          <w:lang w:val="en-US"/>
        </w:rPr>
        <w:t xml:space="preserve">single economic unit </w:t>
      </w:r>
      <w:r>
        <w:rPr>
          <w:rStyle w:val="TekstpodstawowyZnak"/>
          <w:rFonts w:eastAsiaTheme="minorHAnsi"/>
          <w:bCs/>
          <w:iCs/>
          <w:sz w:val="24"/>
          <w:szCs w:val="24"/>
        </w:rPr>
        <w:t xml:space="preserve">podstawowe znaczenie </w:t>
      </w:r>
      <w:r>
        <w:rPr>
          <w:rStyle w:val="TekstpodstawowyZnak"/>
          <w:rFonts w:eastAsiaTheme="minorHAnsi"/>
          <w:bCs/>
          <w:iCs/>
          <w:sz w:val="24"/>
          <w:szCs w:val="24"/>
          <w:lang w:val="en-US"/>
        </w:rPr>
        <w:t xml:space="preserve">ma to, </w:t>
      </w:r>
      <w:r>
        <w:rPr>
          <w:rStyle w:val="TekstpodstawowyZnak"/>
          <w:rFonts w:eastAsiaTheme="minorHAnsi"/>
          <w:bCs/>
          <w:iCs/>
          <w:sz w:val="24"/>
          <w:szCs w:val="24"/>
        </w:rPr>
        <w:t>czy i w jakim zakresie podmioty wchodzą</w:t>
      </w:r>
      <w:r>
        <w:rPr>
          <w:rStyle w:val="TekstpodstawowyZnak"/>
          <w:rFonts w:eastAsiaTheme="minorHAnsi"/>
          <w:bCs/>
          <w:iCs/>
          <w:sz w:val="24"/>
          <w:szCs w:val="24"/>
        </w:rPr>
        <w:t>ce w skład grupy kapitałowej cieszą się niezależnością w stosunku do przedsiębiorcy je kontrolującego. Im większa swoboda, tym powiązania w ramach grupy będą luźniejsze, co może prowadzić do zanegowania faktu istnienia grupy, a tym samym niemożności zastos</w:t>
      </w:r>
      <w:r>
        <w:rPr>
          <w:rStyle w:val="TekstpodstawowyZnak"/>
          <w:rFonts w:eastAsiaTheme="minorHAnsi"/>
          <w:bCs/>
          <w:iCs/>
          <w:sz w:val="24"/>
          <w:szCs w:val="24"/>
        </w:rPr>
        <w:t xml:space="preserve">owania doktryny single </w:t>
      </w:r>
      <w:r>
        <w:rPr>
          <w:rStyle w:val="TekstpodstawowyZnak"/>
          <w:rFonts w:eastAsiaTheme="minorHAnsi"/>
          <w:bCs/>
          <w:iCs/>
          <w:sz w:val="24"/>
          <w:szCs w:val="24"/>
          <w:lang w:val="en-US"/>
        </w:rPr>
        <w:t xml:space="preserve">economic </w:t>
      </w:r>
      <w:r>
        <w:rPr>
          <w:rStyle w:val="TekstpodstawowyZnak"/>
          <w:rFonts w:eastAsiaTheme="minorHAnsi"/>
          <w:bCs/>
          <w:iCs/>
          <w:sz w:val="24"/>
          <w:szCs w:val="24"/>
        </w:rPr>
        <w:t xml:space="preserve">unit. W tym kontekście </w:t>
      </w:r>
      <w:r>
        <w:rPr>
          <w:rStyle w:val="TekstpodstawowyZnak"/>
          <w:rFonts w:eastAsiaTheme="minorHAnsi"/>
          <w:bCs/>
          <w:iCs/>
          <w:sz w:val="24"/>
          <w:szCs w:val="24"/>
          <w:lang w:val="en-US"/>
        </w:rPr>
        <w:t xml:space="preserve">art. </w:t>
      </w:r>
      <w:r>
        <w:rPr>
          <w:rStyle w:val="TekstpodstawowyZnak"/>
          <w:rFonts w:eastAsiaTheme="minorHAnsi"/>
          <w:bCs/>
          <w:iCs/>
          <w:sz w:val="24"/>
          <w:szCs w:val="24"/>
        </w:rPr>
        <w:t xml:space="preserve">4 </w:t>
      </w:r>
      <w:r>
        <w:rPr>
          <w:rStyle w:val="TekstpodstawowyZnak"/>
          <w:rFonts w:eastAsiaTheme="minorHAnsi"/>
          <w:bCs/>
          <w:iCs/>
          <w:sz w:val="24"/>
          <w:szCs w:val="24"/>
          <w:lang w:val="en-US"/>
        </w:rPr>
        <w:t xml:space="preserve">pkt </w:t>
      </w:r>
      <w:r>
        <w:rPr>
          <w:rStyle w:val="TekstpodstawowyZnak"/>
          <w:rFonts w:eastAsiaTheme="minorHAnsi"/>
          <w:bCs/>
          <w:iCs/>
          <w:sz w:val="24"/>
          <w:szCs w:val="24"/>
        </w:rPr>
        <w:t xml:space="preserve">14) poprzez powiązanie z </w:t>
      </w:r>
      <w:r>
        <w:rPr>
          <w:rStyle w:val="TekstpodstawowyZnak"/>
          <w:rFonts w:eastAsiaTheme="minorHAnsi"/>
          <w:bCs/>
          <w:iCs/>
          <w:sz w:val="24"/>
          <w:szCs w:val="24"/>
          <w:lang w:val="en-US"/>
        </w:rPr>
        <w:t xml:space="preserve">art. </w:t>
      </w:r>
      <w:r>
        <w:rPr>
          <w:rStyle w:val="TekstpodstawowyZnak"/>
          <w:rFonts w:eastAsiaTheme="minorHAnsi"/>
          <w:bCs/>
          <w:iCs/>
          <w:sz w:val="24"/>
          <w:szCs w:val="24"/>
        </w:rPr>
        <w:t xml:space="preserve">4 </w:t>
      </w:r>
      <w:r>
        <w:rPr>
          <w:rStyle w:val="TekstpodstawowyZnak"/>
          <w:rFonts w:eastAsiaTheme="minorHAnsi"/>
          <w:bCs/>
          <w:iCs/>
          <w:sz w:val="24"/>
          <w:szCs w:val="24"/>
          <w:lang w:val="en-US"/>
        </w:rPr>
        <w:t xml:space="preserve">pkt </w:t>
      </w:r>
      <w:r>
        <w:rPr>
          <w:rStyle w:val="TekstpodstawowyZnak"/>
          <w:rFonts w:eastAsiaTheme="minorHAnsi"/>
          <w:bCs/>
          <w:iCs/>
          <w:sz w:val="24"/>
          <w:szCs w:val="24"/>
        </w:rPr>
        <w:t xml:space="preserve">3) i 4) </w:t>
      </w:r>
      <w:proofErr w:type="spellStart"/>
      <w:r>
        <w:rPr>
          <w:rStyle w:val="TekstpodstawowyZnak"/>
          <w:rFonts w:eastAsiaTheme="minorHAnsi"/>
          <w:bCs/>
          <w:iCs/>
          <w:sz w:val="24"/>
          <w:szCs w:val="24"/>
        </w:rPr>
        <w:t>uokik</w:t>
      </w:r>
      <w:proofErr w:type="spellEnd"/>
      <w:r>
        <w:rPr>
          <w:rStyle w:val="TekstpodstawowyZnak"/>
          <w:rFonts w:eastAsiaTheme="minorHAnsi"/>
          <w:bCs/>
          <w:iCs/>
          <w:sz w:val="24"/>
          <w:szCs w:val="24"/>
        </w:rPr>
        <w:t xml:space="preserve"> normatywizuje swoisty test niezależności/zależności przedsiębiorców, opierając go na ustawowej definicji kontroli</w:t>
      </w:r>
      <w:r>
        <w:rPr>
          <w:rStyle w:val="TekstpodstawowyZnak"/>
          <w:rFonts w:eastAsiaTheme="minorHAnsi"/>
          <w:bCs/>
          <w:i/>
          <w:iCs/>
          <w:sz w:val="24"/>
          <w:szCs w:val="24"/>
        </w:rPr>
        <w:t xml:space="preserve"> (M. Błędowski – Kozioł [w]</w:t>
      </w:r>
      <w:r>
        <w:rPr>
          <w:rStyle w:val="TekstpodstawowyZnak"/>
          <w:rFonts w:eastAsiaTheme="minorHAnsi"/>
          <w:bCs/>
          <w:i/>
          <w:iCs/>
          <w:sz w:val="24"/>
          <w:szCs w:val="24"/>
        </w:rPr>
        <w:t xml:space="preserve"> Ustawa o ochronie konkurencji i konsumentów, Komentarz T. Skoczny (red.).</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Sąd podkreśla, że porozumienie, którego definicja jest zawarta w art. 4 pkt 5) lit. a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xml:space="preserve"> (w związku z zakresem decyzji) może być tylko między równorzędnymi podmiotami, których po</w:t>
      </w:r>
      <w:r>
        <w:rPr>
          <w:rFonts w:ascii="Times New Roman" w:hAnsi="Times New Roman" w:cs="Times New Roman"/>
          <w:bCs/>
          <w:sz w:val="24"/>
          <w:szCs w:val="24"/>
          <w:shd w:val="clear" w:color="auto" w:fill="FFFFFF"/>
        </w:rPr>
        <w:t>zycja jest względem siebie niezależna w aspekcie prawa do podejmowania decyzji właścicielskich, zarządczych, organizacyjnych oraz nadzorczych i innych związanych z oznaczonym rynkiem.</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Jak wskazuje się w innym komentarzu do art. 6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to z samej istoty p</w:t>
      </w:r>
      <w:r>
        <w:rPr>
          <w:rFonts w:ascii="Times New Roman" w:hAnsi="Times New Roman" w:cs="Times New Roman"/>
          <w:bCs/>
          <w:sz w:val="24"/>
          <w:szCs w:val="24"/>
          <w:shd w:val="clear" w:color="auto" w:fill="FFFFFF"/>
        </w:rPr>
        <w:t>orozumienia, definiowanej w art. 4 pkt 5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xml:space="preserve"> wynika, że porozumienia podlegające art. 6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xml:space="preserve"> muszą być zawarte między niezależnymi (samodzielnymi, autonomicznymi) przedsiębiorcami w rozumieniu art. 4 pkt 1)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xml:space="preserve"> (por. prawomocny wyrok </w:t>
      </w:r>
      <w:proofErr w:type="spellStart"/>
      <w:r>
        <w:rPr>
          <w:rFonts w:ascii="Times New Roman" w:hAnsi="Times New Roman" w:cs="Times New Roman"/>
          <w:bCs/>
          <w:sz w:val="24"/>
          <w:szCs w:val="24"/>
          <w:shd w:val="clear" w:color="auto" w:fill="FFFFFF"/>
        </w:rPr>
        <w:t>SOKiK</w:t>
      </w:r>
      <w:proofErr w:type="spellEnd"/>
      <w:r>
        <w:rPr>
          <w:rFonts w:ascii="Times New Roman" w:hAnsi="Times New Roman" w:cs="Times New Roman"/>
          <w:bCs/>
          <w:sz w:val="24"/>
          <w:szCs w:val="24"/>
          <w:shd w:val="clear" w:color="auto" w:fill="FFFFFF"/>
        </w:rPr>
        <w:t xml:space="preserve"> z 8 lipca 2</w:t>
      </w:r>
      <w:r>
        <w:rPr>
          <w:rFonts w:ascii="Times New Roman" w:hAnsi="Times New Roman" w:cs="Times New Roman"/>
          <w:bCs/>
          <w:sz w:val="24"/>
          <w:szCs w:val="24"/>
          <w:shd w:val="clear" w:color="auto" w:fill="FFFFFF"/>
        </w:rPr>
        <w:t xml:space="preserve">011 r., XVII </w:t>
      </w:r>
      <w:proofErr w:type="spellStart"/>
      <w:r>
        <w:rPr>
          <w:rFonts w:ascii="Times New Roman" w:hAnsi="Times New Roman" w:cs="Times New Roman"/>
          <w:bCs/>
          <w:sz w:val="24"/>
          <w:szCs w:val="24"/>
          <w:shd w:val="clear" w:color="auto" w:fill="FFFFFF"/>
        </w:rPr>
        <w:t>AmA</w:t>
      </w:r>
      <w:proofErr w:type="spellEnd"/>
      <w:r>
        <w:rPr>
          <w:rFonts w:ascii="Times New Roman" w:hAnsi="Times New Roman" w:cs="Times New Roman"/>
          <w:bCs/>
          <w:sz w:val="24"/>
          <w:szCs w:val="24"/>
          <w:shd w:val="clear" w:color="auto" w:fill="FFFFFF"/>
        </w:rPr>
        <w:t xml:space="preserve"> 23/09, </w:t>
      </w:r>
      <w:proofErr w:type="spellStart"/>
      <w:r>
        <w:rPr>
          <w:rFonts w:ascii="Times New Roman" w:hAnsi="Times New Roman" w:cs="Times New Roman"/>
          <w:bCs/>
          <w:sz w:val="24"/>
          <w:szCs w:val="24"/>
          <w:shd w:val="clear" w:color="auto" w:fill="FFFFFF"/>
        </w:rPr>
        <w:t>niepubl</w:t>
      </w:r>
      <w:proofErr w:type="spellEnd"/>
      <w:r>
        <w:rPr>
          <w:rFonts w:ascii="Times New Roman" w:hAnsi="Times New Roman" w:cs="Times New Roman"/>
          <w:bCs/>
          <w:sz w:val="24"/>
          <w:szCs w:val="24"/>
          <w:shd w:val="clear" w:color="auto" w:fill="FFFFFF"/>
        </w:rPr>
        <w:t>.) lub ich związkami, bądź w ramach związków przedsiębiorców w rozumieniu art. 4 pkt 2)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Porozumienia mogą być zawierane przez przedsiębiorców, niezależnie od ich formy prawnej i sposobu finansowania. Odwołując się do o</w:t>
      </w:r>
      <w:r>
        <w:rPr>
          <w:rFonts w:ascii="Times New Roman" w:hAnsi="Times New Roman" w:cs="Times New Roman"/>
          <w:bCs/>
          <w:sz w:val="24"/>
          <w:szCs w:val="24"/>
          <w:shd w:val="clear" w:color="auto" w:fill="FFFFFF"/>
        </w:rPr>
        <w:t>rzecznictwa unijnego (wyr. TS z 23.4.1991 r., </w:t>
      </w:r>
      <w:r>
        <w:rPr>
          <w:rFonts w:ascii="Times New Roman" w:hAnsi="Times New Roman" w:cs="Times New Roman"/>
          <w:bCs/>
          <w:sz w:val="24"/>
          <w:szCs w:val="24"/>
          <w:u w:val="single"/>
          <w:shd w:val="clear" w:color="auto" w:fill="FFFFFF"/>
        </w:rPr>
        <w:t>C-41/90</w:t>
      </w:r>
      <w:r>
        <w:rPr>
          <w:rFonts w:ascii="Times New Roman" w:hAnsi="Times New Roman" w:cs="Times New Roman"/>
          <w:bCs/>
          <w:sz w:val="24"/>
          <w:szCs w:val="24"/>
          <w:shd w:val="clear" w:color="auto" w:fill="FFFFFF"/>
        </w:rPr>
        <w:t>, </w:t>
      </w:r>
      <w:proofErr w:type="spellStart"/>
      <w:r>
        <w:rPr>
          <w:rFonts w:ascii="Times New Roman" w:hAnsi="Times New Roman" w:cs="Times New Roman"/>
          <w:bCs/>
          <w:i/>
          <w:iCs/>
          <w:sz w:val="24"/>
          <w:szCs w:val="24"/>
          <w:shd w:val="clear" w:color="auto" w:fill="FFFFFF"/>
        </w:rPr>
        <w:t>Höfner</w:t>
      </w:r>
      <w:proofErr w:type="spellEnd"/>
      <w:r>
        <w:rPr>
          <w:rFonts w:ascii="Times New Roman" w:hAnsi="Times New Roman" w:cs="Times New Roman"/>
          <w:bCs/>
          <w:i/>
          <w:iCs/>
          <w:sz w:val="24"/>
          <w:szCs w:val="24"/>
          <w:shd w:val="clear" w:color="auto" w:fill="FFFFFF"/>
        </w:rPr>
        <w:t xml:space="preserve"> i </w:t>
      </w:r>
      <w:proofErr w:type="spellStart"/>
      <w:r>
        <w:rPr>
          <w:rFonts w:ascii="Times New Roman" w:hAnsi="Times New Roman" w:cs="Times New Roman"/>
          <w:bCs/>
          <w:i/>
          <w:iCs/>
          <w:sz w:val="24"/>
          <w:szCs w:val="24"/>
          <w:shd w:val="clear" w:color="auto" w:fill="FFFFFF"/>
        </w:rPr>
        <w:t>Elser</w:t>
      </w:r>
      <w:proofErr w:type="spellEnd"/>
      <w:r>
        <w:rPr>
          <w:rFonts w:ascii="Times New Roman" w:hAnsi="Times New Roman" w:cs="Times New Roman"/>
          <w:bCs/>
          <w:i/>
          <w:iCs/>
          <w:sz w:val="24"/>
          <w:szCs w:val="24"/>
          <w:shd w:val="clear" w:color="auto" w:fill="FFFFFF"/>
        </w:rPr>
        <w:t xml:space="preserve"> v. </w:t>
      </w:r>
      <w:proofErr w:type="spellStart"/>
      <w:r>
        <w:rPr>
          <w:rFonts w:ascii="Times New Roman" w:hAnsi="Times New Roman" w:cs="Times New Roman"/>
          <w:bCs/>
          <w:i/>
          <w:iCs/>
          <w:sz w:val="24"/>
          <w:szCs w:val="24"/>
          <w:shd w:val="clear" w:color="auto" w:fill="FFFFFF"/>
        </w:rPr>
        <w:t>Macrotron</w:t>
      </w:r>
      <w:proofErr w:type="spellEnd"/>
      <w:r>
        <w:rPr>
          <w:rFonts w:ascii="Times New Roman" w:hAnsi="Times New Roman" w:cs="Times New Roman"/>
          <w:bCs/>
          <w:i/>
          <w:iCs/>
          <w:sz w:val="24"/>
          <w:szCs w:val="24"/>
          <w:shd w:val="clear" w:color="auto" w:fill="FFFFFF"/>
        </w:rPr>
        <w:t xml:space="preserve"> GmbH</w:t>
      </w:r>
      <w:r>
        <w:rPr>
          <w:rFonts w:ascii="Times New Roman" w:hAnsi="Times New Roman" w:cs="Times New Roman"/>
          <w:bCs/>
          <w:sz w:val="24"/>
          <w:szCs w:val="24"/>
          <w:shd w:val="clear" w:color="auto" w:fill="FFFFFF"/>
        </w:rPr>
        <w:t>, EU:C:1991:161, pkt 21; wyr. TS z 12.9.2000 r., sprawy połączone </w:t>
      </w:r>
      <w:r>
        <w:rPr>
          <w:rFonts w:ascii="Times New Roman" w:hAnsi="Times New Roman" w:cs="Times New Roman"/>
          <w:bCs/>
          <w:sz w:val="24"/>
          <w:szCs w:val="24"/>
          <w:u w:val="single"/>
          <w:shd w:val="clear" w:color="auto" w:fill="FFFFFF"/>
        </w:rPr>
        <w:t>C-180/98</w:t>
      </w:r>
      <w:r>
        <w:rPr>
          <w:rFonts w:ascii="Times New Roman" w:hAnsi="Times New Roman" w:cs="Times New Roman"/>
          <w:bCs/>
          <w:sz w:val="24"/>
          <w:szCs w:val="24"/>
          <w:shd w:val="clear" w:color="auto" w:fill="FFFFFF"/>
        </w:rPr>
        <w:t> do </w:t>
      </w:r>
      <w:r>
        <w:rPr>
          <w:rFonts w:ascii="Times New Roman" w:hAnsi="Times New Roman" w:cs="Times New Roman"/>
          <w:bCs/>
          <w:sz w:val="24"/>
          <w:szCs w:val="24"/>
          <w:u w:val="single"/>
          <w:shd w:val="clear" w:color="auto" w:fill="FFFFFF"/>
        </w:rPr>
        <w:t>C-184/98</w:t>
      </w:r>
      <w:r>
        <w:rPr>
          <w:rFonts w:ascii="Times New Roman" w:hAnsi="Times New Roman" w:cs="Times New Roman"/>
          <w:bCs/>
          <w:sz w:val="24"/>
          <w:szCs w:val="24"/>
          <w:shd w:val="clear" w:color="auto" w:fill="FFFFFF"/>
        </w:rPr>
        <w:t>, </w:t>
      </w:r>
      <w:proofErr w:type="spellStart"/>
      <w:r>
        <w:rPr>
          <w:rFonts w:ascii="Times New Roman" w:hAnsi="Times New Roman" w:cs="Times New Roman"/>
          <w:bCs/>
          <w:i/>
          <w:iCs/>
          <w:sz w:val="24"/>
          <w:szCs w:val="24"/>
          <w:shd w:val="clear" w:color="auto" w:fill="FFFFFF"/>
        </w:rPr>
        <w:t>Pavlov</w:t>
      </w:r>
      <w:proofErr w:type="spellEnd"/>
      <w:r>
        <w:rPr>
          <w:rFonts w:ascii="Times New Roman" w:hAnsi="Times New Roman" w:cs="Times New Roman"/>
          <w:bCs/>
          <w:i/>
          <w:iCs/>
          <w:sz w:val="24"/>
          <w:szCs w:val="24"/>
          <w:shd w:val="clear" w:color="auto" w:fill="FFFFFF"/>
        </w:rPr>
        <w:t xml:space="preserve"> i in. v. </w:t>
      </w:r>
      <w:proofErr w:type="spellStart"/>
      <w:r>
        <w:rPr>
          <w:rFonts w:ascii="Times New Roman" w:hAnsi="Times New Roman" w:cs="Times New Roman"/>
          <w:bCs/>
          <w:i/>
          <w:iCs/>
          <w:sz w:val="24"/>
          <w:szCs w:val="24"/>
          <w:shd w:val="clear" w:color="auto" w:fill="FFFFFF"/>
        </w:rPr>
        <w:t>Stichting</w:t>
      </w:r>
      <w:proofErr w:type="spellEnd"/>
      <w:r>
        <w:rPr>
          <w:rFonts w:ascii="Times New Roman" w:hAnsi="Times New Roman" w:cs="Times New Roman"/>
          <w:bCs/>
          <w:i/>
          <w:iCs/>
          <w:sz w:val="24"/>
          <w:szCs w:val="24"/>
          <w:shd w:val="clear" w:color="auto" w:fill="FFFFFF"/>
        </w:rPr>
        <w:t xml:space="preserve"> </w:t>
      </w:r>
      <w:proofErr w:type="spellStart"/>
      <w:r>
        <w:rPr>
          <w:rFonts w:ascii="Times New Roman" w:hAnsi="Times New Roman" w:cs="Times New Roman"/>
          <w:bCs/>
          <w:i/>
          <w:iCs/>
          <w:sz w:val="24"/>
          <w:szCs w:val="24"/>
          <w:shd w:val="clear" w:color="auto" w:fill="FFFFFF"/>
        </w:rPr>
        <w:t>Pensioenfonds</w:t>
      </w:r>
      <w:proofErr w:type="spellEnd"/>
      <w:r>
        <w:rPr>
          <w:rFonts w:ascii="Times New Roman" w:hAnsi="Times New Roman" w:cs="Times New Roman"/>
          <w:bCs/>
          <w:i/>
          <w:iCs/>
          <w:sz w:val="24"/>
          <w:szCs w:val="24"/>
          <w:shd w:val="clear" w:color="auto" w:fill="FFFFFF"/>
        </w:rPr>
        <w:t xml:space="preserve"> </w:t>
      </w:r>
      <w:proofErr w:type="spellStart"/>
      <w:r>
        <w:rPr>
          <w:rFonts w:ascii="Times New Roman" w:hAnsi="Times New Roman" w:cs="Times New Roman"/>
          <w:bCs/>
          <w:i/>
          <w:iCs/>
          <w:sz w:val="24"/>
          <w:szCs w:val="24"/>
          <w:shd w:val="clear" w:color="auto" w:fill="FFFFFF"/>
        </w:rPr>
        <w:t>Medische</w:t>
      </w:r>
      <w:proofErr w:type="spellEnd"/>
      <w:r>
        <w:rPr>
          <w:rFonts w:ascii="Times New Roman" w:hAnsi="Times New Roman" w:cs="Times New Roman"/>
          <w:bCs/>
          <w:i/>
          <w:iCs/>
          <w:sz w:val="24"/>
          <w:szCs w:val="24"/>
          <w:shd w:val="clear" w:color="auto" w:fill="FFFFFF"/>
        </w:rPr>
        <w:t xml:space="preserve"> </w:t>
      </w:r>
      <w:proofErr w:type="spellStart"/>
      <w:r>
        <w:rPr>
          <w:rFonts w:ascii="Times New Roman" w:hAnsi="Times New Roman" w:cs="Times New Roman"/>
          <w:bCs/>
          <w:i/>
          <w:iCs/>
          <w:sz w:val="24"/>
          <w:szCs w:val="24"/>
          <w:shd w:val="clear" w:color="auto" w:fill="FFFFFF"/>
        </w:rPr>
        <w:t>Specialisten</w:t>
      </w:r>
      <w:proofErr w:type="spellEnd"/>
      <w:r>
        <w:rPr>
          <w:rFonts w:ascii="Times New Roman" w:hAnsi="Times New Roman" w:cs="Times New Roman"/>
          <w:bCs/>
          <w:sz w:val="24"/>
          <w:szCs w:val="24"/>
          <w:shd w:val="clear" w:color="auto" w:fill="FFFFFF"/>
        </w:rPr>
        <w:t>, EU:C:2000:428, pkt</w:t>
      </w:r>
      <w:r>
        <w:rPr>
          <w:rFonts w:ascii="Times New Roman" w:hAnsi="Times New Roman" w:cs="Times New Roman"/>
          <w:bCs/>
          <w:sz w:val="24"/>
          <w:szCs w:val="24"/>
          <w:shd w:val="clear" w:color="auto" w:fill="FFFFFF"/>
        </w:rPr>
        <w:t xml:space="preserve"> 75), Prezes UOKiK w swoich decyzjach podkreśla, że "reguły konkurencji znajdują zastosowanie w relacjach między przedsiębiorstwami rozumianymi jako jednostki ekonomiczne (organizmy gospodarcze) zdolne do prowadzenia samodzielnej polityki rynkowej" (</w:t>
      </w:r>
      <w:proofErr w:type="spellStart"/>
      <w:r>
        <w:rPr>
          <w:rFonts w:ascii="Times New Roman" w:hAnsi="Times New Roman" w:cs="Times New Roman"/>
          <w:bCs/>
          <w:sz w:val="24"/>
          <w:szCs w:val="24"/>
          <w:shd w:val="clear" w:color="auto" w:fill="FFFFFF"/>
        </w:rPr>
        <w:t>dec</w:t>
      </w:r>
      <w:proofErr w:type="spellEnd"/>
      <w:r>
        <w:rPr>
          <w:rFonts w:ascii="Times New Roman" w:hAnsi="Times New Roman" w:cs="Times New Roman"/>
          <w:bCs/>
          <w:sz w:val="24"/>
          <w:szCs w:val="24"/>
          <w:shd w:val="clear" w:color="auto" w:fill="FFFFFF"/>
        </w:rPr>
        <w:t>. P</w:t>
      </w:r>
      <w:r>
        <w:rPr>
          <w:rFonts w:ascii="Times New Roman" w:hAnsi="Times New Roman" w:cs="Times New Roman"/>
          <w:bCs/>
          <w:sz w:val="24"/>
          <w:szCs w:val="24"/>
          <w:shd w:val="clear" w:color="auto" w:fill="FFFFFF"/>
        </w:rPr>
        <w:t xml:space="preserve">rezesa UOKiK z 23.12.2021 r., Nr DOK-8/2021, pkt 183). Prezes UOKiK sformułował co prawda pogląd, że art. 6 ust. 1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lastRenderedPageBreak/>
        <w:t xml:space="preserve">różni się od art. 101 ust. 1 TFUE tym, że "prawo polskie wskazuje ogólnie na zakaz funkcjonowania </w:t>
      </w:r>
      <w:proofErr w:type="spellStart"/>
      <w:r>
        <w:rPr>
          <w:rFonts w:ascii="Times New Roman" w:hAnsi="Times New Roman" w:cs="Times New Roman"/>
          <w:bCs/>
          <w:sz w:val="24"/>
          <w:szCs w:val="24"/>
          <w:shd w:val="clear" w:color="auto" w:fill="FFFFFF"/>
        </w:rPr>
        <w:t>antykonkurencyjnych</w:t>
      </w:r>
      <w:proofErr w:type="spellEnd"/>
      <w:r>
        <w:rPr>
          <w:rFonts w:ascii="Times New Roman" w:hAnsi="Times New Roman" w:cs="Times New Roman"/>
          <w:bCs/>
          <w:sz w:val="24"/>
          <w:szCs w:val="24"/>
          <w:shd w:val="clear" w:color="auto" w:fill="FFFFFF"/>
        </w:rPr>
        <w:t xml:space="preserve"> porozumień", podc</w:t>
      </w:r>
      <w:r>
        <w:rPr>
          <w:rFonts w:ascii="Times New Roman" w:hAnsi="Times New Roman" w:cs="Times New Roman"/>
          <w:bCs/>
          <w:sz w:val="24"/>
          <w:szCs w:val="24"/>
          <w:shd w:val="clear" w:color="auto" w:fill="FFFFFF"/>
        </w:rPr>
        <w:t>zas gdy prawo unijne wskazuje na praktyki mające miejsce "między przedsiębiorstwami" (</w:t>
      </w:r>
      <w:proofErr w:type="spellStart"/>
      <w:r>
        <w:rPr>
          <w:rFonts w:ascii="Times New Roman" w:hAnsi="Times New Roman" w:cs="Times New Roman"/>
          <w:bCs/>
          <w:sz w:val="24"/>
          <w:szCs w:val="24"/>
          <w:shd w:val="clear" w:color="auto" w:fill="FFFFFF"/>
        </w:rPr>
        <w:t>dec</w:t>
      </w:r>
      <w:proofErr w:type="spellEnd"/>
      <w:r>
        <w:rPr>
          <w:rFonts w:ascii="Times New Roman" w:hAnsi="Times New Roman" w:cs="Times New Roman"/>
          <w:bCs/>
          <w:sz w:val="24"/>
          <w:szCs w:val="24"/>
          <w:shd w:val="clear" w:color="auto" w:fill="FFFFFF"/>
        </w:rPr>
        <w:t>. Prezesa UOKiK z 23.12.2021 r., Nr DOK-8/2021, pkt 191), jednak skoro w polskim prawie, inaczej niż w prawie unijnym, funkcjonuje w innym przepisie definicja "porozum</w:t>
      </w:r>
      <w:r>
        <w:rPr>
          <w:rFonts w:ascii="Times New Roman" w:hAnsi="Times New Roman" w:cs="Times New Roman"/>
          <w:bCs/>
          <w:sz w:val="24"/>
          <w:szCs w:val="24"/>
          <w:shd w:val="clear" w:color="auto" w:fill="FFFFFF"/>
        </w:rPr>
        <w:t>ienia" (zob. art. 4 pkt 5)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to spójna systemowa wykładnia art. 6 ust. 1 w zw. z art. 4 pkt 5)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xml:space="preserve"> nie pozostawia wątpliwości, że polski ustawodawca nie zawarł w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xml:space="preserve"> żadnego ogólnego zakazu porozumień, ale sformułował w art. 6 ust. 1 </w:t>
      </w:r>
      <w:proofErr w:type="spellStart"/>
      <w:r>
        <w:rPr>
          <w:rFonts w:ascii="Times New Roman" w:hAnsi="Times New Roman" w:cs="Times New Roman"/>
          <w:bCs/>
          <w:sz w:val="24"/>
          <w:szCs w:val="24"/>
          <w:shd w:val="clear" w:color="auto" w:fill="FFFFFF"/>
        </w:rPr>
        <w:t>uokik</w:t>
      </w:r>
      <w:proofErr w:type="spellEnd"/>
      <w:r>
        <w:rPr>
          <w:rFonts w:ascii="Times New Roman" w:hAnsi="Times New Roman" w:cs="Times New Roman"/>
          <w:bCs/>
          <w:sz w:val="24"/>
          <w:szCs w:val="24"/>
          <w:shd w:val="clear" w:color="auto" w:fill="FFFFFF"/>
        </w:rPr>
        <w:t xml:space="preserve"> zakaz </w:t>
      </w:r>
      <w:r>
        <w:rPr>
          <w:rFonts w:ascii="Times New Roman" w:hAnsi="Times New Roman" w:cs="Times New Roman"/>
          <w:bCs/>
          <w:sz w:val="24"/>
          <w:szCs w:val="24"/>
          <w:shd w:val="clear" w:color="auto" w:fill="FFFFFF"/>
        </w:rPr>
        <w:t xml:space="preserve">porozumień między przedsiębiorcami (lub porozumień między ich związkami bądź porozumień między przedsiębiorcami a związkami przedsiębiorców) – tak: dr hab. A. Piszcz [w] </w:t>
      </w:r>
      <w:r>
        <w:rPr>
          <w:rStyle w:val="TekstpodstawowyZnak"/>
          <w:rFonts w:eastAsiaTheme="minorHAnsi"/>
          <w:bCs/>
          <w:i/>
          <w:iCs/>
          <w:sz w:val="24"/>
          <w:szCs w:val="24"/>
        </w:rPr>
        <w:t>Ustawa o ochronie konkurencji i konsumentów, Komentarz 2024, A. Jurkowska - Gomułka).</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W tym kontekście trzeba podkreślić i zwrócić uwagę, że zaskarżona decyzja - za praktykę ograniczającą konkurencję na polskim rynku zakupu usług świadczonych przez profesjonalnych zawodników sportu żużlowego, uznaje udział obu odwołujących (PZM i EŻ) w poro</w:t>
      </w:r>
      <w:r>
        <w:rPr>
          <w:rFonts w:ascii="Times New Roman" w:hAnsi="Times New Roman" w:cs="Times New Roman"/>
          <w:bCs/>
          <w:sz w:val="24"/>
          <w:szCs w:val="24"/>
          <w:shd w:val="clear" w:color="auto" w:fill="FFFFFF"/>
        </w:rPr>
        <w:t xml:space="preserve">zumieniu polegającym na ustalaniu maksymalnych stawek wynagrodzeń zawodników biorących udział w rozgrywkach ligowych sportu żużlowego. </w:t>
      </w:r>
    </w:p>
    <w:p w:rsidR="006C2E2F" w:rsidRDefault="00D86529">
      <w:pPr>
        <w:widowControl w:val="0"/>
        <w:tabs>
          <w:tab w:val="left" w:pos="709"/>
        </w:tabs>
        <w:spacing w:before="240" w:after="0" w:line="360" w:lineRule="auto"/>
        <w:ind w:firstLine="567"/>
        <w:jc w:val="both"/>
        <w:rPr>
          <w:rStyle w:val="TekstpodstawowyZnak"/>
          <w:rFonts w:eastAsiaTheme="minorHAnsi"/>
          <w:bCs/>
          <w:sz w:val="24"/>
          <w:szCs w:val="24"/>
        </w:rPr>
      </w:pPr>
      <w:r>
        <w:rPr>
          <w:rStyle w:val="TekstpodstawowyZnak"/>
          <w:rFonts w:eastAsiaTheme="minorHAnsi"/>
          <w:bCs/>
          <w:sz w:val="24"/>
          <w:szCs w:val="24"/>
        </w:rPr>
        <w:t>Nie ma natomiast wątpliwości, że co najmniej od początku 2013 r., PZM nieprzerwanie dysponuje bezpośrednio większością g</w:t>
      </w:r>
      <w:r>
        <w:rPr>
          <w:rStyle w:val="TekstpodstawowyZnak"/>
          <w:rFonts w:eastAsiaTheme="minorHAnsi"/>
          <w:bCs/>
          <w:sz w:val="24"/>
          <w:szCs w:val="24"/>
        </w:rPr>
        <w:t xml:space="preserve">łosów na zgromadzeniu wspólników EŻ. Tym samym PZM sprawuje nad EŻ kontrolę w rozumieniu przepisu art. 4 pkt 4 lit. a) </w:t>
      </w:r>
      <w:proofErr w:type="spellStart"/>
      <w:r>
        <w:rPr>
          <w:rStyle w:val="TekstpodstawowyZnak"/>
          <w:rFonts w:eastAsiaTheme="minorHAnsi"/>
          <w:bCs/>
          <w:sz w:val="24"/>
          <w:szCs w:val="24"/>
        </w:rPr>
        <w:t>uokik</w:t>
      </w:r>
      <w:proofErr w:type="spellEnd"/>
      <w:r>
        <w:rPr>
          <w:rStyle w:val="TekstpodstawowyZnak"/>
          <w:rFonts w:eastAsiaTheme="minorHAnsi"/>
          <w:bCs/>
          <w:sz w:val="24"/>
          <w:szCs w:val="24"/>
        </w:rPr>
        <w:t xml:space="preserve">. PZM i EŻ należą zatem również do jednej grupy kapitałowej w rozumieniu przepisu art. 4 pkt 14) </w:t>
      </w:r>
      <w:proofErr w:type="spellStart"/>
      <w:r>
        <w:rPr>
          <w:rStyle w:val="TekstpodstawowyZnak"/>
          <w:rFonts w:eastAsiaTheme="minorHAnsi"/>
          <w:bCs/>
          <w:sz w:val="24"/>
          <w:szCs w:val="24"/>
        </w:rPr>
        <w:t>uokik</w:t>
      </w:r>
      <w:proofErr w:type="spellEnd"/>
      <w:r>
        <w:rPr>
          <w:rStyle w:val="TekstpodstawowyZnak"/>
          <w:rFonts w:eastAsiaTheme="minorHAnsi"/>
          <w:bCs/>
          <w:sz w:val="24"/>
          <w:szCs w:val="24"/>
        </w:rPr>
        <w:t xml:space="preserve"> (innymi słowy jak wskazują od</w:t>
      </w:r>
      <w:r>
        <w:rPr>
          <w:rStyle w:val="TekstpodstawowyZnak"/>
          <w:rFonts w:eastAsiaTheme="minorHAnsi"/>
          <w:bCs/>
          <w:sz w:val="24"/>
          <w:szCs w:val="24"/>
        </w:rPr>
        <w:t xml:space="preserve">wołujący, to EŻ jest spółką- córką PZM) i wspólnie tworzą jednolity organizm gospodarczy, a co za tym idzie, podmioty te nie mogą zawrzeć </w:t>
      </w:r>
      <w:proofErr w:type="spellStart"/>
      <w:r>
        <w:rPr>
          <w:rStyle w:val="TekstpodstawowyZnak"/>
          <w:rFonts w:eastAsiaTheme="minorHAnsi"/>
          <w:bCs/>
          <w:sz w:val="24"/>
          <w:szCs w:val="24"/>
        </w:rPr>
        <w:t>antykonkurencyjnego</w:t>
      </w:r>
      <w:proofErr w:type="spellEnd"/>
      <w:r>
        <w:rPr>
          <w:rStyle w:val="TekstpodstawowyZnak"/>
          <w:rFonts w:eastAsiaTheme="minorHAnsi"/>
          <w:bCs/>
          <w:sz w:val="24"/>
          <w:szCs w:val="24"/>
        </w:rPr>
        <w:t xml:space="preserve"> porozumienia. Brak jest ich odrębności organizacyjnej w aspekcie możliwości samodzielności podejmo</w:t>
      </w:r>
      <w:r>
        <w:rPr>
          <w:rStyle w:val="TekstpodstawowyZnak"/>
          <w:rFonts w:eastAsiaTheme="minorHAnsi"/>
          <w:bCs/>
          <w:sz w:val="24"/>
          <w:szCs w:val="24"/>
        </w:rPr>
        <w:t xml:space="preserve">wania decyzji przez EŻ w rozumieniu praktycznym - przez każdy organ tej spółki w zależności od przedmiotu decyzji. PZM ma tego rodzaju większość udziałową, że wywiera więcej niż decydujący wpływ na EŻ, o którym mowa w art. 4 pkt 4) lit. a), b) </w:t>
      </w:r>
      <w:proofErr w:type="spellStart"/>
      <w:r>
        <w:rPr>
          <w:rStyle w:val="TekstpodstawowyZnak"/>
          <w:rFonts w:eastAsiaTheme="minorHAnsi"/>
          <w:bCs/>
          <w:sz w:val="24"/>
          <w:szCs w:val="24"/>
        </w:rPr>
        <w:t>uokik</w:t>
      </w:r>
      <w:proofErr w:type="spellEnd"/>
      <w:r>
        <w:rPr>
          <w:rStyle w:val="TekstpodstawowyZnak"/>
          <w:rFonts w:eastAsiaTheme="minorHAnsi"/>
          <w:bCs/>
          <w:sz w:val="24"/>
          <w:szCs w:val="24"/>
        </w:rPr>
        <w:t>. Po pi</w:t>
      </w:r>
      <w:r>
        <w:rPr>
          <w:rStyle w:val="TekstpodstawowyZnak"/>
          <w:rFonts w:eastAsiaTheme="minorHAnsi"/>
          <w:bCs/>
          <w:sz w:val="24"/>
          <w:szCs w:val="24"/>
        </w:rPr>
        <w:t>erwsze, PZM dysponuje bezpośrednio większością głosów na zgromadzeniu wspólników i jest to większość, która pod względem pozytywnym (kworum i liczba głosów za) i pod względem negatywnym (kworum i liczba głosów przeciw) decyduje o tym czy zostanie przegłoso</w:t>
      </w:r>
      <w:r>
        <w:rPr>
          <w:rStyle w:val="TekstpodstawowyZnak"/>
          <w:rFonts w:eastAsiaTheme="minorHAnsi"/>
          <w:bCs/>
          <w:sz w:val="24"/>
          <w:szCs w:val="24"/>
        </w:rPr>
        <w:t xml:space="preserve">wana jakakolwiek uchwała. Po drugie, z uwagi na większość zwykłą w zgromadzeniu wspólników dysponuje według § 26 umowy spółki prawem powołania całego składu Rady Nadzorczej co skutkuje pełnym nadzorem nad spółką wedle </w:t>
      </w:r>
      <w:proofErr w:type="spellStart"/>
      <w:r>
        <w:rPr>
          <w:rStyle w:val="TekstpodstawowyZnak"/>
          <w:rFonts w:eastAsiaTheme="minorHAnsi"/>
          <w:bCs/>
          <w:sz w:val="24"/>
          <w:szCs w:val="24"/>
        </w:rPr>
        <w:t>k.s.h</w:t>
      </w:r>
      <w:proofErr w:type="spellEnd"/>
      <w:r>
        <w:rPr>
          <w:rStyle w:val="TekstpodstawowyZnak"/>
          <w:rFonts w:eastAsiaTheme="minorHAnsi"/>
          <w:bCs/>
          <w:sz w:val="24"/>
          <w:szCs w:val="24"/>
        </w:rPr>
        <w:t>. Po trzecie, faktycznie PZM jako</w:t>
      </w:r>
      <w:r>
        <w:rPr>
          <w:rStyle w:val="TekstpodstawowyZnak"/>
          <w:rFonts w:eastAsiaTheme="minorHAnsi"/>
          <w:bCs/>
          <w:sz w:val="24"/>
          <w:szCs w:val="24"/>
        </w:rPr>
        <w:t xml:space="preserve"> jedyny wspólnik z uwagi na wpływ na wybór Rady Nadzorczej ma </w:t>
      </w:r>
      <w:r>
        <w:rPr>
          <w:rStyle w:val="TekstpodstawowyZnak"/>
          <w:rFonts w:eastAsiaTheme="minorHAnsi"/>
          <w:bCs/>
          <w:sz w:val="24"/>
          <w:szCs w:val="24"/>
        </w:rPr>
        <w:lastRenderedPageBreak/>
        <w:t xml:space="preserve">zgodnie z art. 213 § 3 </w:t>
      </w:r>
      <w:proofErr w:type="spellStart"/>
      <w:r>
        <w:rPr>
          <w:rStyle w:val="TekstpodstawowyZnak"/>
          <w:rFonts w:eastAsiaTheme="minorHAnsi"/>
          <w:bCs/>
          <w:sz w:val="24"/>
          <w:szCs w:val="24"/>
        </w:rPr>
        <w:t>k.s.h</w:t>
      </w:r>
      <w:proofErr w:type="spellEnd"/>
      <w:r>
        <w:rPr>
          <w:rStyle w:val="TekstpodstawowyZnak"/>
          <w:rFonts w:eastAsiaTheme="minorHAnsi"/>
          <w:bCs/>
          <w:sz w:val="24"/>
          <w:szCs w:val="24"/>
        </w:rPr>
        <w:t xml:space="preserve">. indywidualne prawo kontroli w rozumieniu tego przepisu i odpowiednio w zw. z art. 212 </w:t>
      </w:r>
      <w:proofErr w:type="spellStart"/>
      <w:r>
        <w:rPr>
          <w:rStyle w:val="TekstpodstawowyZnak"/>
          <w:rFonts w:eastAsiaTheme="minorHAnsi"/>
          <w:bCs/>
          <w:sz w:val="24"/>
          <w:szCs w:val="24"/>
        </w:rPr>
        <w:t>k.s.h</w:t>
      </w:r>
      <w:proofErr w:type="spellEnd"/>
      <w:r>
        <w:rPr>
          <w:rStyle w:val="TekstpodstawowyZnak"/>
          <w:rFonts w:eastAsiaTheme="minorHAnsi"/>
          <w:bCs/>
          <w:sz w:val="24"/>
          <w:szCs w:val="24"/>
        </w:rPr>
        <w:t>. oraz dalszych dotyczących kompetencji Rady Nadzorczej w spółce z o.o. w</w:t>
      </w:r>
      <w:r>
        <w:rPr>
          <w:rStyle w:val="TekstpodstawowyZnak"/>
          <w:rFonts w:eastAsiaTheme="minorHAnsi"/>
          <w:bCs/>
          <w:sz w:val="24"/>
          <w:szCs w:val="24"/>
        </w:rPr>
        <w:t xml:space="preserve"> sytuacji umownego pozbawienia tego prawa każdego innego wspólnika (wyłączone indywidualne prawo kontroli – §26 ust. 13 umowy spółki – k. 483 akt adm., tekst jednolity z widocznymi zmianami – k. 367v). Po czwarte, to Rada Nadzorcza w spółce wybiera Zarząd,</w:t>
      </w:r>
      <w:r>
        <w:rPr>
          <w:rStyle w:val="TekstpodstawowyZnak"/>
          <w:rFonts w:eastAsiaTheme="minorHAnsi"/>
          <w:bCs/>
          <w:sz w:val="24"/>
          <w:szCs w:val="24"/>
        </w:rPr>
        <w:t xml:space="preserve"> co w sytuacji możliwego składu 1-osobowego oznacza bezpośredni wpływ PZM na wybór Zarządu w takim składzie a nadto przy drugim umownym składzie Zarządu tj. 2-osobowym, to z kolei PZM ma indywidualne, umowne prawo do rekomendacji Wiceprezesa Zarządu. Po pi</w:t>
      </w:r>
      <w:r>
        <w:rPr>
          <w:rStyle w:val="TekstpodstawowyZnak"/>
          <w:rFonts w:eastAsiaTheme="minorHAnsi"/>
          <w:bCs/>
          <w:sz w:val="24"/>
          <w:szCs w:val="24"/>
        </w:rPr>
        <w:t xml:space="preserve">ąte wreszcie, to do Zarządu należy ustawowe prawo do reprezentacji i prowadzenia praw spółki, co oprócz oczywistych uprawnień i obowiązków z art. 201 § 1 </w:t>
      </w:r>
      <w:proofErr w:type="spellStart"/>
      <w:r>
        <w:rPr>
          <w:rStyle w:val="TekstpodstawowyZnak"/>
          <w:rFonts w:eastAsiaTheme="minorHAnsi"/>
          <w:bCs/>
          <w:sz w:val="24"/>
          <w:szCs w:val="24"/>
        </w:rPr>
        <w:t>k.s.h</w:t>
      </w:r>
      <w:proofErr w:type="spellEnd"/>
      <w:r>
        <w:rPr>
          <w:rStyle w:val="TekstpodstawowyZnak"/>
          <w:rFonts w:eastAsiaTheme="minorHAnsi"/>
          <w:bCs/>
          <w:sz w:val="24"/>
          <w:szCs w:val="24"/>
        </w:rPr>
        <w:t>. zostało jeszcze umownie rozszerzone w zakresie § 25 umowy.</w:t>
      </w:r>
    </w:p>
    <w:p w:rsidR="006C2E2F" w:rsidRDefault="00D86529">
      <w:pPr>
        <w:widowControl w:val="0"/>
        <w:tabs>
          <w:tab w:val="left" w:pos="709"/>
        </w:tabs>
        <w:spacing w:before="240" w:after="0" w:line="360" w:lineRule="auto"/>
        <w:ind w:firstLine="567"/>
        <w:jc w:val="both"/>
        <w:rPr>
          <w:rStyle w:val="TekstpodstawowyZnak"/>
          <w:rFonts w:eastAsiaTheme="minorHAnsi"/>
          <w:bCs/>
          <w:sz w:val="24"/>
          <w:szCs w:val="24"/>
        </w:rPr>
      </w:pPr>
      <w:r>
        <w:rPr>
          <w:rStyle w:val="TekstpodstawowyZnak"/>
          <w:rFonts w:eastAsiaTheme="minorHAnsi"/>
          <w:bCs/>
          <w:sz w:val="24"/>
          <w:szCs w:val="24"/>
        </w:rPr>
        <w:t xml:space="preserve">Reasumując, w oparciu o dokonane </w:t>
      </w:r>
      <w:r>
        <w:rPr>
          <w:rStyle w:val="TekstpodstawowyZnak"/>
          <w:rFonts w:eastAsiaTheme="minorHAnsi"/>
          <w:bCs/>
          <w:sz w:val="24"/>
          <w:szCs w:val="24"/>
        </w:rPr>
        <w:t>ustalenia faktyczne i wskazaną ocenę, to prawo do reprezentacji i prowadzenia spraw EŻ oraz nadzór nad nią pozostaje w pełnej gestii PZM. Jest to wynikiem posiadania przez PZM większości udziałów w kapitale zakładowym i osobistych uprawnień w umowie spółki</w:t>
      </w:r>
      <w:r>
        <w:rPr>
          <w:rStyle w:val="TekstpodstawowyZnak"/>
          <w:rFonts w:eastAsiaTheme="minorHAnsi"/>
          <w:bCs/>
          <w:sz w:val="24"/>
          <w:szCs w:val="24"/>
        </w:rPr>
        <w:t xml:space="preserve"> EŻ. Prezes UOKiK przyjął błędne ustalenia faktyczne w tym zakresie i nie ocenił dokumentów ustrojowych tej spółki w związku z regulacjami </w:t>
      </w:r>
      <w:proofErr w:type="spellStart"/>
      <w:r>
        <w:rPr>
          <w:rStyle w:val="TekstpodstawowyZnak"/>
          <w:rFonts w:eastAsiaTheme="minorHAnsi"/>
          <w:bCs/>
          <w:sz w:val="24"/>
          <w:szCs w:val="24"/>
        </w:rPr>
        <w:t>k.s.h</w:t>
      </w:r>
      <w:proofErr w:type="spellEnd"/>
      <w:r>
        <w:rPr>
          <w:rStyle w:val="TekstpodstawowyZnak"/>
          <w:rFonts w:eastAsiaTheme="minorHAnsi"/>
          <w:bCs/>
          <w:sz w:val="24"/>
          <w:szCs w:val="24"/>
        </w:rPr>
        <w:t xml:space="preserve">. a także szczególną rolą EŻ, która jest powoływana w wyniku obowiązku ustawowego i realizuje cele wynikające z </w:t>
      </w:r>
      <w:r>
        <w:rPr>
          <w:rStyle w:val="TekstpodstawowyZnak"/>
          <w:rFonts w:eastAsiaTheme="minorHAnsi"/>
          <w:bCs/>
          <w:sz w:val="24"/>
          <w:szCs w:val="24"/>
        </w:rPr>
        <w:t>obowiązkowej umowy o zarządzanie akceptowanej każdorazowo przez ministra właściwego do spraw kultury fizycznej (jw. art. 15 ust. 2 i 4 ustawy o sporcie). Należy stwierdzić, że wniosek organu o uznaniu istnienia porozumienia był konsekwencją i wynikiem isto</w:t>
      </w:r>
      <w:r>
        <w:rPr>
          <w:rStyle w:val="TekstpodstawowyZnak"/>
          <w:rFonts w:eastAsiaTheme="minorHAnsi"/>
          <w:bCs/>
          <w:sz w:val="24"/>
          <w:szCs w:val="24"/>
        </w:rPr>
        <w:t>tnego błędu w ustaleniach organu, co do wielkości posiadanych przez PZM udziałów w kapitale zakładowym EŻ i brakiem wszechstronnych ustaleń statusu tych podmiotów w oparciu o ich statut i umowę spółki. Jeżeli bowiem Prezes UOKiK bezpodstawnie (dokonując ty</w:t>
      </w:r>
      <w:r>
        <w:rPr>
          <w:rStyle w:val="TekstpodstawowyZnak"/>
          <w:rFonts w:eastAsiaTheme="minorHAnsi"/>
          <w:bCs/>
          <w:sz w:val="24"/>
          <w:szCs w:val="24"/>
        </w:rPr>
        <w:t>lko matematycznego podzielenia wartości wpisanych w KRS) ustalił, że PZM ma 44,4% udziałów, to konsekwentnie przyjął brak większości udziałów. Te zaś prawidłowo wynosiły 58,29% a pozostałe udziały są rozproszone. Zastosowane przez organ regulacje zatem nie</w:t>
      </w:r>
      <w:r>
        <w:rPr>
          <w:rStyle w:val="TekstpodstawowyZnak"/>
          <w:rFonts w:eastAsiaTheme="minorHAnsi"/>
          <w:bCs/>
          <w:sz w:val="24"/>
          <w:szCs w:val="24"/>
        </w:rPr>
        <w:t xml:space="preserve"> miały oparcia w dokonanych przez organ ustaleniach.</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shd w:val="clear" w:color="auto" w:fill="FFFFFF"/>
        </w:rPr>
      </w:pPr>
      <w:r>
        <w:rPr>
          <w:rStyle w:val="TekstpodstawowyZnak"/>
          <w:rFonts w:eastAsiaTheme="minorHAnsi"/>
          <w:bCs/>
          <w:sz w:val="24"/>
          <w:szCs w:val="24"/>
        </w:rPr>
        <w:t>Mając na uwadze już przedstawione wywody, to nie budzi wątpliwości także stron w ich stanowiskach, że pojęcie jednolitego organizmu gospodarczego na gruncie prawa krajowego nierozerwalnie łączy się ze zd</w:t>
      </w:r>
      <w:r>
        <w:rPr>
          <w:rStyle w:val="TekstpodstawowyZnak"/>
          <w:rFonts w:eastAsiaTheme="minorHAnsi"/>
          <w:bCs/>
          <w:sz w:val="24"/>
          <w:szCs w:val="24"/>
        </w:rPr>
        <w:t xml:space="preserve">efiniowanym w przepisie art. 4 pkt 14) </w:t>
      </w:r>
      <w:proofErr w:type="spellStart"/>
      <w:r>
        <w:rPr>
          <w:rStyle w:val="TekstpodstawowyZnak"/>
          <w:rFonts w:eastAsiaTheme="minorHAnsi"/>
          <w:bCs/>
          <w:sz w:val="24"/>
          <w:szCs w:val="24"/>
        </w:rPr>
        <w:t>uokik</w:t>
      </w:r>
      <w:proofErr w:type="spellEnd"/>
      <w:r>
        <w:rPr>
          <w:rStyle w:val="TekstpodstawowyZnak"/>
          <w:rFonts w:eastAsiaTheme="minorHAnsi"/>
          <w:bCs/>
          <w:sz w:val="24"/>
          <w:szCs w:val="24"/>
        </w:rPr>
        <w:t xml:space="preserve"> terminem grupy kapitałowej. W zacytowanych komentarzach, także przez odwołujących i nie podważonych przez pozwanego wskazuje się w aspekcie tzw. j</w:t>
      </w:r>
      <w:r>
        <w:rPr>
          <w:rStyle w:val="TekstpodstawowyZnak"/>
          <w:rFonts w:eastAsiaTheme="minorHAnsi"/>
          <w:bCs/>
          <w:iCs/>
          <w:sz w:val="24"/>
          <w:szCs w:val="24"/>
        </w:rPr>
        <w:t xml:space="preserve">ednolitego podmiotu gospodarczego (single </w:t>
      </w:r>
      <w:proofErr w:type="spellStart"/>
      <w:r>
        <w:rPr>
          <w:rStyle w:val="TekstpodstawowyZnak"/>
          <w:rFonts w:eastAsiaTheme="minorHAnsi"/>
          <w:bCs/>
          <w:iCs/>
          <w:sz w:val="24"/>
          <w:szCs w:val="24"/>
        </w:rPr>
        <w:t>economic</w:t>
      </w:r>
      <w:proofErr w:type="spellEnd"/>
      <w:r>
        <w:rPr>
          <w:rStyle w:val="TekstpodstawowyZnak"/>
          <w:rFonts w:eastAsiaTheme="minorHAnsi"/>
          <w:bCs/>
          <w:iCs/>
          <w:sz w:val="24"/>
          <w:szCs w:val="24"/>
        </w:rPr>
        <w:t xml:space="preserve"> unit), że przy</w:t>
      </w:r>
      <w:r>
        <w:rPr>
          <w:rStyle w:val="TekstpodstawowyZnak"/>
          <w:rFonts w:eastAsiaTheme="minorHAnsi"/>
          <w:bCs/>
          <w:iCs/>
          <w:sz w:val="24"/>
          <w:szCs w:val="24"/>
        </w:rPr>
        <w:t xml:space="preserve">należność do grupy kapitałowej ma wpływ na ocenę rynkowych </w:t>
      </w:r>
      <w:proofErr w:type="spellStart"/>
      <w:r>
        <w:rPr>
          <w:rStyle w:val="TekstpodstawowyZnak"/>
          <w:rFonts w:eastAsiaTheme="minorHAnsi"/>
          <w:bCs/>
          <w:iCs/>
          <w:sz w:val="24"/>
          <w:szCs w:val="24"/>
        </w:rPr>
        <w:lastRenderedPageBreak/>
        <w:t>zachowań</w:t>
      </w:r>
      <w:proofErr w:type="spellEnd"/>
      <w:r>
        <w:rPr>
          <w:rStyle w:val="TekstpodstawowyZnak"/>
          <w:rFonts w:eastAsiaTheme="minorHAnsi"/>
          <w:bCs/>
          <w:iCs/>
          <w:sz w:val="24"/>
          <w:szCs w:val="24"/>
        </w:rPr>
        <w:t xml:space="preserve"> takich przedsiębiorców - co do zasady porozumienia zawierane przez przedsiębiorców należących do jednej grupy kapitałowej nie podlegają zakazowi przewidzianemu w art. 6. Uznaje się bowiem,</w:t>
      </w:r>
      <w:r>
        <w:rPr>
          <w:rStyle w:val="TekstpodstawowyZnak"/>
          <w:rFonts w:eastAsiaTheme="minorHAnsi"/>
          <w:bCs/>
          <w:iCs/>
          <w:sz w:val="24"/>
          <w:szCs w:val="24"/>
        </w:rPr>
        <w:t xml:space="preserve"> że przedsiębiorcy zależni od innego przedsiębiorcy (przedsiębiorcy dominującego - zob. komentarz art. 4 pkt 3) mają ograniczoną swobodę </w:t>
      </w:r>
      <w:proofErr w:type="spellStart"/>
      <w:r>
        <w:rPr>
          <w:rStyle w:val="TekstpodstawowyZnak"/>
          <w:rFonts w:eastAsiaTheme="minorHAnsi"/>
          <w:bCs/>
          <w:iCs/>
          <w:sz w:val="24"/>
          <w:szCs w:val="24"/>
        </w:rPr>
        <w:t>zachowań</w:t>
      </w:r>
      <w:proofErr w:type="spellEnd"/>
      <w:r>
        <w:rPr>
          <w:rStyle w:val="TekstpodstawowyZnak"/>
          <w:rFonts w:eastAsiaTheme="minorHAnsi"/>
          <w:bCs/>
          <w:iCs/>
          <w:sz w:val="24"/>
          <w:szCs w:val="24"/>
        </w:rPr>
        <w:t xml:space="preserve"> rynkowych.</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W ocenie Sądu, </w:t>
      </w:r>
      <w:r>
        <w:rPr>
          <w:rStyle w:val="TekstpodstawowyZnak"/>
          <w:rFonts w:eastAsiaTheme="minorHAnsi"/>
          <w:bCs/>
          <w:sz w:val="24"/>
          <w:szCs w:val="24"/>
        </w:rPr>
        <w:t>PZM i EŻ tworzą jednolity organizm gospodarczy i w konsekwencji bezpodstawnym było z</w:t>
      </w:r>
      <w:r>
        <w:rPr>
          <w:rStyle w:val="TekstpodstawowyZnak"/>
          <w:rFonts w:eastAsiaTheme="minorHAnsi"/>
          <w:bCs/>
          <w:sz w:val="24"/>
          <w:szCs w:val="24"/>
        </w:rPr>
        <w:t xml:space="preserve">astosowanie przepisów art. 6 ust. 1 pkt 1) </w:t>
      </w:r>
      <w:proofErr w:type="spellStart"/>
      <w:r>
        <w:rPr>
          <w:rStyle w:val="TekstpodstawowyZnak"/>
          <w:rFonts w:eastAsiaTheme="minorHAnsi"/>
          <w:bCs/>
          <w:sz w:val="24"/>
          <w:szCs w:val="24"/>
        </w:rPr>
        <w:t>uokik</w:t>
      </w:r>
      <w:proofErr w:type="spellEnd"/>
      <w:r>
        <w:rPr>
          <w:rStyle w:val="TekstpodstawowyZnak"/>
          <w:rFonts w:eastAsiaTheme="minorHAnsi"/>
          <w:bCs/>
          <w:sz w:val="24"/>
          <w:szCs w:val="24"/>
        </w:rPr>
        <w:t xml:space="preserve"> oraz 101 ust. 1 lit. a) TFUE do oceny rzekomo zawartego przez te podmioty porozumienia. Biorąc pod uwagę, że porozumienia zawarte przez podmioty tworzące jeden organizm gospodarczy nie wchodzą w zakres zasto</w:t>
      </w:r>
      <w:r>
        <w:rPr>
          <w:rStyle w:val="TekstpodstawowyZnak"/>
          <w:rFonts w:eastAsiaTheme="minorHAnsi"/>
          <w:bCs/>
          <w:sz w:val="24"/>
          <w:szCs w:val="24"/>
        </w:rPr>
        <w:t>sowania powołanych przepisów, decyzja nie miała oparcia w powołanych w niej regulacjach.</w:t>
      </w:r>
    </w:p>
    <w:p w:rsidR="006C2E2F" w:rsidRDefault="00D86529">
      <w:pPr>
        <w:widowControl w:val="0"/>
        <w:tabs>
          <w:tab w:val="left" w:pos="709"/>
        </w:tabs>
        <w:spacing w:before="240" w:after="0" w:line="360" w:lineRule="auto"/>
        <w:ind w:firstLine="567"/>
        <w:jc w:val="both"/>
        <w:rPr>
          <w:rStyle w:val="TekstpodstawowyZnak"/>
          <w:rFonts w:eastAsiaTheme="minorHAnsi"/>
          <w:bCs/>
          <w:sz w:val="24"/>
          <w:szCs w:val="24"/>
        </w:rPr>
      </w:pPr>
      <w:r>
        <w:rPr>
          <w:rFonts w:ascii="Times New Roman" w:hAnsi="Times New Roman" w:cs="Times New Roman"/>
          <w:bCs/>
          <w:sz w:val="24"/>
          <w:szCs w:val="24"/>
          <w:shd w:val="clear" w:color="auto" w:fill="FFFFFF"/>
        </w:rPr>
        <w:t>Odnosząc się jeszcze do stanowiska pozwanego, to Sąd zwraca uwagę ponad to co już wskazano, że w decyzji brak jest jednak stwierdzenia naruszenia w sposób tożsamy z sz</w:t>
      </w:r>
      <w:r>
        <w:rPr>
          <w:rFonts w:ascii="Times New Roman" w:hAnsi="Times New Roman" w:cs="Times New Roman"/>
          <w:bCs/>
          <w:sz w:val="24"/>
          <w:szCs w:val="24"/>
          <w:shd w:val="clear" w:color="auto" w:fill="FFFFFF"/>
        </w:rPr>
        <w:t xml:space="preserve">erokim opisem zawartym w uzasadnieniu decyzji, w którym jest mowa o tym, że stwierdzono naruszenia </w:t>
      </w:r>
      <w:bookmarkStart w:id="5" w:name="mip80291758"/>
      <w:bookmarkEnd w:id="5"/>
      <w:r>
        <w:rPr>
          <w:rFonts w:ascii="Times New Roman" w:hAnsi="Times New Roman" w:cs="Times New Roman"/>
          <w:bCs/>
          <w:sz w:val="24"/>
          <w:szCs w:val="24"/>
          <w:shd w:val="clear" w:color="auto" w:fill="FFFFFF"/>
        </w:rPr>
        <w:t xml:space="preserve">polegające na </w:t>
      </w:r>
      <w:r>
        <w:rPr>
          <w:rStyle w:val="TekstpodstawowyZnak"/>
          <w:rFonts w:eastAsiaTheme="minorHAnsi"/>
          <w:bCs/>
          <w:sz w:val="24"/>
          <w:szCs w:val="24"/>
        </w:rPr>
        <w:t xml:space="preserve">podjęciu uchwały związku przedsiębiorców, a kolejno na współdziałaniu EŻ przy wydawaniu przedmiotowej uchwały przez PZM. Trzeba podkreślić, że </w:t>
      </w:r>
      <w:r>
        <w:rPr>
          <w:rStyle w:val="TekstpodstawowyZnak"/>
          <w:rFonts w:eastAsiaTheme="minorHAnsi"/>
          <w:bCs/>
          <w:sz w:val="24"/>
          <w:szCs w:val="24"/>
        </w:rPr>
        <w:t xml:space="preserve">Sąd nie rozpoznaje odwołania Prezesa UOKiK od wydanej decyzji, a odwołania PZM i EŻ, które według decyzji brały udział w porozumieniu ograniczającym konkurencje na rynku zakupu usług świadczonych przez profesjonalnych zawodników sportu żużlowego.  </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Style w:val="TekstpodstawowyZnak"/>
          <w:rFonts w:eastAsiaTheme="minorHAnsi"/>
          <w:bCs/>
          <w:sz w:val="24"/>
          <w:szCs w:val="24"/>
        </w:rPr>
        <w:t xml:space="preserve">Według </w:t>
      </w:r>
      <w:r>
        <w:rPr>
          <w:rStyle w:val="TekstpodstawowyZnak"/>
          <w:rFonts w:eastAsiaTheme="minorHAnsi"/>
          <w:bCs/>
          <w:sz w:val="24"/>
          <w:szCs w:val="24"/>
        </w:rPr>
        <w:t xml:space="preserve">organu mianowicie </w:t>
      </w:r>
      <w:r>
        <w:rPr>
          <w:rFonts w:ascii="Times New Roman" w:hAnsi="Times New Roman" w:cs="Times New Roman"/>
          <w:bCs/>
          <w:sz w:val="24"/>
          <w:szCs w:val="24"/>
        </w:rPr>
        <w:t>zgromadzony w sprawie materiał dowodowy wskazuje na to, że PZM ustalał maksymalne stawki wynagrodzeń, jakie kluby żużlowe mogą określać w kontraktach o profesjonalne uprawianie sportu żużlowego zawieranych z zawodnikami.  W ocenie Sądu ko</w:t>
      </w:r>
      <w:r>
        <w:rPr>
          <w:rFonts w:ascii="Times New Roman" w:hAnsi="Times New Roman" w:cs="Times New Roman"/>
          <w:bCs/>
          <w:sz w:val="24"/>
          <w:szCs w:val="24"/>
        </w:rPr>
        <w:t>nkretnie, to jak wskazuje się w uzasadnieniu decyzji, w świetle postanowień Regulaminu oraz Załącznika w wersjach obowiązujących co najmniej od 2013 r. (a dotyczących sezonu 2014) kontrakty zawierane przez kluby z zawodnikami mogą przewidywać dwa rodzaje w</w:t>
      </w:r>
      <w:r>
        <w:rPr>
          <w:rFonts w:ascii="Times New Roman" w:hAnsi="Times New Roman" w:cs="Times New Roman"/>
          <w:bCs/>
          <w:sz w:val="24"/>
          <w:szCs w:val="24"/>
        </w:rPr>
        <w:t>ynagrodzenia – wynagrodzenie stałe, które ustalane jest z góry w kontrakcie w określonej kwocie i wypłacane jest jednorazowo lub w uzgodnionych częściach (ratach) w trakcie obowiązywania kontraktu oraz wynagrodzenie zmienne, które przysługuje w przypadku z</w:t>
      </w:r>
      <w:r>
        <w:rPr>
          <w:rFonts w:ascii="Times New Roman" w:hAnsi="Times New Roman" w:cs="Times New Roman"/>
          <w:bCs/>
          <w:sz w:val="24"/>
          <w:szCs w:val="24"/>
        </w:rPr>
        <w:t>dobycia przez zawodnika stosownych punktów kwalifikacyjnych w trakcie trwania rozgrywek w danym sezonie. Obliczane jest ono jako iloczyn kwoty bazowej wskazanej w kontrakcie oraz liczby zdobytych punktów. Kontrakty profesjonalne mogą przewidywać obydwie te</w:t>
      </w:r>
      <w:r>
        <w:rPr>
          <w:rFonts w:ascii="Times New Roman" w:hAnsi="Times New Roman" w:cs="Times New Roman"/>
          <w:bCs/>
          <w:sz w:val="24"/>
          <w:szCs w:val="24"/>
        </w:rPr>
        <w:t xml:space="preserve"> formy wynagradzania zawodnika łącznie lub tylko jedną z nich. Rodzaj i wysokość wynagrodzenia są </w:t>
      </w:r>
      <w:r>
        <w:rPr>
          <w:rFonts w:ascii="Times New Roman" w:hAnsi="Times New Roman" w:cs="Times New Roman"/>
          <w:bCs/>
          <w:sz w:val="24"/>
          <w:szCs w:val="24"/>
        </w:rPr>
        <w:lastRenderedPageBreak/>
        <w:t>indywidualnie negocjowane przez zawodnika (lub agenta, który go reprezentuje) z klubem przed zawarciem kontraktu.</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Sąd precyzuje dalej, że niewątpliwie przedmi</w:t>
      </w:r>
      <w:r>
        <w:rPr>
          <w:rFonts w:ascii="Times New Roman" w:hAnsi="Times New Roman" w:cs="Times New Roman"/>
          <w:bCs/>
          <w:sz w:val="24"/>
          <w:szCs w:val="24"/>
        </w:rPr>
        <w:t>otowe regulacje odnośnie do wynagrodzeń zostały zawarte w § 16 oraz § 16a-16d Załącznika. Pierwsza regulacja dotycząca wysokości wynagrodzeń zawodników żużla zawarta w § 16 Załącznika w wersji obowiązującej od 4 listopada 2013 r. dotyczyła wyłącznie zawodn</w:t>
      </w:r>
      <w:r>
        <w:rPr>
          <w:rFonts w:ascii="Times New Roman" w:hAnsi="Times New Roman" w:cs="Times New Roman"/>
          <w:bCs/>
          <w:sz w:val="24"/>
          <w:szCs w:val="24"/>
        </w:rPr>
        <w:t>ików i klubów startujących w rozgrywkach o DMP. Kolejne wersje wprowadzały dalsze regulacje dotyczące wynagrodzeń. Dokumenty te opracowywane i przyjmowane były przez GKSŻ w wewnętrznym procesie decyzyjnym poprzez przyjęcie uchwały GKSŻ. Wszystkie wersje Re</w:t>
      </w:r>
      <w:r>
        <w:rPr>
          <w:rFonts w:ascii="Times New Roman" w:hAnsi="Times New Roman" w:cs="Times New Roman"/>
          <w:bCs/>
          <w:sz w:val="24"/>
          <w:szCs w:val="24"/>
        </w:rPr>
        <w:t>gulaminu i Załącznika począwszy od 2013 r., przyjmowane były przez GKSŻ jednomyślnie. W procesie tym brała udział również EŻ jako podmiot współuczestniczący w opracowaniu i uzgadniający postanowienia tych dokumentów – w zakresie, w jakim dotyczą Ekstraligi</w:t>
      </w:r>
      <w:r>
        <w:rPr>
          <w:rFonts w:ascii="Times New Roman" w:hAnsi="Times New Roman" w:cs="Times New Roman"/>
          <w:bCs/>
          <w:sz w:val="24"/>
          <w:szCs w:val="24"/>
        </w:rPr>
        <w:t xml:space="preserve"> Żużlowej. Zgodnie z łączącą PZM i EŻ umową o zarządzanie ligą zawodową każda zmiana przepisów dotyczących pośrednio lub bezpośrednio meczów Ekstraligi wymaga uzgodnienia z EŻ, a w przypadku braku takiego uzgodnienia obowiązują zasady dotychczasowe. Jednak</w:t>
      </w:r>
      <w:r>
        <w:rPr>
          <w:rFonts w:ascii="Times New Roman" w:hAnsi="Times New Roman" w:cs="Times New Roman"/>
          <w:bCs/>
          <w:sz w:val="24"/>
          <w:szCs w:val="24"/>
        </w:rPr>
        <w:t>owoż, jak wynika z decyzji i jej uzasadnienia, to nie działania klubów zrzeszonych w PZM, samego PZM i EŻ zostały uznane przez organ za praktykę ograniczającą konkurencję. Co więcej, Prezes UOKiK nie zweryfikował statusu PZM do tego stopnia, że nie ustalił</w:t>
      </w:r>
      <w:r>
        <w:rPr>
          <w:rFonts w:ascii="Times New Roman" w:hAnsi="Times New Roman" w:cs="Times New Roman"/>
          <w:bCs/>
          <w:sz w:val="24"/>
          <w:szCs w:val="24"/>
        </w:rPr>
        <w:t xml:space="preserve"> członków PZM, tak aby w ogóle było możliwe jednoznaczne określenie czy jest związkiem przedsiębiorców i co więcej było możliwe ustalenie i stwierdzenie - koordynację </w:t>
      </w:r>
      <w:proofErr w:type="spellStart"/>
      <w:r>
        <w:rPr>
          <w:rFonts w:ascii="Times New Roman" w:hAnsi="Times New Roman" w:cs="Times New Roman"/>
          <w:bCs/>
          <w:sz w:val="24"/>
          <w:szCs w:val="24"/>
        </w:rPr>
        <w:t>antykonkurencyjną</w:t>
      </w:r>
      <w:proofErr w:type="spellEnd"/>
      <w:r>
        <w:rPr>
          <w:rFonts w:ascii="Times New Roman" w:hAnsi="Times New Roman" w:cs="Times New Roman"/>
          <w:bCs/>
          <w:sz w:val="24"/>
          <w:szCs w:val="24"/>
        </w:rPr>
        <w:t xml:space="preserve"> jakich konkretnie podmiotów (klubów zrzeszonych w PZM) miałby wspierać </w:t>
      </w:r>
      <w:r>
        <w:rPr>
          <w:rFonts w:ascii="Times New Roman" w:hAnsi="Times New Roman" w:cs="Times New Roman"/>
          <w:bCs/>
          <w:sz w:val="24"/>
          <w:szCs w:val="24"/>
        </w:rPr>
        <w:t>PZM i EŻ.</w:t>
      </w:r>
    </w:p>
    <w:p w:rsidR="006C2E2F" w:rsidRDefault="00D86529">
      <w:pPr>
        <w:widowControl w:val="0"/>
        <w:tabs>
          <w:tab w:val="left" w:pos="709"/>
        </w:tabs>
        <w:spacing w:before="240" w:after="0" w:line="360" w:lineRule="auto"/>
        <w:ind w:firstLine="567"/>
        <w:jc w:val="both"/>
        <w:rPr>
          <w:rStyle w:val="TekstpodstawowyZnak"/>
          <w:rFonts w:eastAsiaTheme="minorHAnsi"/>
          <w:bCs/>
          <w:sz w:val="24"/>
          <w:szCs w:val="24"/>
        </w:rPr>
      </w:pPr>
      <w:r>
        <w:rPr>
          <w:rFonts w:ascii="Times New Roman" w:hAnsi="Times New Roman" w:cs="Times New Roman"/>
          <w:bCs/>
          <w:sz w:val="24"/>
          <w:szCs w:val="24"/>
        </w:rPr>
        <w:t>W tych okolicznościach najdalej</w:t>
      </w:r>
      <w:r>
        <w:rPr>
          <w:rStyle w:val="TekstpodstawowyZnak"/>
          <w:rFonts w:eastAsiaTheme="minorHAnsi"/>
          <w:bCs/>
          <w:sz w:val="24"/>
          <w:szCs w:val="24"/>
        </w:rPr>
        <w:t xml:space="preserve"> idący zarzut, dotyczący błędnego ustalenia przez organ, że PZM i EŻ nie stanowią jednej grupy kapitałowej i nie tworzą jednolitego organizmu gospodarczego okazał się skuteczny. W konsekwencji Prezes UOKiK bezpodsta</w:t>
      </w:r>
      <w:r>
        <w:rPr>
          <w:rStyle w:val="TekstpodstawowyZnak"/>
          <w:rFonts w:eastAsiaTheme="minorHAnsi"/>
          <w:bCs/>
          <w:sz w:val="24"/>
          <w:szCs w:val="24"/>
        </w:rPr>
        <w:t xml:space="preserve">wnie zastosował art. 6 ust. 1 pkt 1) </w:t>
      </w:r>
      <w:proofErr w:type="spellStart"/>
      <w:r>
        <w:rPr>
          <w:rStyle w:val="TekstpodstawowyZnak"/>
          <w:rFonts w:eastAsiaTheme="minorHAnsi"/>
          <w:bCs/>
          <w:sz w:val="24"/>
          <w:szCs w:val="24"/>
        </w:rPr>
        <w:t>uokik</w:t>
      </w:r>
      <w:proofErr w:type="spellEnd"/>
      <w:r>
        <w:rPr>
          <w:rStyle w:val="TekstpodstawowyZnak"/>
          <w:rFonts w:eastAsiaTheme="minorHAnsi"/>
          <w:bCs/>
          <w:sz w:val="24"/>
          <w:szCs w:val="24"/>
        </w:rPr>
        <w:t xml:space="preserve"> i art. 101 ust. 1 lit. a) TFUE do oceny rzekomego zawartego przez te podmioty porozumienia. </w:t>
      </w:r>
    </w:p>
    <w:p w:rsidR="006C2E2F" w:rsidRDefault="00D86529">
      <w:pPr>
        <w:widowControl w:val="0"/>
        <w:tabs>
          <w:tab w:val="left" w:pos="709"/>
        </w:tabs>
        <w:spacing w:before="240" w:after="0" w:line="360" w:lineRule="auto"/>
        <w:ind w:firstLine="567"/>
        <w:jc w:val="both"/>
        <w:rPr>
          <w:rFonts w:ascii="Times New Roman" w:hAnsi="Times New Roman" w:cs="Times New Roman"/>
          <w:bCs/>
          <w:sz w:val="24"/>
          <w:szCs w:val="24"/>
        </w:rPr>
      </w:pPr>
      <w:r>
        <w:rPr>
          <w:rStyle w:val="TekstpodstawowyZnak"/>
          <w:rFonts w:eastAsiaTheme="minorHAnsi"/>
          <w:bCs/>
          <w:sz w:val="24"/>
          <w:szCs w:val="24"/>
        </w:rPr>
        <w:t>Biorąc pod uwagę, że porozumienia zawarte przez podmioty tworzące jeden organizm gospodarczy nie wchodzą w zakres zastos</w:t>
      </w:r>
      <w:r>
        <w:rPr>
          <w:rStyle w:val="TekstpodstawowyZnak"/>
          <w:rFonts w:eastAsiaTheme="minorHAnsi"/>
          <w:bCs/>
          <w:sz w:val="24"/>
          <w:szCs w:val="24"/>
        </w:rPr>
        <w:t xml:space="preserve">owania ww. przepisów, to Sąd nie dokonywał oceny dalszych zarzutów. Warto jednak wskazać, że ustalenia faktyczne w oparciu o materiał dowodowy przedstawiony przez strony, w tym zgromadzony w postępowaniu administracyjnym potwierdzają, że </w:t>
      </w:r>
      <w:r>
        <w:rPr>
          <w:rStyle w:val="TekstpodstawowyZnak"/>
          <w:rFonts w:eastAsiaTheme="majorEastAsia"/>
          <w:bCs/>
          <w:sz w:val="24"/>
          <w:szCs w:val="24"/>
        </w:rPr>
        <w:t>działania PZM opis</w:t>
      </w:r>
      <w:r>
        <w:rPr>
          <w:rStyle w:val="TekstpodstawowyZnak"/>
          <w:rFonts w:eastAsiaTheme="majorEastAsia"/>
          <w:bCs/>
          <w:sz w:val="24"/>
          <w:szCs w:val="24"/>
        </w:rPr>
        <w:t xml:space="preserve">ane w uzasadnieniu decyzji nie wypełniały przesłanek udziału w porozumieniu lub uzgodnionej praktyce (świadomej </w:t>
      </w:r>
      <w:r>
        <w:rPr>
          <w:rStyle w:val="TekstpodstawowyZnak"/>
          <w:rFonts w:eastAsiaTheme="majorEastAsia"/>
          <w:bCs/>
          <w:sz w:val="24"/>
          <w:szCs w:val="24"/>
        </w:rPr>
        <w:lastRenderedPageBreak/>
        <w:t>koordynacji) z EŻ, a ewentualnie mogły być czynnościami podejmowanymi przez organy PZM w ramach ich uprawnień statutowych zgodnych z ustawą o sp</w:t>
      </w:r>
      <w:r>
        <w:rPr>
          <w:rStyle w:val="TekstpodstawowyZnak"/>
          <w:rFonts w:eastAsiaTheme="majorEastAsia"/>
          <w:bCs/>
          <w:sz w:val="24"/>
          <w:szCs w:val="24"/>
        </w:rPr>
        <w:t xml:space="preserve">orcie i </w:t>
      </w:r>
      <w:proofErr w:type="spellStart"/>
      <w:r>
        <w:rPr>
          <w:rStyle w:val="TekstpodstawowyZnak"/>
          <w:rFonts w:eastAsiaTheme="majorEastAsia"/>
          <w:bCs/>
          <w:sz w:val="24"/>
          <w:szCs w:val="24"/>
        </w:rPr>
        <w:t>Pr.stow</w:t>
      </w:r>
      <w:proofErr w:type="spellEnd"/>
      <w:r>
        <w:rPr>
          <w:rStyle w:val="TekstpodstawowyZnak"/>
          <w:rFonts w:eastAsiaTheme="majorEastAsia"/>
          <w:bCs/>
          <w:sz w:val="24"/>
          <w:szCs w:val="24"/>
        </w:rPr>
        <w:t xml:space="preserve">. Na marginesie, żaden organ nadzorczy stowarzyszeń ani też sąd rejestrowy nie zakwestionowały podejmowanych uchwał PZM, do którego w tym zakresie stosuje się przepisy </w:t>
      </w:r>
      <w:proofErr w:type="spellStart"/>
      <w:r>
        <w:rPr>
          <w:rStyle w:val="TekstpodstawowyZnak"/>
          <w:rFonts w:eastAsiaTheme="majorEastAsia"/>
          <w:bCs/>
          <w:sz w:val="24"/>
          <w:szCs w:val="24"/>
        </w:rPr>
        <w:t>Pr.stow</w:t>
      </w:r>
      <w:proofErr w:type="spellEnd"/>
      <w:r>
        <w:rPr>
          <w:rStyle w:val="TekstpodstawowyZnak"/>
          <w:rFonts w:eastAsiaTheme="majorEastAsia"/>
          <w:bCs/>
          <w:sz w:val="24"/>
          <w:szCs w:val="24"/>
        </w:rPr>
        <w:t xml:space="preserve">. o nadzorze. Regulamin i załącznik do Regulaminu jawią się zatem </w:t>
      </w:r>
      <w:r>
        <w:rPr>
          <w:rStyle w:val="TekstpodstawowyZnak"/>
          <w:rFonts w:eastAsiaTheme="majorEastAsia"/>
          <w:bCs/>
          <w:sz w:val="24"/>
          <w:szCs w:val="24"/>
        </w:rPr>
        <w:t>jako jednostronne, legalne i dopuszczalne prawnie decyzje PZM co do reguł organizacyjnych w sporcie żużlowym. Natomiast nawet w sytuacji roli EŻ w związku z umową o zarządzanie, to wobec ustaleń zależności PZM oraz EŻ nie są wobec siebie aktualnymi lub pot</w:t>
      </w:r>
      <w:r>
        <w:rPr>
          <w:rStyle w:val="TekstpodstawowyZnak"/>
          <w:rFonts w:eastAsiaTheme="majorEastAsia"/>
          <w:bCs/>
          <w:sz w:val="24"/>
          <w:szCs w:val="24"/>
        </w:rPr>
        <w:t>encjalnymi konkurentami oraz nie pozostają w relacji wertykalnej i tym samym nie mogło dojść pomiędzy nimi do zakreślonej decyzją cenowej zmowy konkurentów rynkowych.</w:t>
      </w:r>
    </w:p>
    <w:p w:rsidR="006C2E2F" w:rsidRDefault="00D86529">
      <w:pPr>
        <w:spacing w:before="24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Mając na uwadze powyższe ustalenia i ocenę, kontunuowanie postępowania administracyjnego </w:t>
      </w:r>
      <w:r>
        <w:rPr>
          <w:rFonts w:ascii="Times New Roman" w:hAnsi="Times New Roman" w:cs="Times New Roman"/>
          <w:bCs/>
          <w:sz w:val="24"/>
          <w:szCs w:val="24"/>
        </w:rPr>
        <w:t>i wydanie decyzji o wskazanej treści pomimo tego, że strony w trakcie postępowania antymonopolowego wykazały, że tworzą jedną grupę kapitałową oraz jeden organizm gospodarczy, skutkować musiało uchyleniem decyzji Prezesa UOKiK.</w:t>
      </w:r>
    </w:p>
    <w:p w:rsidR="006C2E2F" w:rsidRDefault="00D86529">
      <w:pPr>
        <w:spacing w:before="24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Z tych wszystkich względów, </w:t>
      </w:r>
      <w:r>
        <w:rPr>
          <w:rFonts w:ascii="Times New Roman" w:hAnsi="Times New Roman" w:cs="Times New Roman"/>
          <w:bCs/>
          <w:sz w:val="24"/>
          <w:szCs w:val="24"/>
        </w:rPr>
        <w:t>na podstawie art. 479</w:t>
      </w:r>
      <w:r>
        <w:rPr>
          <w:rFonts w:ascii="Times New Roman" w:hAnsi="Times New Roman" w:cs="Times New Roman"/>
          <w:bCs/>
          <w:sz w:val="24"/>
          <w:szCs w:val="24"/>
          <w:vertAlign w:val="superscript"/>
        </w:rPr>
        <w:t>31a</w:t>
      </w:r>
      <w:r>
        <w:rPr>
          <w:rFonts w:ascii="Times New Roman" w:hAnsi="Times New Roman" w:cs="Times New Roman"/>
          <w:bCs/>
          <w:sz w:val="24"/>
          <w:szCs w:val="24"/>
        </w:rPr>
        <w:t xml:space="preserve"> § 3 k.p.c., Sąd rozstrzygając w obu połączonych sprawach w pkt 1. wyroku uchylił decyzję zaskarżoną przez obu powodów. </w:t>
      </w:r>
    </w:p>
    <w:p w:rsidR="006C2E2F" w:rsidRDefault="00D86529">
      <w:pPr>
        <w:spacing w:before="24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O obowiązku zwrotu przez pozwanego, jako strony przegrywającej proces z </w:t>
      </w:r>
      <w:proofErr w:type="spellStart"/>
      <w:r>
        <w:rPr>
          <w:rFonts w:ascii="Times New Roman" w:hAnsi="Times New Roman" w:cs="Times New Roman"/>
          <w:bCs/>
          <w:sz w:val="24"/>
          <w:szCs w:val="24"/>
        </w:rPr>
        <w:t>odwołań</w:t>
      </w:r>
      <w:proofErr w:type="spellEnd"/>
      <w:r>
        <w:rPr>
          <w:rFonts w:ascii="Times New Roman" w:hAnsi="Times New Roman" w:cs="Times New Roman"/>
          <w:bCs/>
          <w:sz w:val="24"/>
          <w:szCs w:val="24"/>
        </w:rPr>
        <w:t xml:space="preserve"> zarówno PZM jak i EŻ, kosztów z</w:t>
      </w:r>
      <w:r>
        <w:rPr>
          <w:rFonts w:ascii="Times New Roman" w:hAnsi="Times New Roman" w:cs="Times New Roman"/>
          <w:bCs/>
          <w:sz w:val="24"/>
          <w:szCs w:val="24"/>
        </w:rPr>
        <w:t xml:space="preserve">astępstwa procesowego poniesionych przez obu powodów, którzy proces wygrali, Sąd orzekł jak w punkcie 2. i 3. wyroku w oparciu o art. </w:t>
      </w:r>
      <w:r>
        <w:rPr>
          <w:rFonts w:ascii="Times New Roman" w:eastAsia="Times New Roman" w:hAnsi="Times New Roman" w:cs="Times New Roman"/>
          <w:bCs/>
          <w:sz w:val="24"/>
          <w:szCs w:val="24"/>
        </w:rPr>
        <w:t>108 § 1 k.p.c., zgodnie z art. 98 § 1 k.p.c. Koszty zastępstwa procesowego obu powodów zasądzono na ich rzecz osobno w wys</w:t>
      </w:r>
      <w:r>
        <w:rPr>
          <w:rFonts w:ascii="Times New Roman" w:eastAsia="Times New Roman" w:hAnsi="Times New Roman" w:cs="Times New Roman"/>
          <w:bCs/>
          <w:sz w:val="24"/>
          <w:szCs w:val="24"/>
        </w:rPr>
        <w:t>okości 720 zł na podstawie § 14 ust. 2 pkt 1 rozporządzenia Ministra Sprawiedliwości z 22 października 2015 r. w sprawie opłat za czynności radców prawnych z odsetkami ustawowymi za opóźnienie w spełnieniu świadczenia pieniężnego</w:t>
      </w:r>
      <w:r>
        <w:rPr>
          <w:rFonts w:ascii="Times New Roman" w:hAnsi="Times New Roman" w:cs="Times New Roman"/>
          <w:bCs/>
          <w:sz w:val="24"/>
          <w:szCs w:val="24"/>
        </w:rPr>
        <w:t>, za czas od dnia uprawomoc</w:t>
      </w:r>
      <w:r>
        <w:rPr>
          <w:rFonts w:ascii="Times New Roman" w:hAnsi="Times New Roman" w:cs="Times New Roman"/>
          <w:bCs/>
          <w:sz w:val="24"/>
          <w:szCs w:val="24"/>
        </w:rPr>
        <w:t>nienia się tego orzeczenia, którym je zasądzono do dnia zapłaty (art. 98 § 1</w:t>
      </w:r>
      <w:r>
        <w:rPr>
          <w:rFonts w:ascii="Times New Roman" w:hAnsi="Times New Roman" w:cs="Times New Roman"/>
          <w:bCs/>
          <w:sz w:val="24"/>
          <w:szCs w:val="24"/>
          <w:vertAlign w:val="superscript"/>
        </w:rPr>
        <w:t>1</w:t>
      </w:r>
      <w:r>
        <w:rPr>
          <w:rFonts w:ascii="Times New Roman" w:hAnsi="Times New Roman" w:cs="Times New Roman"/>
          <w:bCs/>
          <w:sz w:val="24"/>
          <w:szCs w:val="24"/>
        </w:rPr>
        <w:t xml:space="preserve"> k.p.c.).</w:t>
      </w:r>
    </w:p>
    <w:p w:rsidR="006C2E2F" w:rsidRDefault="00D86529">
      <w:pPr>
        <w:spacing w:before="240" w:line="360" w:lineRule="auto"/>
        <w:jc w:val="center"/>
        <w:rPr>
          <w:rFonts w:ascii="Times New Roman" w:hAnsi="Times New Roman" w:cs="Times New Roman"/>
          <w:bCs/>
          <w:i/>
          <w:iCs/>
          <w:sz w:val="24"/>
          <w:szCs w:val="24"/>
        </w:rPr>
      </w:pPr>
      <w:r>
        <w:rPr>
          <w:rFonts w:ascii="Times New Roman" w:hAnsi="Times New Roman" w:cs="Times New Roman"/>
          <w:bCs/>
          <w:i/>
          <w:iCs/>
          <w:sz w:val="24"/>
          <w:szCs w:val="24"/>
        </w:rPr>
        <w:t xml:space="preserve">sędzia Anna </w:t>
      </w:r>
      <w:proofErr w:type="spellStart"/>
      <w:r>
        <w:rPr>
          <w:rFonts w:ascii="Times New Roman" w:hAnsi="Times New Roman" w:cs="Times New Roman"/>
          <w:bCs/>
          <w:i/>
          <w:iCs/>
          <w:sz w:val="24"/>
          <w:szCs w:val="24"/>
        </w:rPr>
        <w:t>Gałas</w:t>
      </w:r>
      <w:proofErr w:type="spellEnd"/>
    </w:p>
    <w:sectPr w:rsidR="006C2E2F">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2E2F" w:rsidRDefault="00D86529">
      <w:pPr>
        <w:spacing w:after="0" w:line="240" w:lineRule="auto"/>
      </w:pPr>
      <w:r>
        <w:separator/>
      </w:r>
    </w:p>
  </w:endnote>
  <w:endnote w:type="continuationSeparator" w:id="0">
    <w:p w:rsidR="006C2E2F" w:rsidRDefault="00D86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3991184"/>
      <w:docPartList>
        <w:docPartGallery w:val="Quick Parts"/>
        <w:docPartUnique/>
      </w:docPartList>
    </w:sdtPr>
    <w:sdtEndPr/>
    <w:sdtContent>
      <w:p w:rsidR="006C2E2F" w:rsidRDefault="00D86529">
        <w:pPr>
          <w:pStyle w:val="Stopka"/>
          <w:jc w:val="right"/>
        </w:pPr>
        <w:r>
          <w:fldChar w:fldCharType="begin"/>
        </w:r>
        <w:r>
          <w:instrText>PAGE   \* MERGEFORMAT</w:instrText>
        </w:r>
        <w:r>
          <w:fldChar w:fldCharType="separate"/>
        </w:r>
        <w:r>
          <w:rPr>
            <w:noProof/>
          </w:rPr>
          <w:t>#</w:t>
        </w:r>
        <w:r>
          <w:fldChar w:fldCharType="end"/>
        </w:r>
      </w:p>
    </w:sdtContent>
  </w:sdt>
  <w:p w:rsidR="006C2E2F" w:rsidRDefault="006C2E2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2E2F" w:rsidRDefault="00D86529">
      <w:pPr>
        <w:spacing w:after="0" w:line="240" w:lineRule="auto"/>
      </w:pPr>
      <w:r>
        <w:separator/>
      </w:r>
    </w:p>
  </w:footnote>
  <w:footnote w:type="continuationSeparator" w:id="0">
    <w:p w:rsidR="006C2E2F" w:rsidRDefault="00D865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0522"/>
    <w:multiLevelType w:val="hybridMultilevel"/>
    <w:tmpl w:val="13D4FE42"/>
    <w:lvl w:ilvl="0" w:tplc="958A4EDE">
      <w:start w:val="1"/>
      <w:numFmt w:val="lowerLetter"/>
      <w:lvlText w:val="%1)"/>
      <w:lvlJc w:val="left"/>
      <w:pPr>
        <w:ind w:left="1210" w:hanging="360"/>
      </w:pPr>
      <w:rPr>
        <w:rFonts w:hint="default"/>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1" w15:restartNumberingAfterBreak="0">
    <w:nsid w:val="04E62882"/>
    <w:multiLevelType w:val="hybridMultilevel"/>
    <w:tmpl w:val="5FB4CF52"/>
    <w:lvl w:ilvl="0" w:tplc="EDF0B898">
      <w:start w:val="1"/>
      <w:numFmt w:val="lowerLetter"/>
      <w:lvlText w:val="%1)"/>
      <w:lvlJc w:val="left"/>
      <w:pPr>
        <w:ind w:left="1065" w:hanging="705"/>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6260443"/>
    <w:multiLevelType w:val="hybridMultilevel"/>
    <w:tmpl w:val="8A208372"/>
    <w:lvl w:ilvl="0" w:tplc="FC528604">
      <w:start w:val="1"/>
      <w:numFmt w:val="lowerLetter"/>
      <w:lvlText w:val="%1)"/>
      <w:lvlJc w:val="left"/>
      <w:pPr>
        <w:ind w:left="1145" w:hanging="360"/>
      </w:pPr>
      <w:rPr>
        <w:rFonts w:hint="default"/>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3" w15:restartNumberingAfterBreak="0">
    <w:nsid w:val="089C6E4E"/>
    <w:multiLevelType w:val="hybridMultilevel"/>
    <w:tmpl w:val="102A7E54"/>
    <w:lvl w:ilvl="0" w:tplc="802823D6">
      <w:start w:val="1"/>
      <w:numFmt w:val="decimal"/>
      <w:lvlText w:val="(%1)"/>
      <w:lvlJc w:val="left"/>
      <w:rPr>
        <w:rFonts w:cs="Times New Roman"/>
        <w:b w:val="0"/>
        <w:i w:val="0"/>
        <w:sz w:val="24"/>
        <w:szCs w:val="24"/>
      </w:rPr>
    </w:lvl>
    <w:lvl w:ilvl="1" w:tplc="04150011">
      <w:start w:val="1"/>
      <w:numFmt w:val="decimal"/>
      <w:lvlText w:val="%2)"/>
      <w:lvlJc w:val="left"/>
      <w:pPr>
        <w:ind w:left="1440" w:hanging="360"/>
      </w:pPr>
      <w:rPr>
        <w:rFonts w:cs="Times New Roman"/>
      </w:rPr>
    </w:lvl>
    <w:lvl w:ilvl="2" w:tplc="04150011">
      <w:start w:val="1"/>
      <w:numFmt w:val="decimal"/>
      <w:lvlText w:val="%3)"/>
      <w:lvlJc w:val="left"/>
      <w:pPr>
        <w:ind w:left="2160" w:hanging="180"/>
      </w:pPr>
      <w:rPr>
        <w:rFonts w:cs="Times New Roman"/>
      </w:rPr>
    </w:lvl>
    <w:lvl w:ilvl="3" w:tplc="75D26EC2">
      <w:start w:val="1"/>
      <w:numFmt w:val="upperLetter"/>
      <w:lvlText w:val="%4)"/>
      <w:lvlJc w:val="left"/>
      <w:pPr>
        <w:ind w:left="2895" w:hanging="375"/>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92B6453"/>
    <w:multiLevelType w:val="hybridMultilevel"/>
    <w:tmpl w:val="4DF6411A"/>
    <w:lvl w:ilvl="0" w:tplc="EDF0B898">
      <w:start w:val="1"/>
      <w:numFmt w:val="lowerLetter"/>
      <w:lvlText w:val="%1)"/>
      <w:lvlJc w:val="left"/>
      <w:pPr>
        <w:ind w:left="1145" w:hanging="360"/>
      </w:pPr>
      <w:rPr>
        <w:rFonts w:hint="default"/>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5" w15:restartNumberingAfterBreak="0">
    <w:nsid w:val="0CA079A4"/>
    <w:multiLevelType w:val="hybridMultilevel"/>
    <w:tmpl w:val="7EF63E8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EA512F5"/>
    <w:multiLevelType w:val="hybridMultilevel"/>
    <w:tmpl w:val="738C6178"/>
    <w:lvl w:ilvl="0" w:tplc="863C1BAA">
      <w:start w:val="1"/>
      <w:numFmt w:val="lowerLetter"/>
      <w:lvlText w:val="%1)"/>
      <w:lvlJc w:val="left"/>
      <w:pPr>
        <w:ind w:left="1065" w:hanging="705"/>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2270A06"/>
    <w:multiLevelType w:val="hybridMultilevel"/>
    <w:tmpl w:val="32F2CC96"/>
    <w:lvl w:ilvl="0" w:tplc="04150017">
      <w:start w:val="1"/>
      <w:numFmt w:val="lowerLetter"/>
      <w:lvlText w:val="%1)"/>
      <w:lvlJc w:val="left"/>
      <w:pPr>
        <w:ind w:left="1145" w:hanging="360"/>
      </w:pPr>
    </w:lvl>
    <w:lvl w:ilvl="1" w:tplc="FC528604">
      <w:start w:val="1"/>
      <w:numFmt w:val="lowerLetter"/>
      <w:lvlText w:val="%2)"/>
      <w:lvlJc w:val="left"/>
      <w:pPr>
        <w:ind w:left="1865" w:hanging="360"/>
      </w:pPr>
      <w:rPr>
        <w:rFonts w:hint="default"/>
      </w:r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8" w15:restartNumberingAfterBreak="0">
    <w:nsid w:val="13572280"/>
    <w:multiLevelType w:val="hybridMultilevel"/>
    <w:tmpl w:val="D12633C4"/>
    <w:lvl w:ilvl="0" w:tplc="863C1BAA">
      <w:start w:val="1"/>
      <w:numFmt w:val="lowerLetter"/>
      <w:lvlText w:val="%1)"/>
      <w:lvlJc w:val="left"/>
      <w:pPr>
        <w:ind w:left="1065" w:hanging="705"/>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695149B"/>
    <w:multiLevelType w:val="hybridMultilevel"/>
    <w:tmpl w:val="3A74C5A2"/>
    <w:lvl w:ilvl="0" w:tplc="6BE0FC56">
      <w:start w:val="1"/>
      <w:numFmt w:val="lowerRoman"/>
      <w:lvlText w:val="%1)"/>
      <w:lvlJc w:val="right"/>
      <w:pPr>
        <w:ind w:left="1206" w:hanging="360"/>
      </w:pPr>
      <w:rPr>
        <w:rFonts w:hint="default"/>
      </w:rPr>
    </w:lvl>
    <w:lvl w:ilvl="1" w:tplc="04150019">
      <w:start w:val="1"/>
      <w:numFmt w:val="lowerLetter"/>
      <w:lvlText w:val="%2."/>
      <w:lvlJc w:val="left"/>
      <w:pPr>
        <w:ind w:left="1926" w:hanging="360"/>
      </w:pPr>
    </w:lvl>
    <w:lvl w:ilvl="2" w:tplc="0415001B">
      <w:start w:val="1"/>
      <w:numFmt w:val="lowerRoman"/>
      <w:lvlText w:val="%3."/>
      <w:lvlJc w:val="right"/>
      <w:pPr>
        <w:ind w:left="2646" w:hanging="180"/>
      </w:pPr>
    </w:lvl>
    <w:lvl w:ilvl="3" w:tplc="0415000F">
      <w:start w:val="1"/>
      <w:numFmt w:val="decimal"/>
      <w:lvlText w:val="%4."/>
      <w:lvlJc w:val="left"/>
      <w:pPr>
        <w:ind w:left="3366" w:hanging="360"/>
      </w:pPr>
    </w:lvl>
    <w:lvl w:ilvl="4" w:tplc="04150019">
      <w:start w:val="1"/>
      <w:numFmt w:val="lowerLetter"/>
      <w:lvlText w:val="%5."/>
      <w:lvlJc w:val="left"/>
      <w:pPr>
        <w:ind w:left="4086" w:hanging="360"/>
      </w:pPr>
    </w:lvl>
    <w:lvl w:ilvl="5" w:tplc="0415001B">
      <w:start w:val="1"/>
      <w:numFmt w:val="lowerRoman"/>
      <w:lvlText w:val="%6."/>
      <w:lvlJc w:val="right"/>
      <w:pPr>
        <w:ind w:left="4806" w:hanging="180"/>
      </w:pPr>
    </w:lvl>
    <w:lvl w:ilvl="6" w:tplc="0415000F">
      <w:start w:val="1"/>
      <w:numFmt w:val="decimal"/>
      <w:lvlText w:val="%7."/>
      <w:lvlJc w:val="left"/>
      <w:pPr>
        <w:ind w:left="5526" w:hanging="360"/>
      </w:pPr>
    </w:lvl>
    <w:lvl w:ilvl="7" w:tplc="04150019">
      <w:start w:val="1"/>
      <w:numFmt w:val="lowerLetter"/>
      <w:lvlText w:val="%8."/>
      <w:lvlJc w:val="left"/>
      <w:pPr>
        <w:ind w:left="6246" w:hanging="360"/>
      </w:pPr>
    </w:lvl>
    <w:lvl w:ilvl="8" w:tplc="0415001B">
      <w:start w:val="1"/>
      <w:numFmt w:val="lowerRoman"/>
      <w:lvlText w:val="%9."/>
      <w:lvlJc w:val="right"/>
      <w:pPr>
        <w:ind w:left="6966" w:hanging="180"/>
      </w:pPr>
    </w:lvl>
  </w:abstractNum>
  <w:abstractNum w:abstractNumId="10" w15:restartNumberingAfterBreak="0">
    <w:nsid w:val="1D7F3EA5"/>
    <w:multiLevelType w:val="hybridMultilevel"/>
    <w:tmpl w:val="949CCF2C"/>
    <w:lvl w:ilvl="0" w:tplc="6BE0FC56">
      <w:start w:val="1"/>
      <w:numFmt w:val="lowerRoman"/>
      <w:lvlText w:val="%1)"/>
      <w:lvlJc w:val="right"/>
      <w:pPr>
        <w:ind w:left="1145" w:hanging="360"/>
      </w:pPr>
      <w:rPr>
        <w:rFonts w:hint="default"/>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11" w15:restartNumberingAfterBreak="0">
    <w:nsid w:val="1FAD6FE4"/>
    <w:multiLevelType w:val="hybridMultilevel"/>
    <w:tmpl w:val="98E8ACE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25032C41"/>
    <w:multiLevelType w:val="hybridMultilevel"/>
    <w:tmpl w:val="7EFCEAB0"/>
    <w:lvl w:ilvl="0" w:tplc="AC5233AA">
      <w:start w:val="13"/>
      <w:numFmt w:val="lowerLetter"/>
      <w:lvlText w:val="%1)"/>
      <w:lvlJc w:val="left"/>
      <w:pPr>
        <w:ind w:left="1865" w:hanging="360"/>
      </w:pPr>
      <w:rPr>
        <w:rFonts w:hint="default"/>
      </w:rPr>
    </w:lvl>
    <w:lvl w:ilvl="1" w:tplc="E53A9578">
      <w:start w:val="1"/>
      <w:numFmt w:val="decimal"/>
      <w:lvlText w:val="%2."/>
      <w:lvlJc w:val="left"/>
      <w:pPr>
        <w:ind w:left="1785" w:hanging="705"/>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2A9F5F82"/>
    <w:multiLevelType w:val="multilevel"/>
    <w:tmpl w:val="1FD6DF92"/>
    <w:lvl w:ilvl="0">
      <w:start w:val="1"/>
      <w:numFmt w:val="decimal"/>
      <w:lvlText w:val="%1)"/>
      <w:lvlJc w:val="left"/>
      <w:rPr>
        <w:rFonts w:ascii="Arial" w:eastAsia="Arial" w:hAnsi="Arial" w:cs="Arial"/>
        <w:b w:val="0"/>
        <w:bCs w:val="0"/>
        <w:i w:val="0"/>
        <w:iCs w:val="0"/>
        <w:smallCaps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CF50A6"/>
    <w:multiLevelType w:val="multilevel"/>
    <w:tmpl w:val="99F4C0E0"/>
    <w:lvl w:ilvl="0">
      <w:start w:val="9"/>
      <w:numFmt w:val="decimal"/>
      <w:lvlText w:val="%1)"/>
      <w:lvlJc w:val="left"/>
      <w:rPr>
        <w:rFonts w:ascii="Arial" w:eastAsia="Arial" w:hAnsi="Arial" w:cs="Arial"/>
        <w:b w:val="0"/>
        <w:bCs w:val="0"/>
        <w:i w:val="0"/>
        <w:iCs w:val="0"/>
        <w:smallCaps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B83556"/>
    <w:multiLevelType w:val="hybridMultilevel"/>
    <w:tmpl w:val="085CF72E"/>
    <w:lvl w:ilvl="0" w:tplc="6BE0FC56">
      <w:start w:val="1"/>
      <w:numFmt w:val="lowerRoman"/>
      <w:lvlText w:val="%1)"/>
      <w:lvlJc w:val="right"/>
      <w:pPr>
        <w:ind w:left="1145" w:hanging="360"/>
      </w:pPr>
      <w:rPr>
        <w:rFonts w:hint="default"/>
      </w:rPr>
    </w:lvl>
    <w:lvl w:ilvl="1" w:tplc="3522CB82">
      <w:start w:val="1"/>
      <w:numFmt w:val="decimal"/>
      <w:lvlText w:val="%2."/>
      <w:lvlJc w:val="left"/>
      <w:pPr>
        <w:ind w:left="1865" w:hanging="360"/>
      </w:pPr>
      <w:rPr>
        <w:rFonts w:hint="default"/>
      </w:rPr>
    </w:lvl>
    <w:lvl w:ilvl="2" w:tplc="C572501C">
      <w:start w:val="1"/>
      <w:numFmt w:val="bullet"/>
      <w:lvlText w:val=""/>
      <w:lvlJc w:val="left"/>
      <w:pPr>
        <w:ind w:left="2765" w:hanging="360"/>
      </w:pPr>
      <w:rPr>
        <w:rFonts w:ascii="Symbol" w:eastAsiaTheme="minorHAnsi" w:hAnsi="Symbol" w:cs="Times New Roman" w:hint="default"/>
      </w:r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16" w15:restartNumberingAfterBreak="0">
    <w:nsid w:val="30FD162F"/>
    <w:multiLevelType w:val="hybridMultilevel"/>
    <w:tmpl w:val="EDFEED58"/>
    <w:lvl w:ilvl="0" w:tplc="73701C6A">
      <w:start w:val="9"/>
      <w:numFmt w:val="decimal"/>
      <w:lvlText w:val="%1."/>
      <w:lvlJc w:val="left"/>
      <w:pPr>
        <w:ind w:left="720" w:hanging="360"/>
      </w:pPr>
      <w:rPr>
        <w:rFonts w:hint="default"/>
      </w:rPr>
    </w:lvl>
    <w:lvl w:ilvl="1" w:tplc="8DFEB276">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49E5A47"/>
    <w:multiLevelType w:val="hybridMultilevel"/>
    <w:tmpl w:val="8C0C27EE"/>
    <w:lvl w:ilvl="0" w:tplc="958A4EDE">
      <w:start w:val="1"/>
      <w:numFmt w:val="lowerLetter"/>
      <w:lvlText w:val="%1)"/>
      <w:lvlJc w:val="left"/>
      <w:pPr>
        <w:ind w:left="785" w:hanging="360"/>
      </w:pPr>
      <w:rPr>
        <w:rFonts w:hint="default"/>
      </w:rPr>
    </w:lvl>
    <w:lvl w:ilvl="1" w:tplc="88267EB0">
      <w:start w:val="1"/>
      <w:numFmt w:val="decimal"/>
      <w:lvlText w:val="%2."/>
      <w:lvlJc w:val="left"/>
      <w:pPr>
        <w:ind w:left="1505" w:hanging="360"/>
      </w:pPr>
      <w:rPr>
        <w:rFonts w:hint="default"/>
      </w:r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abstractNum w:abstractNumId="18" w15:restartNumberingAfterBreak="0">
    <w:nsid w:val="34E86C3B"/>
    <w:multiLevelType w:val="hybridMultilevel"/>
    <w:tmpl w:val="052A90EA"/>
    <w:lvl w:ilvl="0" w:tplc="1EB2E0E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6744347"/>
    <w:multiLevelType w:val="hybridMultilevel"/>
    <w:tmpl w:val="942A91BE"/>
    <w:lvl w:ilvl="0" w:tplc="5D04CB3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80F5E8B"/>
    <w:multiLevelType w:val="hybridMultilevel"/>
    <w:tmpl w:val="EC74A8F2"/>
    <w:lvl w:ilvl="0" w:tplc="6BE0FC56">
      <w:start w:val="1"/>
      <w:numFmt w:val="lowerRoman"/>
      <w:lvlText w:val="%1)"/>
      <w:lvlJc w:val="righ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3B3342B5"/>
    <w:multiLevelType w:val="hybridMultilevel"/>
    <w:tmpl w:val="EB885EB4"/>
    <w:lvl w:ilvl="0" w:tplc="863C1BAA">
      <w:start w:val="1"/>
      <w:numFmt w:val="lowerLetter"/>
      <w:lvlText w:val="%1)"/>
      <w:lvlJc w:val="left"/>
      <w:pPr>
        <w:ind w:left="1065" w:hanging="705"/>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BDB0F7D"/>
    <w:multiLevelType w:val="hybridMultilevel"/>
    <w:tmpl w:val="B7F6DDAE"/>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BFA131A"/>
    <w:multiLevelType w:val="hybridMultilevel"/>
    <w:tmpl w:val="A4A601B0"/>
    <w:lvl w:ilvl="0" w:tplc="8DFEB276">
      <w:start w:val="1"/>
      <w:numFmt w:val="lowerLetter"/>
      <w:lvlText w:val="%1)"/>
      <w:lvlJc w:val="left"/>
      <w:pPr>
        <w:ind w:left="1865" w:hanging="360"/>
      </w:pPr>
      <w:rPr>
        <w:rFonts w:hint="default"/>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24" w15:restartNumberingAfterBreak="0">
    <w:nsid w:val="3F091040"/>
    <w:multiLevelType w:val="hybridMultilevel"/>
    <w:tmpl w:val="13086496"/>
    <w:lvl w:ilvl="0" w:tplc="0415000F">
      <w:start w:val="1"/>
      <w:numFmt w:val="decimal"/>
      <w:lvlText w:val="%1."/>
      <w:lvlJc w:val="left"/>
      <w:pPr>
        <w:ind w:left="720" w:hanging="360"/>
      </w:pPr>
      <w:rPr>
        <w:rFonts w:hint="default"/>
      </w:rPr>
    </w:lvl>
    <w:lvl w:ilvl="1" w:tplc="AF5E4160">
      <w:start w:val="1"/>
      <w:numFmt w:val="lowerLetter"/>
      <w:lvlText w:val="%2)"/>
      <w:lvlJc w:val="left"/>
      <w:pPr>
        <w:ind w:left="1440" w:hanging="360"/>
      </w:pPr>
      <w:rPr>
        <w:rFonts w:hint="default"/>
      </w:rPr>
    </w:lvl>
    <w:lvl w:ilvl="2" w:tplc="E14CB036">
      <w:start w:val="1"/>
      <w:numFmt w:val="lowerRoman"/>
      <w:lvlText w:val="(%3)"/>
      <w:lvlJc w:val="left"/>
      <w:pPr>
        <w:ind w:left="2700" w:hanging="72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7195B7C"/>
    <w:multiLevelType w:val="hybridMultilevel"/>
    <w:tmpl w:val="6840C19E"/>
    <w:lvl w:ilvl="0" w:tplc="0415000F">
      <w:start w:val="1"/>
      <w:numFmt w:val="decimal"/>
      <w:lvlText w:val="%1."/>
      <w:lvlJc w:val="left"/>
      <w:pPr>
        <w:ind w:left="720" w:hanging="360"/>
      </w:pPr>
      <w:rPr>
        <w:rFonts w:hint="default"/>
      </w:rPr>
    </w:lvl>
    <w:lvl w:ilvl="1" w:tplc="AF5E4160">
      <w:start w:val="1"/>
      <w:numFmt w:val="lowerLetter"/>
      <w:lvlText w:val="%2)"/>
      <w:lvlJc w:val="left"/>
      <w:pPr>
        <w:ind w:left="1440" w:hanging="360"/>
      </w:pPr>
      <w:rPr>
        <w:rFonts w:hint="default"/>
      </w:rPr>
    </w:lvl>
    <w:lvl w:ilvl="2" w:tplc="E14CB036">
      <w:start w:val="1"/>
      <w:numFmt w:val="lowerRoman"/>
      <w:lvlText w:val="(%3)"/>
      <w:lvlJc w:val="left"/>
      <w:pPr>
        <w:ind w:left="2700" w:hanging="72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475D068B"/>
    <w:multiLevelType w:val="hybridMultilevel"/>
    <w:tmpl w:val="50B48CDC"/>
    <w:lvl w:ilvl="0" w:tplc="5D04CB3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8F057CB"/>
    <w:multiLevelType w:val="hybridMultilevel"/>
    <w:tmpl w:val="A56E1A42"/>
    <w:lvl w:ilvl="0" w:tplc="24D42C6E">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4C0115CE"/>
    <w:multiLevelType w:val="hybridMultilevel"/>
    <w:tmpl w:val="C66CB13C"/>
    <w:lvl w:ilvl="0" w:tplc="F5BCF22A">
      <w:start w:val="1"/>
      <w:numFmt w:val="upperLetter"/>
      <w:lvlText w:val="%1."/>
      <w:lvlJc w:val="left"/>
      <w:pPr>
        <w:ind w:left="1146" w:hanging="360"/>
      </w:pPr>
      <w:rPr>
        <w:b/>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29" w15:restartNumberingAfterBreak="0">
    <w:nsid w:val="4E956BB7"/>
    <w:multiLevelType w:val="hybridMultilevel"/>
    <w:tmpl w:val="96BC1704"/>
    <w:lvl w:ilvl="0" w:tplc="5D04CB3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EB65BD6"/>
    <w:multiLevelType w:val="hybridMultilevel"/>
    <w:tmpl w:val="968CE0EC"/>
    <w:lvl w:ilvl="0" w:tplc="A240DEE2">
      <w:start w:val="1"/>
      <w:numFmt w:val="lowerLetter"/>
      <w:lvlText w:val="%1)"/>
      <w:lvlJc w:val="left"/>
      <w:pPr>
        <w:ind w:left="1065" w:hanging="705"/>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4EFF4FC2"/>
    <w:multiLevelType w:val="hybridMultilevel"/>
    <w:tmpl w:val="4162CE9C"/>
    <w:lvl w:ilvl="0" w:tplc="C952FA7E">
      <w:start w:val="1"/>
      <w:numFmt w:val="upperLetter"/>
      <w:lvlText w:val="%1."/>
      <w:lvlJc w:val="left"/>
      <w:pPr>
        <w:ind w:left="1145" w:hanging="360"/>
      </w:pPr>
      <w:rPr>
        <w:b/>
      </w:rPr>
    </w:lvl>
    <w:lvl w:ilvl="1" w:tplc="04150015">
      <w:start w:val="1"/>
      <w:numFmt w:val="upperLetter"/>
      <w:lvlText w:val="%2."/>
      <w:lvlJc w:val="left"/>
      <w:pPr>
        <w:ind w:left="1865" w:hanging="360"/>
      </w:pPr>
    </w:lvl>
    <w:lvl w:ilvl="2" w:tplc="930491A6">
      <w:start w:val="1"/>
      <w:numFmt w:val="decimal"/>
      <w:lvlText w:val="%3."/>
      <w:lvlJc w:val="left"/>
      <w:pPr>
        <w:ind w:left="2765" w:hanging="360"/>
      </w:pPr>
      <w:rPr>
        <w:rFonts w:hint="default"/>
      </w:rPr>
    </w:lvl>
    <w:lvl w:ilvl="3" w:tplc="8B1E6160">
      <w:start w:val="1"/>
      <w:numFmt w:val="lowerLetter"/>
      <w:lvlText w:val="%4)"/>
      <w:lvlJc w:val="left"/>
      <w:pPr>
        <w:ind w:left="3305" w:hanging="360"/>
      </w:pPr>
      <w:rPr>
        <w:rFonts w:hint="default"/>
      </w:r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32" w15:restartNumberingAfterBreak="0">
    <w:nsid w:val="507A1AC5"/>
    <w:multiLevelType w:val="hybridMultilevel"/>
    <w:tmpl w:val="67B61FB4"/>
    <w:lvl w:ilvl="0" w:tplc="D22A0D50">
      <w:start w:val="1"/>
      <w:numFmt w:val="decimal"/>
      <w:lvlText w:val="%1."/>
      <w:lvlJc w:val="left"/>
      <w:pPr>
        <w:ind w:left="720" w:hanging="360"/>
      </w:pPr>
      <w:rPr>
        <w:rFonts w:ascii="Times New Roman" w:eastAsia="SimSun" w:hAnsi="Times New Roman" w:cs="Times New Roman"/>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5ACC1219"/>
    <w:multiLevelType w:val="hybridMultilevel"/>
    <w:tmpl w:val="005E6E46"/>
    <w:lvl w:ilvl="0" w:tplc="FC528604">
      <w:start w:val="1"/>
      <w:numFmt w:val="lowerLetter"/>
      <w:lvlText w:val="%1)"/>
      <w:lvlJc w:val="left"/>
      <w:pPr>
        <w:ind w:left="1065" w:hanging="705"/>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5B7B58B8"/>
    <w:multiLevelType w:val="multilevel"/>
    <w:tmpl w:val="93B2AF2A"/>
    <w:lvl w:ilvl="0">
      <w:start w:val="1"/>
      <w:numFmt w:val="lowerLetter"/>
      <w:lvlText w:val="%1)"/>
      <w:lvlJc w:val="left"/>
      <w:rPr>
        <w:rFonts w:ascii="Arial" w:eastAsia="Arial" w:hAnsi="Arial" w:cs="Arial"/>
        <w:b w:val="0"/>
        <w:bCs w:val="0"/>
        <w:i w:val="0"/>
        <w:iCs w:val="0"/>
        <w:smallCaps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D7227D5"/>
    <w:multiLevelType w:val="hybridMultilevel"/>
    <w:tmpl w:val="9146B5A6"/>
    <w:lvl w:ilvl="0" w:tplc="E0747196">
      <w:start w:val="1"/>
      <w:numFmt w:val="lowerLetter"/>
      <w:lvlText w:val="%1)"/>
      <w:lvlJc w:val="left"/>
      <w:pPr>
        <w:ind w:left="1065" w:hanging="705"/>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5FE805C2"/>
    <w:multiLevelType w:val="hybridMultilevel"/>
    <w:tmpl w:val="B3740750"/>
    <w:lvl w:ilvl="0" w:tplc="863C1BAA">
      <w:start w:val="1"/>
      <w:numFmt w:val="lowerLetter"/>
      <w:lvlText w:val="%1)"/>
      <w:lvlJc w:val="left"/>
      <w:pPr>
        <w:ind w:left="1065" w:hanging="705"/>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64752FDD"/>
    <w:multiLevelType w:val="hybridMultilevel"/>
    <w:tmpl w:val="7C4271DC"/>
    <w:lvl w:ilvl="0" w:tplc="FFB67D2E">
      <w:start w:val="1"/>
      <w:numFmt w:val="lowerLetter"/>
      <w:lvlText w:val="%1)"/>
      <w:lvlJc w:val="left"/>
      <w:pPr>
        <w:ind w:left="785" w:hanging="360"/>
      </w:pPr>
      <w:rPr>
        <w:rFonts w:hint="default"/>
      </w:rPr>
    </w:lvl>
    <w:lvl w:ilvl="1" w:tplc="04150019">
      <w:start w:val="1"/>
      <w:numFmt w:val="lowerLetter"/>
      <w:lvlText w:val="%2."/>
      <w:lvlJc w:val="left"/>
      <w:pPr>
        <w:ind w:left="1505" w:hanging="360"/>
      </w:p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abstractNum w:abstractNumId="38" w15:restartNumberingAfterBreak="0">
    <w:nsid w:val="65D14222"/>
    <w:multiLevelType w:val="hybridMultilevel"/>
    <w:tmpl w:val="1C289650"/>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6A7F67CB"/>
    <w:multiLevelType w:val="hybridMultilevel"/>
    <w:tmpl w:val="01D6E018"/>
    <w:lvl w:ilvl="0" w:tplc="B61E0DD6">
      <w:start w:val="1"/>
      <w:numFmt w:val="decimal"/>
      <w:lvlText w:val="%1."/>
      <w:lvlJc w:val="left"/>
      <w:pPr>
        <w:ind w:left="720" w:hanging="360"/>
      </w:pPr>
      <w:rPr>
        <w:rFonts w:hint="default"/>
      </w:rPr>
    </w:lvl>
    <w:lvl w:ilvl="1" w:tplc="38F46800">
      <w:start w:val="1"/>
      <w:numFmt w:val="upperLetter"/>
      <w:lvlText w:val="%2."/>
      <w:lvlJc w:val="left"/>
      <w:pPr>
        <w:ind w:left="1440" w:hanging="360"/>
      </w:pPr>
      <w:rPr>
        <w:rFonts w:hint="default"/>
      </w:rPr>
    </w:lvl>
    <w:lvl w:ilvl="2" w:tplc="CD0CBB06">
      <w:start w:val="1"/>
      <w:numFmt w:val="lowerLetter"/>
      <w:lvlText w:val="%3)"/>
      <w:lvlJc w:val="left"/>
      <w:pPr>
        <w:ind w:left="2340" w:hanging="360"/>
      </w:pPr>
      <w:rPr>
        <w:rFonts w:hint="default"/>
        <w:color w:val="auto"/>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6E976BC4"/>
    <w:multiLevelType w:val="hybridMultilevel"/>
    <w:tmpl w:val="B1848530"/>
    <w:lvl w:ilvl="0" w:tplc="AC5233AA">
      <w:start w:val="13"/>
      <w:numFmt w:val="lowerLetter"/>
      <w:lvlText w:val="%1)"/>
      <w:lvlJc w:val="left"/>
      <w:pPr>
        <w:ind w:left="2290" w:hanging="360"/>
      </w:pPr>
      <w:rPr>
        <w:rFonts w:hint="default"/>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41" w15:restartNumberingAfterBreak="0">
    <w:nsid w:val="6ECE1DE1"/>
    <w:multiLevelType w:val="hybridMultilevel"/>
    <w:tmpl w:val="51768284"/>
    <w:lvl w:ilvl="0" w:tplc="34ACF7F0">
      <w:start w:val="1"/>
      <w:numFmt w:val="decimal"/>
      <w:pStyle w:val="TekstNB"/>
      <w:lvlText w:val="(%1)"/>
      <w:lvlJc w:val="left"/>
      <w:pPr>
        <w:ind w:left="851" w:hanging="851"/>
      </w:pPr>
      <w:rPr>
        <w:rFonts w:ascii="Times New Roman" w:hAnsi="Times New Roman" w:cs="Times New Roman" w:hint="default"/>
        <w:b w:val="0"/>
        <w:i w:val="0"/>
      </w:rPr>
    </w:lvl>
    <w:lvl w:ilvl="1" w:tplc="5310E088">
      <w:start w:val="1"/>
      <w:numFmt w:val="lowerRoman"/>
      <w:lvlText w:val="(%2)"/>
      <w:lvlJc w:val="left"/>
      <w:pPr>
        <w:ind w:left="1440" w:hanging="360"/>
      </w:pPr>
      <w:rPr>
        <w:rFonts w:cs="Times New Roman" w:hint="default"/>
        <w:b w:val="0"/>
      </w:rPr>
    </w:lvl>
    <w:lvl w:ilvl="2" w:tplc="04150019">
      <w:start w:val="1"/>
      <w:numFmt w:val="lowerLetter"/>
      <w:lvlText w:val="%3."/>
      <w:lvlJc w:val="lef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2" w15:restartNumberingAfterBreak="0">
    <w:nsid w:val="7044272C"/>
    <w:multiLevelType w:val="hybridMultilevel"/>
    <w:tmpl w:val="14E4CF0A"/>
    <w:lvl w:ilvl="0" w:tplc="958A4EDE">
      <w:start w:val="1"/>
      <w:numFmt w:val="lowerLetter"/>
      <w:lvlText w:val="%1)"/>
      <w:lvlJc w:val="left"/>
      <w:pPr>
        <w:ind w:left="1210" w:hanging="360"/>
      </w:pPr>
      <w:rPr>
        <w:rFonts w:hint="default"/>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43" w15:restartNumberingAfterBreak="0">
    <w:nsid w:val="747B6216"/>
    <w:multiLevelType w:val="multilevel"/>
    <w:tmpl w:val="DE723B98"/>
    <w:lvl w:ilvl="0">
      <w:start w:val="15"/>
      <w:numFmt w:val="decimal"/>
      <w:lvlText w:val="%1."/>
      <w:lvlJc w:val="left"/>
      <w:rPr>
        <w:rFonts w:ascii="Arial" w:eastAsia="Arial" w:hAnsi="Arial" w:cs="Arial"/>
        <w:b w:val="0"/>
        <w:bCs w:val="0"/>
        <w:i w:val="0"/>
        <w:iCs w:val="0"/>
        <w:smallCaps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88F588D"/>
    <w:multiLevelType w:val="hybridMultilevel"/>
    <w:tmpl w:val="B494429C"/>
    <w:lvl w:ilvl="0" w:tplc="FC528604">
      <w:start w:val="1"/>
      <w:numFmt w:val="lowerLetter"/>
      <w:lvlText w:val="%1)"/>
      <w:lvlJc w:val="left"/>
      <w:pPr>
        <w:ind w:left="1065" w:hanging="705"/>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797F51FD"/>
    <w:multiLevelType w:val="multilevel"/>
    <w:tmpl w:val="E1A8AF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E81BE0"/>
    <w:multiLevelType w:val="hybridMultilevel"/>
    <w:tmpl w:val="35FEB720"/>
    <w:lvl w:ilvl="0" w:tplc="B84CB78E">
      <w:start w:val="1"/>
      <w:numFmt w:val="lowerLetter"/>
      <w:lvlText w:val="%1)"/>
      <w:lvlJc w:val="left"/>
      <w:pPr>
        <w:ind w:left="785" w:hanging="360"/>
      </w:pPr>
      <w:rPr>
        <w:rFonts w:hint="default"/>
      </w:rPr>
    </w:lvl>
    <w:lvl w:ilvl="1" w:tplc="04150019">
      <w:start w:val="1"/>
      <w:numFmt w:val="lowerLetter"/>
      <w:lvlText w:val="%2."/>
      <w:lvlJc w:val="left"/>
      <w:pPr>
        <w:ind w:left="1505" w:hanging="360"/>
      </w:p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num w:numId="1">
    <w:abstractNumId w:val="20"/>
  </w:num>
  <w:num w:numId="2">
    <w:abstractNumId w:val="27"/>
  </w:num>
  <w:num w:numId="3">
    <w:abstractNumId w:val="22"/>
  </w:num>
  <w:num w:numId="4">
    <w:abstractNumId w:val="29"/>
  </w:num>
  <w:num w:numId="5">
    <w:abstractNumId w:val="26"/>
  </w:num>
  <w:num w:numId="6">
    <w:abstractNumId w:val="19"/>
  </w:num>
  <w:num w:numId="7">
    <w:abstractNumId w:val="28"/>
  </w:num>
  <w:num w:numId="8">
    <w:abstractNumId w:val="33"/>
  </w:num>
  <w:num w:numId="9">
    <w:abstractNumId w:val="44"/>
  </w:num>
  <w:num w:numId="10">
    <w:abstractNumId w:val="35"/>
  </w:num>
  <w:num w:numId="11">
    <w:abstractNumId w:val="30"/>
  </w:num>
  <w:num w:numId="12">
    <w:abstractNumId w:val="5"/>
  </w:num>
  <w:num w:numId="13">
    <w:abstractNumId w:val="25"/>
  </w:num>
  <w:num w:numId="14">
    <w:abstractNumId w:val="1"/>
  </w:num>
  <w:num w:numId="15">
    <w:abstractNumId w:val="36"/>
  </w:num>
  <w:num w:numId="16">
    <w:abstractNumId w:val="6"/>
  </w:num>
  <w:num w:numId="17">
    <w:abstractNumId w:val="21"/>
  </w:num>
  <w:num w:numId="18">
    <w:abstractNumId w:val="8"/>
  </w:num>
  <w:num w:numId="19">
    <w:abstractNumId w:val="38"/>
  </w:num>
  <w:num w:numId="20">
    <w:abstractNumId w:val="11"/>
  </w:num>
  <w:num w:numId="21">
    <w:abstractNumId w:val="18"/>
  </w:num>
  <w:num w:numId="22">
    <w:abstractNumId w:val="39"/>
  </w:num>
  <w:num w:numId="23">
    <w:abstractNumId w:val="31"/>
  </w:num>
  <w:num w:numId="24">
    <w:abstractNumId w:val="4"/>
  </w:num>
  <w:num w:numId="25">
    <w:abstractNumId w:val="37"/>
  </w:num>
  <w:num w:numId="26">
    <w:abstractNumId w:val="24"/>
  </w:num>
  <w:num w:numId="27">
    <w:abstractNumId w:val="16"/>
  </w:num>
  <w:num w:numId="28">
    <w:abstractNumId w:val="46"/>
  </w:num>
  <w:num w:numId="29">
    <w:abstractNumId w:val="17"/>
  </w:num>
  <w:num w:numId="30">
    <w:abstractNumId w:val="0"/>
  </w:num>
  <w:num w:numId="31">
    <w:abstractNumId w:val="7"/>
  </w:num>
  <w:num w:numId="32">
    <w:abstractNumId w:val="2"/>
  </w:num>
  <w:num w:numId="33">
    <w:abstractNumId w:val="12"/>
  </w:num>
  <w:num w:numId="34">
    <w:abstractNumId w:val="40"/>
  </w:num>
  <w:num w:numId="35">
    <w:abstractNumId w:val="42"/>
  </w:num>
  <w:num w:numId="36">
    <w:abstractNumId w:val="23"/>
  </w:num>
  <w:num w:numId="37">
    <w:abstractNumId w:val="15"/>
  </w:num>
  <w:num w:numId="38">
    <w:abstractNumId w:val="9"/>
  </w:num>
  <w:num w:numId="39">
    <w:abstractNumId w:val="10"/>
  </w:num>
  <w:num w:numId="40">
    <w:abstractNumId w:val="13"/>
  </w:num>
  <w:num w:numId="41">
    <w:abstractNumId w:val="34"/>
  </w:num>
  <w:num w:numId="42">
    <w:abstractNumId w:val="14"/>
  </w:num>
  <w:num w:numId="43">
    <w:abstractNumId w:val="41"/>
  </w:num>
  <w:num w:numId="44">
    <w:abstractNumId w:val="3"/>
  </w:num>
  <w:num w:numId="45">
    <w:abstractNumId w:val="45"/>
  </w:num>
  <w:num w:numId="46">
    <w:abstractNumId w:val="43"/>
  </w:num>
  <w:num w:numId="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E2F"/>
    <w:rsid w:val="006C2E2F"/>
    <w:rsid w:val="00D865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CFFFC4-DD12-4416-B8B6-311D4C87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pl-PL" w:eastAsia="en-US" w:bidi="ar-SA"/>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line="259" w:lineRule="auto"/>
    </w:pPr>
    <w:rPr>
      <w:sz w:val="22"/>
      <w:szCs w:val="22"/>
    </w:rPr>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semiHidden/>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semiHidden/>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semiHidden/>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Pr>
      <w:rFonts w:eastAsiaTheme="majorEastAsia" w:cstheme="majorBidi"/>
      <w:color w:val="595959" w:themeColor="text1" w:themeTint="A6"/>
      <w:spacing w:val="15"/>
      <w:sz w:val="28"/>
      <w:szCs w:val="28"/>
    </w:rPr>
  </w:style>
  <w:style w:type="paragraph" w:styleId="Cytat">
    <w:name w:val="Quote"/>
    <w:basedOn w:val="Normalny"/>
    <w:next w:val="Normalny"/>
    <w:link w:val="CytatZnak"/>
    <w:qFormat/>
    <w:pPr>
      <w:spacing w:before="160"/>
      <w:jc w:val="center"/>
    </w:pPr>
    <w:rPr>
      <w:i/>
      <w:iCs/>
      <w:color w:val="404040" w:themeColor="text1" w:themeTint="BF"/>
    </w:rPr>
  </w:style>
  <w:style w:type="paragraph" w:styleId="Akapitzlist">
    <w:name w:val="List Paragraph"/>
    <w:basedOn w:val="Normalny"/>
    <w:qFormat/>
    <w:pPr>
      <w:ind w:left="720"/>
      <w:contextualSpacing/>
    </w:pPr>
  </w:style>
  <w:style w:type="paragraph" w:styleId="Cytatintensywny">
    <w:name w:val="Intense Quote"/>
    <w:basedOn w:val="Normalny"/>
    <w:next w:val="Normalny"/>
    <w:link w:val="CytatintensywnyZnak"/>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Tekstpodstawowy">
    <w:name w:val="Body Text"/>
    <w:basedOn w:val="Normalny"/>
    <w:link w:val="TekstpodstawowyZnak"/>
    <w:qFormat/>
    <w:pPr>
      <w:widowControl w:val="0"/>
      <w:spacing w:after="0" w:line="374" w:lineRule="auto"/>
    </w:pPr>
    <w:rPr>
      <w:rFonts w:ascii="Times New Roman" w:eastAsia="Times New Roman" w:hAnsi="Times New Roman" w:cs="Times New Roman"/>
      <w:sz w:val="20"/>
      <w:szCs w:val="20"/>
    </w:rPr>
  </w:style>
  <w:style w:type="paragraph" w:styleId="Nagwek">
    <w:name w:val="header"/>
    <w:basedOn w:val="Normalny"/>
    <w:link w:val="NagwekZnak"/>
    <w:pPr>
      <w:tabs>
        <w:tab w:val="center" w:pos="4536"/>
        <w:tab w:val="right" w:pos="9072"/>
      </w:tabs>
      <w:spacing w:after="0" w:line="240" w:lineRule="auto"/>
    </w:pPr>
  </w:style>
  <w:style w:type="paragraph" w:styleId="Stopka">
    <w:name w:val="footer"/>
    <w:basedOn w:val="Normalny"/>
    <w:link w:val="StopkaZnak"/>
    <w:pPr>
      <w:tabs>
        <w:tab w:val="center" w:pos="4536"/>
        <w:tab w:val="right" w:pos="9072"/>
      </w:tabs>
      <w:spacing w:after="0" w:line="240" w:lineRule="auto"/>
    </w:pPr>
  </w:style>
  <w:style w:type="paragraph" w:customStyle="1" w:styleId="TekstNB">
    <w:name w:val="Tekst_NB"/>
    <w:basedOn w:val="Normalny"/>
    <w:link w:val="TekstNBZnak"/>
    <w:qFormat/>
    <w:pPr>
      <w:numPr>
        <w:numId w:val="43"/>
      </w:numPr>
      <w:spacing w:before="120" w:after="120" w:line="360" w:lineRule="auto"/>
      <w:jc w:val="both"/>
    </w:pPr>
    <w:rPr>
      <w:rFonts w:ascii="Times New Roman" w:eastAsia="Times New Roman" w:hAnsi="Times New Roman" w:cs="Times New Roman"/>
      <w:szCs w:val="24"/>
      <w:lang w:eastAsia="pl-PL"/>
    </w:rPr>
  </w:style>
  <w:style w:type="paragraph" w:styleId="Tekstprzypisudolnego">
    <w:name w:val="footnote text"/>
    <w:aliases w:val="Znak,Tekst przypisu,Tekst przypisu dolnego Znak Znak,Podrozdział,Podrozdzia3,Tekst przypisu Znak Znak Znak Znak,Tekst przypisu Znak Znak Znak Znak Znak,Tekst przypisu Znak Znak Znak Znak Znak Znak Znak,fn,Char Char"/>
    <w:basedOn w:val="Normalny"/>
    <w:link w:val="TekstprzypisudolnegoZnak"/>
    <w:qFormat/>
    <w:pPr>
      <w:spacing w:after="0" w:line="240" w:lineRule="auto"/>
      <w:jc w:val="both"/>
    </w:pPr>
    <w:rPr>
      <w:rFonts w:ascii="Times New Roman" w:eastAsia="Times New Roman" w:hAnsi="Times New Roman" w:cs="Times New Roman"/>
      <w:sz w:val="18"/>
      <w:szCs w:val="20"/>
      <w:lang w:eastAsia="pl-PL"/>
    </w:rPr>
  </w:style>
  <w:style w:type="paragraph" w:customStyle="1" w:styleId="Other">
    <w:name w:val="Other"/>
    <w:basedOn w:val="Normalny"/>
    <w:link w:val="Other0"/>
    <w:pPr>
      <w:widowControl w:val="0"/>
      <w:spacing w:after="220" w:line="302" w:lineRule="auto"/>
    </w:pPr>
    <w:rPr>
      <w:rFonts w:ascii="Arial" w:eastAsia="Arial" w:hAnsi="Arial" w:cs="Arial"/>
      <w:sz w:val="20"/>
      <w:szCs w:val="20"/>
    </w:rPr>
  </w:style>
  <w:style w:type="paragraph" w:styleId="Tekstprzypisukocowego">
    <w:name w:val="endnote text"/>
    <w:link w:val="TekstprzypisukocowegoZnak"/>
    <w:semiHidden/>
    <w:pPr>
      <w:spacing w:after="0" w:line="240" w:lineRule="auto"/>
    </w:pPr>
    <w:rPr>
      <w:sz w:val="20"/>
      <w:szCs w:val="20"/>
    </w:rPr>
  </w:style>
  <w:style w:type="paragraph" w:customStyle="1" w:styleId="Standard">
    <w:name w:val="Standard"/>
    <w:pPr>
      <w:widowControl w:val="0"/>
      <w:spacing w:after="0" w:line="240" w:lineRule="auto"/>
    </w:pPr>
    <w:rPr>
      <w:rFonts w:ascii="Times New Roman" w:eastAsia="Times New Roman" w:hAnsi="Times New Roman" w:cs="Times New Roman"/>
    </w:rPr>
  </w:style>
  <w:style w:type="paragraph" w:customStyle="1" w:styleId="Akapitzlist1">
    <w:name w:val="Akapit z listą1"/>
    <w:basedOn w:val="Normalny"/>
    <w:pPr>
      <w:spacing w:after="200" w:line="276" w:lineRule="auto"/>
      <w:ind w:left="720"/>
    </w:pPr>
    <w:rPr>
      <w:rFonts w:ascii="Calibri" w:eastAsia="Times New Roman" w:hAnsi="Calibri" w:cs="Times New Roman"/>
    </w:rPr>
  </w:style>
  <w:style w:type="character" w:styleId="Numerwiersza">
    <w:name w:val="line number"/>
    <w:basedOn w:val="Domylnaczcionkaakapitu"/>
    <w:semiHidden/>
  </w:style>
  <w:style w:type="character" w:styleId="Hipercze">
    <w:name w:val="Hyperlink"/>
    <w:basedOn w:val="Domylnaczcionkaakapitu"/>
    <w:semiHidden/>
    <w:rPr>
      <w:color w:val="0000FF"/>
      <w:u w:val="single"/>
    </w:rPr>
  </w:style>
  <w:style w:type="character" w:customStyle="1" w:styleId="Nagwek1Znak">
    <w:name w:val="Nagłówek 1 Znak"/>
    <w:basedOn w:val="Domylnaczcionkaakapitu"/>
    <w:link w:val="Nagwek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semiHidden/>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semiHidden/>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semiHidden/>
    <w:rPr>
      <w:rFonts w:eastAsiaTheme="majorEastAsia" w:cstheme="majorBidi"/>
      <w:i/>
      <w:iCs/>
      <w:color w:val="0F4761" w:themeColor="accent1" w:themeShade="BF"/>
    </w:rPr>
  </w:style>
  <w:style w:type="character" w:customStyle="1" w:styleId="Nagwek5Znak">
    <w:name w:val="Nagłówek 5 Znak"/>
    <w:basedOn w:val="Domylnaczcionkaakapitu"/>
    <w:link w:val="Nagwek5"/>
    <w:semiHidden/>
    <w:rPr>
      <w:rFonts w:eastAsiaTheme="majorEastAsia" w:cstheme="majorBidi"/>
      <w:color w:val="0F4761" w:themeColor="accent1" w:themeShade="BF"/>
    </w:rPr>
  </w:style>
  <w:style w:type="character" w:customStyle="1" w:styleId="Nagwek6Znak">
    <w:name w:val="Nagłówek 6 Znak"/>
    <w:basedOn w:val="Domylnaczcionkaakapitu"/>
    <w:link w:val="Nagwek6"/>
    <w:semiHidden/>
    <w:rPr>
      <w:rFonts w:eastAsiaTheme="majorEastAsia" w:cstheme="majorBidi"/>
      <w:i/>
      <w:iCs/>
      <w:color w:val="595959" w:themeColor="text1" w:themeTint="A6"/>
    </w:rPr>
  </w:style>
  <w:style w:type="character" w:customStyle="1" w:styleId="Nagwek7Znak">
    <w:name w:val="Nagłówek 7 Znak"/>
    <w:basedOn w:val="Domylnaczcionkaakapitu"/>
    <w:link w:val="Nagwek7"/>
    <w:semiHidden/>
    <w:rPr>
      <w:rFonts w:eastAsiaTheme="majorEastAsia" w:cstheme="majorBidi"/>
      <w:color w:val="595959" w:themeColor="text1" w:themeTint="A6"/>
    </w:rPr>
  </w:style>
  <w:style w:type="character" w:customStyle="1" w:styleId="Nagwek8Znak">
    <w:name w:val="Nagłówek 8 Znak"/>
    <w:basedOn w:val="Domylnaczcionkaakapitu"/>
    <w:link w:val="Nagwek8"/>
    <w:semiHidden/>
    <w:rPr>
      <w:rFonts w:eastAsiaTheme="majorEastAsia" w:cstheme="majorBidi"/>
      <w:i/>
      <w:iCs/>
      <w:color w:val="272727" w:themeColor="text1" w:themeTint="D8"/>
    </w:rPr>
  </w:style>
  <w:style w:type="character" w:customStyle="1" w:styleId="Nagwek9Znak">
    <w:name w:val="Nagłówek 9 Znak"/>
    <w:basedOn w:val="Domylnaczcionkaakapitu"/>
    <w:link w:val="Nagwek9"/>
    <w:semiHidden/>
    <w:rPr>
      <w:rFonts w:eastAsiaTheme="majorEastAsia" w:cstheme="majorBidi"/>
      <w:color w:val="272727" w:themeColor="text1" w:themeTint="D8"/>
    </w:rPr>
  </w:style>
  <w:style w:type="character" w:customStyle="1" w:styleId="TytuZnak">
    <w:name w:val="Tytuł Znak"/>
    <w:basedOn w:val="Domylnaczcionkaakapitu"/>
    <w:link w:val="Tytu"/>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rPr>
      <w:rFonts w:eastAsiaTheme="majorEastAsia" w:cstheme="majorBidi"/>
      <w:color w:val="595959" w:themeColor="text1" w:themeTint="A6"/>
      <w:spacing w:val="15"/>
      <w:sz w:val="28"/>
      <w:szCs w:val="28"/>
    </w:rPr>
  </w:style>
  <w:style w:type="character" w:customStyle="1" w:styleId="CytatZnak">
    <w:name w:val="Cytat Znak"/>
    <w:basedOn w:val="Domylnaczcionkaakapitu"/>
    <w:link w:val="Cytat"/>
    <w:rPr>
      <w:i/>
      <w:iCs/>
      <w:color w:val="404040" w:themeColor="text1" w:themeTint="BF"/>
    </w:rPr>
  </w:style>
  <w:style w:type="character" w:styleId="Wyrnienieintensywne">
    <w:name w:val="Intense Emphasis"/>
    <w:basedOn w:val="Domylnaczcionkaakapitu"/>
    <w:qFormat/>
    <w:rPr>
      <w:i/>
      <w:iCs/>
      <w:color w:val="0F4761" w:themeColor="accent1" w:themeShade="BF"/>
    </w:rPr>
  </w:style>
  <w:style w:type="character" w:customStyle="1" w:styleId="CytatintensywnyZnak">
    <w:name w:val="Cytat intensywny Znak"/>
    <w:basedOn w:val="Domylnaczcionkaakapitu"/>
    <w:link w:val="Cytatintensywny"/>
    <w:rPr>
      <w:i/>
      <w:iCs/>
      <w:color w:val="0F4761" w:themeColor="accent1" w:themeShade="BF"/>
    </w:rPr>
  </w:style>
  <w:style w:type="character" w:customStyle="1" w:styleId="IntenseReference1">
    <w:name w:val="Intense Reference1"/>
    <w:basedOn w:val="Domylnaczcionkaakapitu"/>
    <w:qFormat/>
    <w:rPr>
      <w:b/>
      <w:bCs/>
      <w:smallCaps/>
      <w:color w:val="0F4761" w:themeColor="accent1" w:themeShade="BF"/>
      <w:spacing w:val="5"/>
    </w:rPr>
  </w:style>
  <w:style w:type="character" w:customStyle="1" w:styleId="TekstpodstawowyZnak">
    <w:name w:val="Tekst podstawowy Znak"/>
    <w:basedOn w:val="Domylnaczcionkaakapitu"/>
    <w:link w:val="Tekstpodstawowy"/>
    <w:rPr>
      <w:rFonts w:ascii="Times New Roman" w:eastAsia="Times New Roman" w:hAnsi="Times New Roman" w:cs="Times New Roman"/>
      <w:sz w:val="20"/>
      <w:szCs w:val="20"/>
    </w:rPr>
  </w:style>
  <w:style w:type="character" w:customStyle="1" w:styleId="TekstpodstawowyZnak1">
    <w:name w:val="Tekst podstawowy Znak1"/>
    <w:basedOn w:val="Domylnaczcionkaakapitu"/>
    <w:semiHidden/>
    <w:rPr>
      <w:sz w:val="22"/>
      <w:szCs w:val="22"/>
    </w:rPr>
  </w:style>
  <w:style w:type="character" w:customStyle="1" w:styleId="NagwekZnak">
    <w:name w:val="Nagłówek Znak"/>
    <w:basedOn w:val="Domylnaczcionkaakapitu"/>
    <w:link w:val="Nagwek"/>
    <w:rPr>
      <w:sz w:val="22"/>
      <w:szCs w:val="22"/>
    </w:rPr>
  </w:style>
  <w:style w:type="character" w:customStyle="1" w:styleId="StopkaZnak">
    <w:name w:val="Stopka Znak"/>
    <w:basedOn w:val="Domylnaczcionkaakapitu"/>
    <w:link w:val="Stopka"/>
    <w:rPr>
      <w:sz w:val="22"/>
      <w:szCs w:val="22"/>
    </w:rPr>
  </w:style>
  <w:style w:type="character" w:customStyle="1" w:styleId="articletitle">
    <w:name w:val="articletitle"/>
    <w:basedOn w:val="Domylnaczcionkaakapitu"/>
  </w:style>
  <w:style w:type="character" w:customStyle="1" w:styleId="link-preview-wrapper">
    <w:name w:val="link-preview-wrapper"/>
    <w:basedOn w:val="Domylnaczcionkaakapitu"/>
  </w:style>
  <w:style w:type="character" w:customStyle="1" w:styleId="TekstNBZnak">
    <w:name w:val="Tekst_NB Znak"/>
    <w:basedOn w:val="Domylnaczcionkaakapitu"/>
    <w:link w:val="TekstNB"/>
    <w:rPr>
      <w:rFonts w:ascii="Times New Roman" w:eastAsia="Times New Roman" w:hAnsi="Times New Roman" w:cs="Times New Roman"/>
      <w:sz w:val="22"/>
      <w:lang w:eastAsia="pl-PL"/>
    </w:rPr>
  </w:style>
  <w:style w:type="character" w:customStyle="1" w:styleId="TekstprzypisudolnegoZnak">
    <w:name w:val="Tekst przypisu dolnego Znak"/>
    <w:aliases w:val="Znak Znak,Tekst przypisu Znak,Tekst przypisu dolnego Znak Znak Znak,Podrozdział Znak,Podrozdzia3 Znak,Tekst przypisu Znak Znak Znak Znak Znak1,Tekst przypisu Znak Znak Znak Znak Znak Znak,fn Znak,Char Char Znak"/>
    <w:basedOn w:val="Domylnaczcionkaakapitu"/>
    <w:link w:val="Tekstprzypisudolnego"/>
    <w:rPr>
      <w:rFonts w:ascii="Times New Roman" w:eastAsia="Times New Roman" w:hAnsi="Times New Roman" w:cs="Times New Roman"/>
      <w:sz w:val="18"/>
      <w:szCs w:val="20"/>
      <w:lang w:eastAsia="pl-PL"/>
    </w:rPr>
  </w:style>
  <w:style w:type="character" w:styleId="Odwoanieprzypisudolnego">
    <w:name w:val="footnote reference"/>
    <w:aliases w:val="note TESI,Ref,de nota al pie,Odwołanie przypisu,Footnote number,SUPERS,Footnote symbol,fr,o,Nota,(NECG) Footnote Reference,Footnote,PRZYPIS DOLNY,FZ,-E Fußnotenzeichen,FC,OdwoŁanie przypisu,Footnote reference number,BVI fnr"/>
    <w:basedOn w:val="Domylnaczcionkaakapitu"/>
    <w:rPr>
      <w:rFonts w:cs="Times New Roman"/>
      <w:vertAlign w:val="superscript"/>
    </w:rPr>
  </w:style>
  <w:style w:type="character" w:customStyle="1" w:styleId="Other0">
    <w:name w:val="Other_"/>
    <w:basedOn w:val="Domylnaczcionkaakapitu"/>
    <w:link w:val="Other"/>
    <w:rPr>
      <w:rFonts w:ascii="Arial" w:eastAsia="Arial" w:hAnsi="Arial" w:cs="Arial"/>
      <w:sz w:val="20"/>
      <w:szCs w:val="20"/>
    </w:rPr>
  </w:style>
  <w:style w:type="character" w:customStyle="1" w:styleId="FootnoteTextChar">
    <w:name w:val="Footnote Text Char"/>
    <w:semiHidden/>
    <w:rPr>
      <w:sz w:val="20"/>
      <w:szCs w:val="20"/>
    </w:rPr>
  </w:style>
  <w:style w:type="character" w:styleId="Odwoanieprzypisukocowego">
    <w:name w:val="endnote reference"/>
    <w:semiHidden/>
    <w:rPr>
      <w:vertAlign w:val="superscript"/>
    </w:rPr>
  </w:style>
  <w:style w:type="character" w:customStyle="1" w:styleId="TekstprzypisukocowegoZnak">
    <w:name w:val="Tekst przypisu końcowego Znak"/>
    <w:link w:val="Tekstprzypisukocowego"/>
    <w:semiHidden/>
    <w:rPr>
      <w:sz w:val="20"/>
      <w:szCs w:val="20"/>
    </w:rPr>
  </w:style>
  <w:style w:type="table" w:styleId="Tabela-Prosty1">
    <w:name w:val="Table Simple 1"/>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12700" cmpd="sng" algn="ctr">
          <a:solidFill>
            <a:schemeClr val="phClr"/>
          </a:solidFill>
          <a:prstDash val="solid"/>
          <a:miter lim="800000"/>
        </a:ln>
        <a:ln w="19050" cmpd="sng" algn="ctr">
          <a:solidFill>
            <a:schemeClr val="phClr"/>
          </a:solidFill>
          <a:prstDash val="solid"/>
          <a:miter lim="800000"/>
        </a:ln>
        <a:ln w="2540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16539</Words>
  <Characters>99236</Characters>
  <Application>Microsoft Office Word</Application>
  <DocSecurity>4</DocSecurity>
  <Lines>826</Lines>
  <Paragraphs>231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Gałas Anna</dc:creator>
  <cp:lastModifiedBy>Kowalik Anna</cp:lastModifiedBy>
  <cp:revision>2</cp:revision>
  <dcterms:created xsi:type="dcterms:W3CDTF">2026-07-21T09:58:00Z</dcterms:created>
  <dcterms:modified xsi:type="dcterms:W3CDTF">2026-07-21T09:58:00Z</dcterms:modified>
</cp:coreProperties>
</file>