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4DEA" w14:textId="77777777" w:rsidR="00F31496" w:rsidRPr="00F31496" w:rsidRDefault="00F31496" w:rsidP="00F31496">
      <w:pPr>
        <w:spacing w:after="0" w:line="240" w:lineRule="auto"/>
        <w:rPr>
          <w:rFonts w:ascii="Times New Roman" w:eastAsia="Times New Roman" w:hAnsi="Times New Roman" w:cs="Times New Roman"/>
          <w:kern w:val="0"/>
          <w:sz w:val="24"/>
          <w:szCs w:val="24"/>
          <w:lang w:eastAsia="it-IT"/>
          <w14:ligatures w14:val="none"/>
        </w:rPr>
      </w:pPr>
      <w:r w:rsidRPr="00F31496">
        <w:rPr>
          <w:rFonts w:ascii="Times New Roman" w:eastAsia="Times New Roman" w:hAnsi="Times New Roman" w:cs="Times New Roman"/>
          <w:color w:val="000000"/>
          <w:kern w:val="0"/>
          <w:sz w:val="27"/>
          <w:szCs w:val="27"/>
          <w:lang w:eastAsia="it-IT"/>
          <w14:ligatures w14:val="none"/>
        </w:rPr>
        <w:t>Pubblicato il 18/05/2026</w:t>
      </w:r>
    </w:p>
    <w:p w14:paraId="20A20AF6" w14:textId="77777777" w:rsidR="00F31496" w:rsidRPr="00F31496" w:rsidRDefault="00F31496" w:rsidP="00F31496">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F31496">
        <w:rPr>
          <w:rFonts w:ascii="Times Nordic" w:eastAsia="Times New Roman" w:hAnsi="Times Nordic" w:cs="Times New Roman"/>
          <w:b/>
          <w:bCs/>
          <w:color w:val="000000"/>
          <w:kern w:val="0"/>
          <w:lang w:eastAsia="it-IT"/>
          <w14:ligatures w14:val="none"/>
        </w:rPr>
        <w:t>N. 09256/2026 REG.PROV.COLL.</w:t>
      </w:r>
    </w:p>
    <w:p w14:paraId="038B4A13" w14:textId="77777777" w:rsidR="00F31496" w:rsidRPr="00F31496" w:rsidRDefault="00F31496" w:rsidP="00F31496">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F31496">
        <w:rPr>
          <w:rFonts w:ascii="Times Nordic" w:eastAsia="Times New Roman" w:hAnsi="Times Nordic" w:cs="Times New Roman"/>
          <w:b/>
          <w:bCs/>
          <w:color w:val="000000"/>
          <w:kern w:val="0"/>
          <w:lang w:eastAsia="it-IT"/>
          <w14:ligatures w14:val="none"/>
        </w:rPr>
        <w:t>N. 14506/2025 REG.RIC.</w:t>
      </w:r>
    </w:p>
    <w:p w14:paraId="11A5720D" w14:textId="77777777" w:rsidR="00F31496" w:rsidRPr="00F31496" w:rsidRDefault="00F31496" w:rsidP="00F31496">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F31496">
        <w:rPr>
          <w:rFonts w:ascii="Garamond" w:eastAsia="Times New Roman" w:hAnsi="Garamond" w:cs="Times New Roman"/>
          <w:b/>
          <w:bCs/>
          <w:noProof/>
          <w:color w:val="000000"/>
          <w:spacing w:val="150"/>
          <w:kern w:val="0"/>
          <w:sz w:val="27"/>
          <w:szCs w:val="27"/>
          <w:lang w:eastAsia="it-IT"/>
          <w14:ligatures w14:val="none"/>
        </w:rPr>
        <mc:AlternateContent>
          <mc:Choice Requires="wps">
            <w:drawing>
              <wp:inline distT="0" distB="0" distL="0" distR="0" wp14:anchorId="734C0BE7" wp14:editId="47719C25">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8D14BE"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152A94" w14:textId="77777777" w:rsidR="00F31496" w:rsidRPr="00F31496" w:rsidRDefault="00F31496" w:rsidP="00F31496">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F31496">
        <w:rPr>
          <w:rFonts w:ascii="Garamond" w:eastAsia="Times New Roman" w:hAnsi="Garamond" w:cs="Times New Roman"/>
          <w:b/>
          <w:bCs/>
          <w:color w:val="000000"/>
          <w:spacing w:val="150"/>
          <w:kern w:val="0"/>
          <w:sz w:val="27"/>
          <w:szCs w:val="27"/>
          <w:lang w:eastAsia="it-IT"/>
          <w14:ligatures w14:val="none"/>
        </w:rPr>
        <w:t>REPUBBLICA ITALIANA</w:t>
      </w:r>
    </w:p>
    <w:p w14:paraId="2E0F18AE" w14:textId="77777777" w:rsidR="00F31496" w:rsidRPr="00F31496" w:rsidRDefault="00F31496" w:rsidP="00F31496">
      <w:pPr>
        <w:spacing w:before="100" w:beforeAutospacing="1" w:after="100" w:afterAutospacing="1" w:line="240" w:lineRule="auto"/>
        <w:jc w:val="center"/>
        <w:rPr>
          <w:rFonts w:ascii="Garamond" w:eastAsia="Times New Roman" w:hAnsi="Garamond" w:cs="Times New Roman"/>
          <w:b/>
          <w:bCs/>
          <w:color w:val="000000"/>
          <w:kern w:val="0"/>
          <w:lang w:eastAsia="it-IT"/>
          <w14:ligatures w14:val="none"/>
        </w:rPr>
      </w:pPr>
      <w:r w:rsidRPr="00F31496">
        <w:rPr>
          <w:rFonts w:ascii="Garamond" w:eastAsia="Times New Roman" w:hAnsi="Garamond" w:cs="Times New Roman"/>
          <w:b/>
          <w:bCs/>
          <w:color w:val="000000"/>
          <w:kern w:val="0"/>
          <w:lang w:eastAsia="it-IT"/>
          <w14:ligatures w14:val="none"/>
        </w:rPr>
        <w:t>IN NOME DEL POPOLO ITALIANO</w:t>
      </w:r>
    </w:p>
    <w:p w14:paraId="1432856F" w14:textId="77777777" w:rsidR="00F31496" w:rsidRPr="00F31496" w:rsidRDefault="00F31496" w:rsidP="00F31496">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F31496">
        <w:rPr>
          <w:rFonts w:ascii="Garamond" w:eastAsia="Times New Roman" w:hAnsi="Garamond" w:cs="Times New Roman"/>
          <w:b/>
          <w:bCs/>
          <w:color w:val="000000"/>
          <w:kern w:val="0"/>
          <w:sz w:val="26"/>
          <w:szCs w:val="26"/>
          <w:lang w:eastAsia="it-IT"/>
          <w14:ligatures w14:val="none"/>
        </w:rPr>
        <w:t>Il Tribunale Amministrativo Regionale per il Lazio</w:t>
      </w:r>
    </w:p>
    <w:p w14:paraId="7135ABF8" w14:textId="77777777" w:rsidR="00F31496" w:rsidRPr="00F31496" w:rsidRDefault="00F31496" w:rsidP="00F31496">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F31496">
        <w:rPr>
          <w:rFonts w:ascii="Garamond" w:eastAsia="Times New Roman" w:hAnsi="Garamond" w:cs="Times New Roman"/>
          <w:b/>
          <w:bCs/>
          <w:color w:val="000000"/>
          <w:kern w:val="0"/>
          <w:sz w:val="26"/>
          <w:szCs w:val="26"/>
          <w:lang w:eastAsia="it-IT"/>
          <w14:ligatures w14:val="none"/>
        </w:rPr>
        <w:t>(Sezione Prima)</w:t>
      </w:r>
    </w:p>
    <w:p w14:paraId="33132F39" w14:textId="77777777" w:rsidR="00F31496" w:rsidRPr="00F31496" w:rsidRDefault="00F31496" w:rsidP="00F31496">
      <w:pPr>
        <w:spacing w:after="0" w:line="520" w:lineRule="atLeast"/>
        <w:ind w:firstLine="567"/>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ha pronunciato la presente</w:t>
      </w:r>
    </w:p>
    <w:p w14:paraId="0207675E" w14:textId="77777777" w:rsidR="00F31496" w:rsidRPr="00F31496" w:rsidRDefault="00F31496" w:rsidP="00F31496">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F31496">
        <w:rPr>
          <w:rFonts w:ascii="Garamond" w:eastAsia="Times New Roman" w:hAnsi="Garamond" w:cs="Times New Roman"/>
          <w:b/>
          <w:bCs/>
          <w:color w:val="000000"/>
          <w:kern w:val="0"/>
          <w:sz w:val="26"/>
          <w:szCs w:val="26"/>
          <w:lang w:eastAsia="it-IT"/>
          <w14:ligatures w14:val="none"/>
        </w:rPr>
        <w:t>SENTENZA</w:t>
      </w:r>
    </w:p>
    <w:p w14:paraId="7115237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sul ricorso numero di registro generale 14506 del 2025, proposto da</w:t>
      </w:r>
      <w:r w:rsidRPr="00F31496">
        <w:rPr>
          <w:rFonts w:ascii="Garamond" w:eastAsia="Times New Roman" w:hAnsi="Garamond" w:cs="Times New Roman"/>
          <w:color w:val="000000"/>
          <w:kern w:val="0"/>
          <w:sz w:val="30"/>
          <w:szCs w:val="30"/>
          <w:lang w:eastAsia="it-IT"/>
          <w14:ligatures w14:val="none"/>
        </w:rPr>
        <w:br/>
        <w:t>Esso Italiana s.r.l., rappresentata e difesa dagli avvocati Fabio Cintioli, Emilio De Giorgi, Vito Maria Auricchio, Paolo Giugliano, con domicilio eletto in Roma, via Vittoria Colonna 32;</w:t>
      </w:r>
    </w:p>
    <w:p w14:paraId="52FE6D6A" w14:textId="77777777" w:rsidR="00F31496" w:rsidRPr="00F31496" w:rsidRDefault="00F31496" w:rsidP="00F31496">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F31496">
        <w:rPr>
          <w:rFonts w:ascii="Garamond" w:eastAsia="Times New Roman" w:hAnsi="Garamond" w:cs="Times New Roman"/>
          <w:b/>
          <w:bCs/>
          <w:i/>
          <w:iCs/>
          <w:color w:val="000000"/>
          <w:kern w:val="0"/>
          <w:sz w:val="30"/>
          <w:szCs w:val="30"/>
          <w:lang w:eastAsia="it-IT"/>
          <w14:ligatures w14:val="none"/>
        </w:rPr>
        <w:t>contro</w:t>
      </w:r>
    </w:p>
    <w:p w14:paraId="05B85C8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Autorità Garante della Concorrenza e del Mercato, rappresentata e difesa dall'Avvocatura Generale dello Stato, domiciliata in Roma, via dei Portoghesi, 12;</w:t>
      </w:r>
    </w:p>
    <w:p w14:paraId="0CC2FC98" w14:textId="77777777" w:rsidR="00F31496" w:rsidRPr="00F31496" w:rsidRDefault="00F31496" w:rsidP="00F31496">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F31496">
        <w:rPr>
          <w:rFonts w:ascii="Garamond" w:eastAsia="Times New Roman" w:hAnsi="Garamond" w:cs="Times New Roman"/>
          <w:b/>
          <w:bCs/>
          <w:i/>
          <w:iCs/>
          <w:color w:val="000000"/>
          <w:kern w:val="0"/>
          <w:sz w:val="30"/>
          <w:szCs w:val="30"/>
          <w:lang w:eastAsia="it-IT"/>
          <w14:ligatures w14:val="none"/>
        </w:rPr>
        <w:t>nei confronti</w:t>
      </w:r>
    </w:p>
    <w:p w14:paraId="2F60FA4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Associazione Codici – Centro per i Diritti del Cittadino;</w:t>
      </w:r>
      <w:r w:rsidRPr="00F31496">
        <w:rPr>
          <w:rFonts w:ascii="Garamond" w:eastAsia="Times New Roman" w:hAnsi="Garamond" w:cs="Times New Roman"/>
          <w:color w:val="000000"/>
          <w:kern w:val="0"/>
          <w:sz w:val="30"/>
          <w:szCs w:val="30"/>
          <w:lang w:eastAsia="it-IT"/>
          <w14:ligatures w14:val="none"/>
        </w:rPr>
        <w:br/>
        <w:t>Movimento Difesa del Cittadino;</w:t>
      </w:r>
      <w:r w:rsidRPr="00F31496">
        <w:rPr>
          <w:rFonts w:ascii="Garamond" w:eastAsia="Times New Roman" w:hAnsi="Garamond" w:cs="Times New Roman"/>
          <w:color w:val="000000"/>
          <w:kern w:val="0"/>
          <w:sz w:val="30"/>
          <w:szCs w:val="30"/>
          <w:lang w:eastAsia="it-IT"/>
          <w14:ligatures w14:val="none"/>
        </w:rPr>
        <w:br/>
        <w:t>Legambiente Nazionale Aps – Rete Associativa – Ets;</w:t>
      </w:r>
    </w:p>
    <w:p w14:paraId="366D81CE" w14:textId="77777777" w:rsidR="00F31496" w:rsidRPr="00F31496" w:rsidRDefault="00F31496" w:rsidP="00F31496">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F31496">
        <w:rPr>
          <w:rFonts w:ascii="Garamond" w:eastAsia="Times New Roman" w:hAnsi="Garamond" w:cs="Times New Roman"/>
          <w:b/>
          <w:bCs/>
          <w:i/>
          <w:iCs/>
          <w:color w:val="000000"/>
          <w:kern w:val="0"/>
          <w:sz w:val="30"/>
          <w:szCs w:val="30"/>
          <w:lang w:eastAsia="it-IT"/>
          <w14:ligatures w14:val="none"/>
        </w:rPr>
        <w:t>per l'annullamento</w:t>
      </w:r>
    </w:p>
    <w:p w14:paraId="22198EC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della deliberazione dell</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Autorit</w:t>
      </w:r>
      <w:r w:rsidRPr="00F31496">
        <w:rPr>
          <w:rFonts w:ascii="Garamond" w:eastAsia="Times New Roman" w:hAnsi="Garamond" w:cs="Garamond"/>
          <w:color w:val="000000"/>
          <w:kern w:val="0"/>
          <w:sz w:val="30"/>
          <w:szCs w:val="30"/>
          <w:lang w:eastAsia="it-IT"/>
          <w14:ligatures w14:val="none"/>
        </w:rPr>
        <w:t>à</w:t>
      </w:r>
      <w:r w:rsidRPr="00F31496">
        <w:rPr>
          <w:rFonts w:ascii="Garamond" w:eastAsia="Times New Roman" w:hAnsi="Garamond" w:cs="Times New Roman"/>
          <w:color w:val="000000"/>
          <w:kern w:val="0"/>
          <w:sz w:val="30"/>
          <w:szCs w:val="30"/>
          <w:lang w:eastAsia="it-IT"/>
          <w14:ligatures w14:val="none"/>
        </w:rPr>
        <w:t xml:space="preserve"> garante della concorrenza e del mercato (AGCM) del 23.9.2025 n. 31673, proc. 1864, con cui si </w:t>
      </w:r>
      <w:r w:rsidRPr="00F31496">
        <w:rPr>
          <w:rFonts w:ascii="Garamond" w:eastAsia="Times New Roman" w:hAnsi="Garamond" w:cs="Garamond"/>
          <w:color w:val="000000"/>
          <w:kern w:val="0"/>
          <w:sz w:val="30"/>
          <w:szCs w:val="30"/>
          <w:lang w:eastAsia="it-IT"/>
          <w14:ligatures w14:val="none"/>
        </w:rPr>
        <w:t>è</w:t>
      </w:r>
      <w:r w:rsidRPr="00F31496">
        <w:rPr>
          <w:rFonts w:ascii="Garamond" w:eastAsia="Times New Roman" w:hAnsi="Garamond" w:cs="Times New Roman"/>
          <w:color w:val="000000"/>
          <w:kern w:val="0"/>
          <w:sz w:val="30"/>
          <w:szCs w:val="30"/>
          <w:lang w:eastAsia="it-IT"/>
          <w14:ligatures w14:val="none"/>
        </w:rPr>
        <w:t xml:space="preserve"> deliberato </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i/>
          <w:iCs/>
          <w:color w:val="000000"/>
          <w:kern w:val="0"/>
          <w:sz w:val="30"/>
          <w:szCs w:val="30"/>
          <w:lang w:eastAsia="it-IT"/>
          <w14:ligatures w14:val="none"/>
        </w:rPr>
        <w:t xml:space="preserve">a) che le società ENI, KUWAIT, ESSO, TAMOIL, IP e SARAS hanno posto in essere un’intesa restrittiva della </w:t>
      </w:r>
      <w:r w:rsidRPr="00F31496">
        <w:rPr>
          <w:rFonts w:ascii="Garamond" w:eastAsia="Times New Roman" w:hAnsi="Garamond" w:cs="Times New Roman"/>
          <w:i/>
          <w:iCs/>
          <w:color w:val="000000"/>
          <w:kern w:val="0"/>
          <w:sz w:val="30"/>
          <w:szCs w:val="30"/>
          <w:lang w:eastAsia="it-IT"/>
          <w14:ligatures w14:val="none"/>
        </w:rPr>
        <w:lastRenderedPageBreak/>
        <w:t>concorrenza in violazione dell’articolo 101 del Trattato sul funzionamento dell’Unione europea consistente in una pratica concordata avente ad oggetto l’applicazione di aumenti simultanei e coordinati del valore della componente bio; b) che ENI, KUWAIT, ESSO, TAMOIL, IP e SARAS si astengano in futuro dal porre in essere comportamenti analoghi a quelli oggetto dell’infrazione accertata di cui al punto a); che, in ragione della gravità e durata dell’infrazione di cui al punto a) alle società riportate nella tabella che segue siano applicate le sanzioni amministrative pecuniarie rispettivamente e complessivamente pari</w:t>
      </w:r>
      <w:r w:rsidRPr="00F31496">
        <w:rPr>
          <w:rFonts w:ascii="Garamond" w:eastAsia="Times New Roman" w:hAnsi="Garamond" w:cs="Times New Roman"/>
          <w:color w:val="000000"/>
          <w:kern w:val="0"/>
          <w:sz w:val="30"/>
          <w:szCs w:val="30"/>
          <w:lang w:eastAsia="it-IT"/>
          <w14:ligatures w14:val="none"/>
        </w:rPr>
        <w:t>”, per quanto riguarda la ricorrente, ad euro 129.363.561,00; nonché di ogni atto presupposto, connesso e conseguenziale.</w:t>
      </w:r>
    </w:p>
    <w:p w14:paraId="49876B6B" w14:textId="77777777" w:rsidR="00F31496" w:rsidRPr="00F31496" w:rsidRDefault="00F31496" w:rsidP="00F31496">
      <w:pPr>
        <w:spacing w:after="0" w:line="240" w:lineRule="auto"/>
        <w:rPr>
          <w:rFonts w:ascii="Times New Roman" w:eastAsia="Times New Roman" w:hAnsi="Times New Roman" w:cs="Times New Roman"/>
          <w:kern w:val="0"/>
          <w:sz w:val="24"/>
          <w:szCs w:val="24"/>
          <w:lang w:eastAsia="it-IT"/>
          <w14:ligatures w14:val="none"/>
        </w:rPr>
      </w:pPr>
      <w:r w:rsidRPr="00F31496">
        <w:rPr>
          <w:rFonts w:ascii="Times New Roman" w:eastAsia="Times New Roman" w:hAnsi="Times New Roman" w:cs="Times New Roman"/>
          <w:color w:val="000000"/>
          <w:kern w:val="0"/>
          <w:sz w:val="27"/>
          <w:szCs w:val="27"/>
          <w:lang w:eastAsia="it-IT"/>
          <w14:ligatures w14:val="none"/>
        </w:rPr>
        <w:br/>
      </w:r>
    </w:p>
    <w:p w14:paraId="6B30BCC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Visti il ricorso e i relativi allegati;</w:t>
      </w:r>
    </w:p>
    <w:p w14:paraId="47C67D5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Visto l'atto di costituzione in giudizio di AGCM;</w:t>
      </w:r>
    </w:p>
    <w:p w14:paraId="24C2B5F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Visti tutti gli atti della causa;</w:t>
      </w:r>
    </w:p>
    <w:p w14:paraId="5CCC86C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Relatore nell'udienza pubblica del giorno 15 aprile 2026 il dott. Angelo Fanizza e uditi per le parti i difensori come specificato nel verbale;</w:t>
      </w:r>
    </w:p>
    <w:p w14:paraId="2D5B27E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Ritenuto e considerato in fatto e diritto quanto segue.</w:t>
      </w:r>
    </w:p>
    <w:p w14:paraId="1D17B2AD" w14:textId="77777777" w:rsidR="00F31496" w:rsidRPr="00F31496" w:rsidRDefault="00F31496" w:rsidP="00F31496">
      <w:pPr>
        <w:spacing w:after="0" w:line="240" w:lineRule="auto"/>
        <w:rPr>
          <w:rFonts w:ascii="Times New Roman" w:eastAsia="Times New Roman" w:hAnsi="Times New Roman" w:cs="Times New Roman"/>
          <w:kern w:val="0"/>
          <w:sz w:val="24"/>
          <w:szCs w:val="24"/>
          <w:lang w:eastAsia="it-IT"/>
          <w14:ligatures w14:val="none"/>
        </w:rPr>
      </w:pPr>
      <w:r w:rsidRPr="00F31496">
        <w:rPr>
          <w:rFonts w:ascii="Times New Roman" w:eastAsia="Times New Roman" w:hAnsi="Times New Roman" w:cs="Times New Roman"/>
          <w:color w:val="000000"/>
          <w:kern w:val="0"/>
          <w:sz w:val="27"/>
          <w:szCs w:val="27"/>
          <w:lang w:eastAsia="it-IT"/>
          <w14:ligatures w14:val="none"/>
        </w:rPr>
        <w:br/>
      </w:r>
    </w:p>
    <w:p w14:paraId="312E48D3" w14:textId="77777777" w:rsidR="00F31496" w:rsidRPr="00F31496" w:rsidRDefault="00F31496" w:rsidP="00F31496">
      <w:pPr>
        <w:spacing w:after="0" w:line="540" w:lineRule="atLeast"/>
        <w:jc w:val="center"/>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FATTO</w:t>
      </w:r>
    </w:p>
    <w:p w14:paraId="57ACA66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1. La società Esso Italiana s.r.l. ha impugnato e chiesto l’annullamento della deliberazione dell’Autorità garante della concorrenza e del mercato (AGCM) del 23.9.2025 n. 31673, proc. 1864, con cui si è deliberato “</w:t>
      </w:r>
      <w:r w:rsidRPr="00F31496">
        <w:rPr>
          <w:rFonts w:ascii="Garamond" w:eastAsia="Times New Roman" w:hAnsi="Garamond" w:cs="Times New Roman"/>
          <w:i/>
          <w:iCs/>
          <w:color w:val="000000"/>
          <w:kern w:val="0"/>
          <w:sz w:val="30"/>
          <w:szCs w:val="30"/>
          <w:lang w:eastAsia="it-IT"/>
          <w14:ligatures w14:val="none"/>
        </w:rPr>
        <w:t xml:space="preserve">a) che le società ENI, KUWAIT, ESSO, TAMOIL, IP e SARAS hanno posto in essere un’intesa restrittiva della concorrenza in violazione dell’articolo 101 del Trattato sul funzionamento dell’Unione europea consistente in una pratica concordata avente ad oggetto l’applicazione di aumenti simultanei e coordinati del valore della componente bio; b) che ENI, KUWAIT, ESSO, TAMOIL, IP e SARAS si astengano in futuro dal porre in essere comportamenti analoghi a quelli oggetto dell’infrazione accertata di cui al punto a); che, in ragione della gravità e durata dell’infrazione di cui al punto a) alle società riportate nella tabella che segue siano applicate le sanzioni amministrative </w:t>
      </w:r>
      <w:r w:rsidRPr="00F31496">
        <w:rPr>
          <w:rFonts w:ascii="Garamond" w:eastAsia="Times New Roman" w:hAnsi="Garamond" w:cs="Times New Roman"/>
          <w:i/>
          <w:iCs/>
          <w:color w:val="000000"/>
          <w:kern w:val="0"/>
          <w:sz w:val="30"/>
          <w:szCs w:val="30"/>
          <w:lang w:eastAsia="it-IT"/>
          <w14:ligatures w14:val="none"/>
        </w:rPr>
        <w:lastRenderedPageBreak/>
        <w:t>pecuniarie rispettivamente e complessivamente pari</w:t>
      </w:r>
      <w:r w:rsidRPr="00F31496">
        <w:rPr>
          <w:rFonts w:ascii="Garamond" w:eastAsia="Times New Roman" w:hAnsi="Garamond" w:cs="Times New Roman"/>
          <w:color w:val="000000"/>
          <w:kern w:val="0"/>
          <w:sz w:val="30"/>
          <w:szCs w:val="30"/>
          <w:lang w:eastAsia="it-IT"/>
          <w14:ligatures w14:val="none"/>
        </w:rPr>
        <w:t>”, per quanto riguarda la ricorrente, ad euro 129.363.561,00; nonché di ogni atto presupposto, connesso e conseguenziale.</w:t>
      </w:r>
    </w:p>
    <w:p w14:paraId="1578E93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 In sintesi, è accaduto che in data 27.3.2023, attraverso la piattaforma di </w:t>
      </w:r>
      <w:r w:rsidRPr="00F31496">
        <w:rPr>
          <w:rFonts w:ascii="Garamond" w:eastAsia="Times New Roman" w:hAnsi="Garamond" w:cs="Times New Roman"/>
          <w:i/>
          <w:iCs/>
          <w:color w:val="000000"/>
          <w:kern w:val="0"/>
          <w:sz w:val="30"/>
          <w:szCs w:val="30"/>
          <w:lang w:eastAsia="it-IT"/>
          <w14:ligatures w14:val="none"/>
        </w:rPr>
        <w:t>whistleblowing</w:t>
      </w:r>
      <w:r w:rsidRPr="00F31496">
        <w:rPr>
          <w:rFonts w:ascii="Garamond" w:eastAsia="Times New Roman" w:hAnsi="Garamond" w:cs="Times New Roman"/>
          <w:color w:val="000000"/>
          <w:kern w:val="0"/>
          <w:sz w:val="30"/>
          <w:szCs w:val="30"/>
          <w:lang w:eastAsia="it-IT"/>
          <w14:ligatures w14:val="none"/>
        </w:rPr>
        <w:t> dell’Autorità, è pervenuta a quest’ultima una segnalazione anonima avente a oggetto una presunta intesa tra le principali società petrolifere attive in Italia nel settore dei carburanti per autotrazione. Dopo varie interlocuzioni con il </w:t>
      </w:r>
      <w:r w:rsidRPr="00F31496">
        <w:rPr>
          <w:rFonts w:ascii="Garamond" w:eastAsia="Times New Roman" w:hAnsi="Garamond" w:cs="Times New Roman"/>
          <w:i/>
          <w:iCs/>
          <w:color w:val="000000"/>
          <w:kern w:val="0"/>
          <w:sz w:val="30"/>
          <w:szCs w:val="30"/>
          <w:lang w:eastAsia="it-IT"/>
          <w14:ligatures w14:val="none"/>
        </w:rPr>
        <w:t>whistleblower</w:t>
      </w:r>
      <w:r w:rsidRPr="00F31496">
        <w:rPr>
          <w:rFonts w:ascii="Garamond" w:eastAsia="Times New Roman" w:hAnsi="Garamond" w:cs="Times New Roman"/>
          <w:color w:val="000000"/>
          <w:kern w:val="0"/>
          <w:sz w:val="30"/>
          <w:szCs w:val="30"/>
          <w:lang w:eastAsia="it-IT"/>
          <w14:ligatures w14:val="none"/>
        </w:rPr>
        <w:t>, l’ultima delle quali del 5.4.2023, è stata ricostruita la condotta segnalata, consistente, secondo il denunciante, in un’intesa avente a oggetto la componente di costo derivante dagli obblighi di miscelazione del biocarburante nel carburante per autotrazione, che verrebbe ribaltata, nella stessa entità, a tutti gli operatori di mercato indipendentemente dal costo effettivamente sostenuto da ciascuna compagnia petrolifera. Secondo il segnalante la pratica si sarebbe verificata costantemente negli ultimi anni e si sarebbe realizzata attraverso un sistema di annunci pubblici sul giornale “Staffetta Quotidiana”, e ciò a iniziativa di ENI nel gennaio 2020.</w:t>
      </w:r>
    </w:p>
    <w:p w14:paraId="5A98432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3. L’AGCM ha, pertanto, avviato alcuni accertamenti esitati nella rilevazione che fossero stati pubblicati 16 articoli che fanno riferimento a intenzioni di prezzo di ENI e di altre compagnie petrolifere (ESSO, SARAS, KUWAIT, TAMOIL, IP, REPSOL e IPLOM).</w:t>
      </w:r>
    </w:p>
    <w:p w14:paraId="1E558E1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Sono state, perciò, acquisite le risposte alle richieste di informazioni ricevute dall’Autorità nell’ambito dell’Indagine Conoscitiva IC54, avente a oggetto “</w:t>
      </w:r>
      <w:r w:rsidRPr="00F31496">
        <w:rPr>
          <w:rFonts w:ascii="Garamond" w:eastAsia="Times New Roman" w:hAnsi="Garamond" w:cs="Times New Roman"/>
          <w:i/>
          <w:iCs/>
          <w:color w:val="000000"/>
          <w:kern w:val="0"/>
          <w:sz w:val="30"/>
          <w:szCs w:val="30"/>
          <w:lang w:eastAsia="it-IT"/>
          <w14:ligatures w14:val="none"/>
        </w:rPr>
        <w:t>i prezzi dei carburanti per autotrazione – Dinamiche concorrenziali dall'estrazione alla distribuzione</w:t>
      </w:r>
      <w:r w:rsidRPr="00F31496">
        <w:rPr>
          <w:rFonts w:ascii="Garamond" w:eastAsia="Times New Roman" w:hAnsi="Garamond" w:cs="Times New Roman"/>
          <w:color w:val="000000"/>
          <w:kern w:val="0"/>
          <w:sz w:val="30"/>
          <w:szCs w:val="30"/>
          <w:lang w:eastAsia="it-IT"/>
          <w14:ligatures w14:val="none"/>
        </w:rPr>
        <w:t>”: un’indagine concentrata sulle attività di esplorazione mineraria ed estrazione del petrolio greggio, fasi nel loro complesso indicate come </w:t>
      </w:r>
      <w:r w:rsidRPr="00F31496">
        <w:rPr>
          <w:rFonts w:ascii="Garamond" w:eastAsia="Times New Roman" w:hAnsi="Garamond" w:cs="Times New Roman"/>
          <w:i/>
          <w:iCs/>
          <w:color w:val="000000"/>
          <w:kern w:val="0"/>
          <w:sz w:val="30"/>
          <w:szCs w:val="30"/>
          <w:lang w:eastAsia="it-IT"/>
          <w14:ligatures w14:val="none"/>
        </w:rPr>
        <w:t>upstream</w:t>
      </w:r>
      <w:r w:rsidRPr="00F31496">
        <w:rPr>
          <w:rFonts w:ascii="Garamond" w:eastAsia="Times New Roman" w:hAnsi="Garamond" w:cs="Times New Roman"/>
          <w:color w:val="000000"/>
          <w:kern w:val="0"/>
          <w:sz w:val="30"/>
          <w:szCs w:val="30"/>
          <w:lang w:eastAsia="it-IT"/>
          <w14:ligatures w14:val="none"/>
        </w:rPr>
        <w:t>, nonché, più a valle, quelle della raffinazione e della distribuzione (indicate come </w:t>
      </w:r>
      <w:r w:rsidRPr="00F31496">
        <w:rPr>
          <w:rFonts w:ascii="Garamond" w:eastAsia="Times New Roman" w:hAnsi="Garamond" w:cs="Times New Roman"/>
          <w:i/>
          <w:iCs/>
          <w:color w:val="000000"/>
          <w:kern w:val="0"/>
          <w:sz w:val="30"/>
          <w:szCs w:val="30"/>
          <w:lang w:eastAsia="it-IT"/>
          <w14:ligatures w14:val="none"/>
        </w:rPr>
        <w:t>downstream</w:t>
      </w:r>
      <w:r w:rsidRPr="00F31496">
        <w:rPr>
          <w:rFonts w:ascii="Garamond" w:eastAsia="Times New Roman" w:hAnsi="Garamond" w:cs="Times New Roman"/>
          <w:color w:val="000000"/>
          <w:kern w:val="0"/>
          <w:sz w:val="30"/>
          <w:szCs w:val="30"/>
          <w:lang w:eastAsia="it-IT"/>
          <w14:ligatures w14:val="none"/>
        </w:rPr>
        <w:t xml:space="preserve">); in particolare, le fasi della distribuzione includono le attività che dai depositi primari, nei quali vengono stoccati i carburanti provenienti dalle raffinerie e/o importati </w:t>
      </w:r>
      <w:r w:rsidRPr="00F31496">
        <w:rPr>
          <w:rFonts w:ascii="Garamond" w:eastAsia="Times New Roman" w:hAnsi="Garamond" w:cs="Times New Roman"/>
          <w:color w:val="000000"/>
          <w:kern w:val="0"/>
          <w:sz w:val="30"/>
          <w:szCs w:val="30"/>
          <w:lang w:eastAsia="it-IT"/>
          <w14:ligatures w14:val="none"/>
        </w:rPr>
        <w:lastRenderedPageBreak/>
        <w:t>dall’estero, assicurano il rifornimento degli impianti di distribuzione dislocati sulla rete stradale e autostradale. Mentre le fasi di esplorazione, estrazione e raffinazione risentono delle dinamiche internazionali legate all’andamento globale dei mercati petroliferi, le attività di distribuzione sono, da un lato, il portato di dinamiche competitive di tipo nazionale se non locale, dall’altro risultano inevitabilmente condizionate dalle evoluzioni dei mercati petroliferi a livello globale.</w:t>
      </w:r>
    </w:p>
    <w:p w14:paraId="53387DB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4. In data 11.7.2023 è stato avviato un procedimento istruttorio finalizzato ad accertare “</w:t>
      </w:r>
      <w:r w:rsidRPr="00F31496">
        <w:rPr>
          <w:rFonts w:ascii="Garamond" w:eastAsia="Times New Roman" w:hAnsi="Garamond" w:cs="Times New Roman"/>
          <w:i/>
          <w:iCs/>
          <w:color w:val="000000"/>
          <w:kern w:val="0"/>
          <w:sz w:val="30"/>
          <w:szCs w:val="30"/>
          <w:lang w:eastAsia="it-IT"/>
          <w14:ligatures w14:val="none"/>
        </w:rPr>
        <w:t>un’intesa avente a oggetto un coordinamento tra di esse al fine di limitare il reciproco confronto concorrenziale e di fissare in modo coordinato un’importante componente del prezzo del carburante per autotrazione rappresentata dal biocarburante</w:t>
      </w:r>
      <w:r w:rsidRPr="00F31496">
        <w:rPr>
          <w:rFonts w:ascii="Garamond" w:eastAsia="Times New Roman" w:hAnsi="Garamond" w:cs="Times New Roman"/>
          <w:color w:val="000000"/>
          <w:kern w:val="0"/>
          <w:sz w:val="30"/>
          <w:szCs w:val="30"/>
          <w:lang w:eastAsia="it-IT"/>
          <w14:ligatures w14:val="none"/>
        </w:rPr>
        <w:t>”; parallelamente, in data 19.7.2023 sono state effettuate alcune ispezioni.</w:t>
      </w:r>
    </w:p>
    <w:p w14:paraId="393BB74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data 6.10.2023 alcune delle società destinatarie delle ispezioni (ESSO, SARAS, e TAMOIL) hanno presentato richiesta di proroga per la presentazione formale degli impegni, seguite da ENI e KUWAIT in data 11.10.2023 e da IP che ha presentato medesima istanza in data 12.10.2023. In data 17.10.2023 l’Autorità ha, però, rigettato tali istanze.</w:t>
      </w:r>
    </w:p>
    <w:p w14:paraId="42F260C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data 19.10.2023, le società ENI, ESSO, SARAS, KUWAIT, IP e TAMOIL hanno presentato impegni ai sensi dell’art. 14 ter della legge 287/1990; ma l’Autorità, con provvedimento del 21.11.2023, ha rigettato gli impegni proposti dalle parti in ragione della sussistenza di un interesse a procedere all’accertamento dell’eventuale infrazione, data la natura delle condotte contestate.</w:t>
      </w:r>
    </w:p>
    <w:p w14:paraId="677696A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Per inciso, la ricorrente ESSO ha effettuato l’accesso agli atti in data 26.7.2023, 6.10.2023, 20.11.2023, 16.5.2024, 18.10.2024, 11.2.2025, 15.4.2025, 16.5.2025 E 17.6.2025.</w:t>
      </w:r>
    </w:p>
    <w:p w14:paraId="4B7EEDB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Inoltre, sono stati messi a disposizione delle parti interessate, attraverso il sistema della “data room” ed in un arco di tempo compreso tra il 27.2.2025 ed il 30.4.2025, i documenti nella loro versione integrale ma in precedenza sottoposti a regime di </w:t>
      </w:r>
      <w:r w:rsidRPr="00F31496">
        <w:rPr>
          <w:rFonts w:ascii="Garamond" w:eastAsia="Times New Roman" w:hAnsi="Garamond" w:cs="Times New Roman"/>
          <w:color w:val="000000"/>
          <w:kern w:val="0"/>
          <w:sz w:val="30"/>
          <w:szCs w:val="30"/>
          <w:lang w:eastAsia="it-IT"/>
          <w14:ligatures w14:val="none"/>
        </w:rPr>
        <w:lastRenderedPageBreak/>
        <w:t>riservatezza, nonché le elaborazioni dei dati realizzate dagli Uffici e utilizzate per la redazione delle comunicazioni delle risultanze istruttorie (CRI).</w:t>
      </w:r>
    </w:p>
    <w:p w14:paraId="5F719BC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ricorrente è stata audita in data 17.6.2024 e 25.7.2024.</w:t>
      </w:r>
    </w:p>
    <w:p w14:paraId="2471300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5. Venendo al merito dell’attività oggetto di impugnazione, occorre evidenziare che la ricorrente opera nel settore della raffinazione, commercializzazione e distribuzione di prodotti petroliferi e, per quanto riguarda i fatti di causa, il suo capitale sociale è stato detenuto fino al 30.9.2023 in maniera esclusiva dalla società di diritto belga Exxonmobil Petroleum &amp; Chemical BVBA, mentre, a partire dal 25.9.2023, ha conferito alla società ESE S.r.l. il ramo d’azienda relativo ai carburanti e alla raffinazione; in ogni caso, con decorrenza 1.10.2023 è stata perfezionata da parte di Italiana Petroli S.p.A. l’acquisizione del 100% del capitale sociale di ESE s.r.l.</w:t>
      </w:r>
    </w:p>
    <w:p w14:paraId="254B57A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Punto focale dell’accertamento è stato il mercato delle immissioni in consumo di carburanti, regolato dall’obbligo previsto dall’art. 2 quater del DL 2/2006, convertito con modificazioni dalla legge 81/2006, consistente nell’imposizione ai soggetti che immettono in consumo benzina e gasolio prodotti a partire da fonti primarie non rinnovabili e destinati a essere impiegati per autotrazione, di immettere in consumo nel territorio nazionale una quota minima di biocarburanti: una quota che, nel 2007, era pari all’1%, ma che si è successivamente modificata a seguito dell’entrata in vigore del DM ambiente e sicurezza energetica n. 107/2023, il cui art. 3 ha previsto che l’assolvimento degli obblighi di immissione possa avvenire in due modi: a) immettendo direttamente attraverso la miscelazione il quantitativo minimo di biocarburante richiesto; b) sostituendo l’obbligo di miscelazione con l’acquisto dei CIC (Certificati di immissione in consumo) emessi dal Gestore Servizi Energetici (GSE).</w:t>
      </w:r>
    </w:p>
    <w:p w14:paraId="566D76F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Più in dettaglio, gli operatori sono obbligati </w:t>
      </w:r>
      <w:r w:rsidRPr="00F31496">
        <w:rPr>
          <w:rFonts w:ascii="Garamond" w:eastAsia="Times New Roman" w:hAnsi="Garamond" w:cs="Times New Roman"/>
          <w:i/>
          <w:iCs/>
          <w:color w:val="000000"/>
          <w:kern w:val="0"/>
          <w:sz w:val="30"/>
          <w:szCs w:val="30"/>
          <w:lang w:eastAsia="it-IT"/>
          <w14:ligatures w14:val="none"/>
        </w:rPr>
        <w:t>ex lege</w:t>
      </w:r>
      <w:r w:rsidRPr="00F31496">
        <w:rPr>
          <w:rFonts w:ascii="Garamond" w:eastAsia="Times New Roman" w:hAnsi="Garamond" w:cs="Times New Roman"/>
          <w:color w:val="000000"/>
          <w:kern w:val="0"/>
          <w:sz w:val="30"/>
          <w:szCs w:val="30"/>
          <w:lang w:eastAsia="it-IT"/>
          <w14:ligatures w14:val="none"/>
        </w:rPr>
        <w:t xml:space="preserve"> ad immettere in consumo, nell’anno solare di riferimento, una quantità di carburante (gasolio e benzina) </w:t>
      </w:r>
      <w:r w:rsidRPr="00F31496">
        <w:rPr>
          <w:rFonts w:ascii="Garamond" w:eastAsia="Times New Roman" w:hAnsi="Garamond" w:cs="Times New Roman"/>
          <w:color w:val="000000"/>
          <w:kern w:val="0"/>
          <w:sz w:val="30"/>
          <w:szCs w:val="30"/>
          <w:lang w:eastAsia="it-IT"/>
          <w14:ligatures w14:val="none"/>
        </w:rPr>
        <w:lastRenderedPageBreak/>
        <w:t>espressa in termini di energia equivalente Giga-calorie (Gcal): il che, secondo gli accertamenti condotti dall’Autorità, avverrebbe, però, mediante una miscelazione che le parti limiterebbero con riguardo alla parte biocarburante (bioetanolo-ETBE) nella benzina (per ragioni tecniche), finendo per assolvere l’obbligo in questione prevalentemente mediante la miscelazione di biodiesel nel gasolio, il tutto incidendo sul grado di sostenibilità dei biocarburanti e riflettendosi sul loro valore calorifero e, in buona sostanza, sul valore dei certificati di immissione in consumo (CIC) che la loro immissione in consumo è in grado di generare.</w:t>
      </w:r>
    </w:p>
    <w:p w14:paraId="407A5D9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Quanto ai predetti certificati, essi possono essere generati dalla bio-immissione fisica (biodiesel o FAME), soggetta alle fluttuazioni correlate alla contrattazione con i produttori; o, in alternativa, acquistando privatamente gli stessi certificati da quei soggetti che immettono più biocarburante del dovuto e che, quindi, dispongono di CIC in eccesso; o, ancora, accreditandosi e acquistando i CIC sul mercato organizzato del Gestore dei Mercati Energetici S.p.A. – GME, vale a dire la società che organizza e gestisce i mercati dell'energia elettrica, del gas naturale e quelli ambientali – denominato Mercato dei certificati di immissione in consumo di biocarburanti (MCIC): attività per il cui scambio, peraltro, il GSE:</w:t>
      </w:r>
    </w:p>
    <w:p w14:paraId="31644A1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ha istituito una apposita piattaforma (Biocar);</w:t>
      </w:r>
    </w:p>
    <w:p w14:paraId="6F7BE41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ai sensi dell’art. 6, comma 1 del DM 2 marzo 2018 ha elaborato un protocollo, cui le parti interessate hanno aderito in qualità di soggetti obbligati all’assolvimento degli oneri bio, in forza del quale lo stesso GSE fornisce ad un prezzo fisso (allo stato 375 euro/CIC) i certificati necessari per assolvere all’obbligo di immissione della quota di carburante “avanzato”, a prescindere dalla disponibilità effettiva sul mercato, in ragione della scarsità del prodotto.</w:t>
      </w:r>
    </w:p>
    <w:p w14:paraId="7EEB4BD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6. Il DM 107/2023 ha, anche, introdotto un obbligo di immissione in consumo di biocarburante “in purezza”, corrispondente a 300.000 tonnellate annue o l’1% del totale dei carburanti immessi in consumo; nonché, un obbligo specifico di </w:t>
      </w:r>
      <w:r w:rsidRPr="00F31496">
        <w:rPr>
          <w:rFonts w:ascii="Garamond" w:eastAsia="Times New Roman" w:hAnsi="Garamond" w:cs="Times New Roman"/>
          <w:color w:val="000000"/>
          <w:kern w:val="0"/>
          <w:sz w:val="30"/>
          <w:szCs w:val="30"/>
          <w:lang w:eastAsia="it-IT"/>
          <w14:ligatures w14:val="none"/>
        </w:rPr>
        <w:lastRenderedPageBreak/>
        <w:t>miscelazione di biocarburanti nella benzina pari allo 0,5% dei volumi di carburante immessi in consumo. Tali obblighi sono entrati in vigore in data 14.4.2023.</w:t>
      </w:r>
    </w:p>
    <w:p w14:paraId="23C90AD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L’Autorità ha rilevato che tra le società oggetto di accertamento alcune (ENI, ESSO, SARAS e IP) producono CIC in eccesso (grazie alla loro alta capacità di miscelazione e/o alla produzione di biocarburanti), mentre altre possono avere bisogno di acquistare CIC dal mercato per adempiere ai prescritti obblighi; cosicché, accade che alcune società acquistino i CIC direttamente dalle loro controparti commerciali e non presso il mercato organizzato gestito dal GME.</w:t>
      </w:r>
    </w:p>
    <w:p w14:paraId="72B09EB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Ha pure rilevato che le compagnie assolvono ai propri obblighi bio miscelando biocarburanti prevalentemente nel diesel (prodotto maggiormente miscelato nel carburante) che viene immesso in consumo (in una quantità variabile che si compone di un massimo di 6,60% di biodiesel e un minimo di 3,4% di biocarburanti avanzati) e acquistando CIC per coprire la quota eventualmente rimasta scoperta lato diesel e benzina, in tal modo venendo meno – secondo l’Autorità – ad uno specifico obbligo di miscelazione dei biocarburanti nella benzina; ed inoltre, tali acquisti vengono effettuati, per una parte, al prezzo fisso di 375 euro a CIC direttamente dal GSE (per coprire gli obblighi avanzati) e, per l’eventuale parte residua, a un prezzo di mercato determinato dalle contrattazioni tra le compagnie.</w:t>
      </w:r>
    </w:p>
    <w:p w14:paraId="7CC57B1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Il punto sarebbe che i costi sopra determinati si rifletterebbero in modo autonomo sulla quota parte del prezzo del carburante nota come “componente bio”; quest’ultima composta: dal costo del biocarburante da miscelare (principalmente FAME-biodiesel) concordato con i diversi fornitori e non soggetto a quotazioni univoche, variabile per ogni compagnia, in rapporto con il costo del carburante fossile; dall’eventuale costo del biocarburante autoprodotto in alternativa all’acquisto del FAME, mediante c.d. co-processing; dal valore della componente bio eventualmente applicata dalle controparti negli acquisti da depositi terzi o il costo dei CIC ceduti, sempre concordato con le controparti, variabili per ogni </w:t>
      </w:r>
      <w:r w:rsidRPr="00F31496">
        <w:rPr>
          <w:rFonts w:ascii="Garamond" w:eastAsia="Times New Roman" w:hAnsi="Garamond" w:cs="Times New Roman"/>
          <w:color w:val="000000"/>
          <w:kern w:val="0"/>
          <w:sz w:val="30"/>
          <w:szCs w:val="30"/>
          <w:lang w:eastAsia="it-IT"/>
          <w14:ligatures w14:val="none"/>
        </w:rPr>
        <w:lastRenderedPageBreak/>
        <w:t>compagnia; dal prezzo fisso dei CIC di 375 €/mc per la parte di obbligo avanzato da acquistare al GSE; dal prezzo di eventuali ulteriori CIC da acquistare).</w:t>
      </w:r>
    </w:p>
    <w:p w14:paraId="3F100C9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Quindi, il valore attribuito dalle compagnie alla componente bio si rifletterebbe sul prezzo finale del carburante per autotrazione, poiché tale componente, che tecnicamente dovrebbe riflettere un costo sostenuto dalle società, rappresenta altresì una componente del prezzo finale del carburante.</w:t>
      </w:r>
    </w:p>
    <w:p w14:paraId="65BF60E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sostanza, nella determinazione del prezzo, oltre ad un 50% imputabile alle tasse ed alle accise, rileva la c.d. componente industriale, determinata da:</w:t>
      </w:r>
    </w:p>
    <w:p w14:paraId="79F587A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quotazioni internazionali di riferimento dei prodotti raffinati (Platts CIF Med per l’Italia) a loro volta influenzate dalle quotazioni del petrolio greggio (Brent), componente stimabile in oltre il 30% del prezzo al consumo;</w:t>
      </w:r>
    </w:p>
    <w:p w14:paraId="5B614C8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il c.d. “margine lordo”, inferiore al 20% del prezzo finale, indicante la quota destinata a coprire i costi e garantire una remunerazione delle attività a valle della raffinazione – ovvero quelle più propriamente nazionali – che garantiscono la disponibilità di carburanti presso gli impianti di distribuzione. Tale ultima parte ingloba gli oneri imposti per legge allo svolgimento delle relative attività, tra cui gli oneri di miscelazione di biocarburanti e il margine operativo delle società. Di questo 20% la componente bio incide per il 29% del margine lordo.</w:t>
      </w:r>
    </w:p>
    <w:p w14:paraId="3EC0FE6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7. Venendo, poi, alla sostanza degli accertamenti dell’AGCM, l’attività istruttoria avrebbe evidenziato una collusione, tradottasi nella creazione di un cartello.</w:t>
      </w:r>
    </w:p>
    <w:p w14:paraId="0CEC93D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pratica, a fine 2019, in concomitanza con l’incremento dell’obbligo di immissione di biocarburanti e del costo delle relative materie prime, in luogo di procedere ciascuna ad autonome modifiche del valore della componente bio richiesta ai clienti, le società interessate avrebbero concertato dapprima l’applicazione per il primo trimestre del 2020 di un medesimo valore di tale componente (26€/mc), nonché successivamente gli aumenti della stessa, tendenzialmente contestuali e di analoga entità, per un periodo di oltre tre anni.</w:t>
      </w:r>
    </w:p>
    <w:p w14:paraId="6AF000C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Questa concertazione sul valore della componente bio avrebbe determinato la creazione di un cartello grazie alla possibilità di verificarne l’adesione, contrariamente a quanto sarebbe accaduto con un’intesa sul prezzo finale del carburante, di più complessa implementazione anche alla luce delle oscillazioni giornaliere che avrebbero potuto ostacolarne il monitoraggio.</w:t>
      </w:r>
    </w:p>
    <w:p w14:paraId="1459FD0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Le società in questione, peraltro, avrebbero, per così dire, neutralizzato la particolare congiuntura data dall’epidemia COVID e della guerra russo-ucraina. Tali variabili e i conseguenti aumenti dei costi sono stati efficacemente neutralizzati dalle parti del procedimento che, in luogo di reagire autonomamente, avrebbero coordinato le loro politiche economiche proprio nella prospettiva di affrontare l’accresciuta incertezza di mercato.</w:t>
      </w:r>
    </w:p>
    <w:p w14:paraId="5B4CB46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Ad avviso dell’Autorità sarebbe stata la società ENI che, disvelando la propria strategia della tariffa unica e comunicando per prima i propri dati di prezzo a “Staffetta Quotidiana”, avrebbe innescato e costantemente alimentato il sistema di supporto e monitoraggio del cartello, garantendo l’implementazione di questi aumenti nelle negoziazioni con i clienti, come confermato dalla documentazione in atti.</w:t>
      </w:r>
    </w:p>
    <w:p w14:paraId="28B1E2D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sostanza, ENI avrebbe reso noto di applicare i medesimi valori della componente bio tanto nei rapporti con le altre compagnie petrolifere concorrenti che con i propri clienti, strategia singolare e non corrispondente con la prassi di mercato. Tale artificiosa trasparenza su un elemento del prezzo del carburante, determinata in primo luogo da ENI sia con il disvelamento della peculiare policy della tariffa unica che con gli annunci di “Staffetta Quotidiana”, avrebbe agevolato l’attuazione del cartello offrendo ai competitors puntuali </w:t>
      </w:r>
      <w:r w:rsidRPr="00F31496">
        <w:rPr>
          <w:rFonts w:ascii="Garamond" w:eastAsia="Times New Roman" w:hAnsi="Garamond" w:cs="Times New Roman"/>
          <w:i/>
          <w:iCs/>
          <w:color w:val="000000"/>
          <w:kern w:val="0"/>
          <w:sz w:val="30"/>
          <w:szCs w:val="30"/>
          <w:lang w:eastAsia="it-IT"/>
          <w14:ligatures w14:val="none"/>
        </w:rPr>
        <w:t>benchmark</w:t>
      </w:r>
      <w:r w:rsidRPr="00F31496">
        <w:rPr>
          <w:rFonts w:ascii="Garamond" w:eastAsia="Times New Roman" w:hAnsi="Garamond" w:cs="Times New Roman"/>
          <w:color w:val="000000"/>
          <w:kern w:val="0"/>
          <w:sz w:val="30"/>
          <w:szCs w:val="30"/>
          <w:lang w:eastAsia="it-IT"/>
          <w14:ligatures w14:val="none"/>
        </w:rPr>
        <w:t> attraverso i quali implementare le proprie tariffe, garantendo così la stabilità del cartello.</w:t>
      </w:r>
    </w:p>
    <w:p w14:paraId="4B57D22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Una tacita intesa comprovata, altresì, dalla circostanza che le società coinvolte avrebbero tollerato, senza mai utilmente opporsi, che “Staffetta Quotidiana” </w:t>
      </w:r>
      <w:r w:rsidRPr="00F31496">
        <w:rPr>
          <w:rFonts w:ascii="Garamond" w:eastAsia="Times New Roman" w:hAnsi="Garamond" w:cs="Times New Roman"/>
          <w:color w:val="000000"/>
          <w:kern w:val="0"/>
          <w:sz w:val="30"/>
          <w:szCs w:val="30"/>
          <w:lang w:eastAsia="it-IT"/>
          <w14:ligatures w14:val="none"/>
        </w:rPr>
        <w:lastRenderedPageBreak/>
        <w:t>pubblicasse i loro valori della componente bio, garantendo così la pubblicità sull’adesione al disegno collusivo e favorendo la stabilità del cartello che non si sarebbe altrimenti potuto attuare in modo così efficace.</w:t>
      </w:r>
    </w:p>
    <w:p w14:paraId="03270F8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8. Ad avviso di AGCM l’esistenza dell’intesa sarebbe dimostrata:</w:t>
      </w:r>
    </w:p>
    <w:p w14:paraId="0C8B2ED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 dall’emersione, a partire dall’1.1.2020, di una trama di paralleli aumenti dei prezzi, tendenzialmente allineati nel </w:t>
      </w:r>
      <w:r w:rsidRPr="00F31496">
        <w:rPr>
          <w:rFonts w:ascii="Garamond" w:eastAsia="Times New Roman" w:hAnsi="Garamond" w:cs="Times New Roman"/>
          <w:i/>
          <w:iCs/>
          <w:color w:val="000000"/>
          <w:kern w:val="0"/>
          <w:sz w:val="30"/>
          <w:szCs w:val="30"/>
          <w:lang w:eastAsia="it-IT"/>
          <w14:ligatures w14:val="none"/>
        </w:rPr>
        <w:t>quantum</w:t>
      </w:r>
      <w:r w:rsidRPr="00F31496">
        <w:rPr>
          <w:rFonts w:ascii="Garamond" w:eastAsia="Times New Roman" w:hAnsi="Garamond" w:cs="Times New Roman"/>
          <w:color w:val="000000"/>
          <w:kern w:val="0"/>
          <w:sz w:val="30"/>
          <w:szCs w:val="30"/>
          <w:lang w:eastAsia="it-IT"/>
          <w14:ligatures w14:val="none"/>
        </w:rPr>
        <w:t> e/o nel valore assoluto della componente bio, non spiegabile alla luce dei costi sostenuti. L’analisi endogena è stata svolta sulla base dei dati forniti dalle parti e svolgendo numerose elaborazioni basate su differenti metodologie di calcolo, tutte univoche nel confermare il parallelismo dei comportamenti. Si è rilevata la decisa anomalia rappresentata dall’allineamento dei prezzi delle diverse società al valore di 26€/mc all’inizio del 2020, sia per la rete che per l’extra-rete e che, a partire dall’1.1.2020, in concomitanza con l’aumento degli obblighi normativi di immissione in consumo di biocarburanti e del prezzo del biocarburante, tutte le parti (fatta eccezione solo per REPSOL e IPLOM) hanno portato il valore della componente bio applicato alla larga maggioranza dei propri clienti - tanto nel mercato rete che nell’extra-rete - a 26 €/mc;</w:t>
      </w:r>
    </w:p>
    <w:p w14:paraId="5291D46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b) dall’evidenza di numerosi contatti bilaterali tra concorrenti, aventi a oggetto il valore della componente bio da applicare ai propri clienti; né le parti, nelle loro difese, avrebbero fornito elementi sufficienti per confutare la validità probatoria dei documenti posti alla base della contestazione;</w:t>
      </w:r>
    </w:p>
    <w:p w14:paraId="3F8EC83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 dall’adozione di una prassi di periodici annunci pubblici sul “Staffetta Quotidiana” relativi al valore della componente bio, che ha garantito la stabilizzazione dell’intesa agevolando il monitoraggio del meccanismo collusivo.</w:t>
      </w:r>
    </w:p>
    <w:p w14:paraId="63A35E6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Si è prospettato, quindi, che ENI avrebbe assunto un ruolo di regìa dettato da un particolare interesse alla formazione del cartello anche tenuto conto della formulazione dei suoi contratti extra-rete, che legano il diritto di recesso in caso di aumento del prezzo della componente bio al fatto che tale prezzo non sia in linea </w:t>
      </w:r>
      <w:r w:rsidRPr="00F31496">
        <w:rPr>
          <w:rFonts w:ascii="Garamond" w:eastAsia="Times New Roman" w:hAnsi="Garamond" w:cs="Times New Roman"/>
          <w:color w:val="000000"/>
          <w:kern w:val="0"/>
          <w:sz w:val="30"/>
          <w:szCs w:val="30"/>
          <w:lang w:eastAsia="it-IT"/>
          <w14:ligatures w14:val="none"/>
        </w:rPr>
        <w:lastRenderedPageBreak/>
        <w:t>con le quotazioni di mercato. Più in generale, come sopra indicato, dalle informazioni in atti risulta che il sostanziale allineamento del comportamento nella previsione di aumenti ha facilitato la possibilità, per ENI e per le società, anche facendo perno sulle comunicazioni pubbliche presenti in “Staffetta Quotidiana”, di implementare questi aumenti nelle negoziazioni con i clienti.</w:t>
      </w:r>
    </w:p>
    <w:p w14:paraId="0D69D51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9. Quanto, poi, all’analisi dei valori modali, secondo l’Autorità il prezzo della componente bio si inserisce nell’ambito del prezzo del carburante. Quest’ultimo è, cioè, un prodotto omogeneo per il quale la competizione si basa quasi esclusivamente sul prezzo e, pertanto, anche minime variazioni dello stesso possono avere effetti sulla scelta degli acquirenti, siano essi consumatori finali o clienti intermedi.</w:t>
      </w:r>
    </w:p>
    <w:p w14:paraId="302078E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Trattandosi delle principali compagnie petrolifere attive in Italia, l’analisi ha coinvolto un numero molto elevato di clienti (nell’ordine di poco meno di 1000 clienti ogni anno) e ciò ha richiesto l’individuazione di una metodologia di analisi idonea a identificare un valore di riferimento, nell’ambito dei vari rapporti contrattuali, che consentisse di ricostruire il comportamento sul mercato delle parti.</w:t>
      </w:r>
    </w:p>
    <w:p w14:paraId="68CAC31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Si è rilevato, infatti, che, ad eccezione di ENI che ha dichiarato di applicare una tariffa bio unica per tutti i clienti rete ed extra-rete, le altre società avessero applicato, quantomeno all’inizio del periodo osservato, valori diversi tra clienti.</w:t>
      </w:r>
    </w:p>
    <w:p w14:paraId="45ABBB7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dettaglio, è stato rilevato che se nel 2019 si osservava un valore modale della componente bio differenziato tra le parti, dall’1.1.2020, in entrambi i canali, il valore di tale componente applicato da ciascuna compagnia alla maggioranza dei propri clienti aveva finito per convergere esattamente verso il medesimo valore di 26 €/mc, coincidente con il prezzo annunciato da ENI. Tale allineamento si è protratto fino alla prima metà del 2023 ed interessa nella maggior parte dei casi una percentuale molto elevata e tendenzialmente crescente nel tempo di clienti.</w:t>
      </w:r>
    </w:p>
    <w:p w14:paraId="6843000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In altri termini, nel 2019 le società praticavano in ogni trimestre valori della componente bio tutti diversi tra loro, tanto nella rete (con range del 18-21 €/mc) che nell’extra-rete (con range del 18-21€/mc): in particolare, si è osservato che mentre ENI e IP in rete ed extra-rete, e SARAS in extra-rete, praticavano un medesimo prezzo alla totalità della clientela, o a una larga maggioranza, per KUWAIT nel canale rete, e per TAMOIL in entrambi i canali, il valore modale è associato a frequenze percentuali più basse, nell’ordine del 25% per KUWAIT e del 40%-60% per TAMOIL.</w:t>
      </w:r>
    </w:p>
    <w:p w14:paraId="6D659AF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Dunque, non sarebbe stata ravvisabile alcuna, particolare, anomalìa.</w:t>
      </w:r>
    </w:p>
    <w:p w14:paraId="6DF6979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10. Piuttosto, a partire dal 1° gennaio 2020, in concomitanza con l’aumento della percentuale di carburante bio (l’onere bio è passato dall’8 al 9%) richiesto dalla normativa (Decreto del Ministro dello sviluppo economico 2 marzo 2018, recante “</w:t>
      </w:r>
      <w:r w:rsidRPr="00F31496">
        <w:rPr>
          <w:rFonts w:ascii="Garamond" w:eastAsia="Times New Roman" w:hAnsi="Garamond" w:cs="Times New Roman"/>
          <w:i/>
          <w:iCs/>
          <w:color w:val="000000"/>
          <w:kern w:val="0"/>
          <w:sz w:val="30"/>
          <w:szCs w:val="30"/>
          <w:lang w:eastAsia="it-IT"/>
          <w14:ligatures w14:val="none"/>
        </w:rPr>
        <w:t>Promozione dell’uso del biometano e degli altri biocarburanti avanzati nel settore dei trasporti</w:t>
      </w:r>
      <w:r w:rsidRPr="00F31496">
        <w:rPr>
          <w:rFonts w:ascii="Garamond" w:eastAsia="Times New Roman" w:hAnsi="Garamond" w:cs="Times New Roman"/>
          <w:color w:val="000000"/>
          <w:kern w:val="0"/>
          <w:sz w:val="30"/>
          <w:szCs w:val="30"/>
          <w:lang w:eastAsia="it-IT"/>
          <w14:ligatures w14:val="none"/>
        </w:rPr>
        <w:t>”), tutte le società sottoposte ad accertamento hanno portato il prezzo della componente bio applicata alla maggioranza dei propri clienti - tanto nel canale rete che nell’extra-rete - a € 26 al mc.</w:t>
      </w:r>
    </w:p>
    <w:p w14:paraId="2822A65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L’Autorità, peraltro, ha rappresentato di aver effettuato varie simulazioni e riscontri.</w:t>
      </w:r>
    </w:p>
    <w:p w14:paraId="5453544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Una prima simulazione ha riguardato l’applicazione di un’addizionale del 12,5% e si sono ottenuti quindi valori ipotetici della componente bio molto diversi dai 26€/mc effettivamente applicati, compresi tra 18,5 €/mc e 20€/mc per la rete, e tra 18€/mc e 24€/mc per l’extra-rete.</w:t>
      </w:r>
    </w:p>
    <w:p w14:paraId="1BD431D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Inoltre, sono stati riscontrati gli aumenti di prezzo dal 2020.</w:t>
      </w:r>
    </w:p>
    <w:p w14:paraId="36897C2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particolare, nel 2020 tutte le quattro compagnie per cui si sono potuti analizzare i prezzi si collocano esattamente sullo stesso valore sia nel 1Q (26€/mc) che nel 3Q (35€/mc).</w:t>
      </w:r>
    </w:p>
    <w:p w14:paraId="536C6C4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È risultato che nel 2021 ENI, IP e TAMOIL si attestano tutte sui medesimi valori in ogni trimestre dell’anno (41€/mc, 45€/mc, 47€/mc e 50€/mc), cui si aggiunge KUWAIT nel 3Q.</w:t>
      </w:r>
    </w:p>
    <w:p w14:paraId="0182117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L’allineamento perfetto tra ENI, IP, e TAMOIL continua per tutti i trimestri del 2022 (TAMOIL solo per i primi tre), anno in cui KUWAIT applica, al pari di ENI - sia nei tempi che nell’entità - solo due modifiche ai propri prezzi, +5€/mc nel 1Q e -2€/mc nel 4Q.</w:t>
      </w:r>
    </w:p>
    <w:p w14:paraId="75E5EFB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Nei primi due trimestri del 2023 si è osservato il perdurare dell’allineamento dei prezzi della componente bio di IP e KUWAIT a quelli di ENI, la prima anche nei valori (58€/mc), la seconda nell’entità dell’incremento (+5€/mc). Per tutte e quattro le società, infine, si è osservato un decremento dei prezzi ne 3Q del 2023, di 4€/mc (3€/mc per KUWAIT).</w:t>
      </w:r>
    </w:p>
    <w:p w14:paraId="112AB46D"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 canale extra-rete, dopo un iniziale periodo in cui c’è stata la necessità di adeguare i contratti, l’Autorità ha rilevato un perfetto allineamento dei prezzi praticati a partire da gennaio 2021 fino a tutto il 2022 (e per ENI, IP e SARAS fino al terzo trimestre del 2023). In particolare, dopo il perfetto allineamento a 26€/mc a gennaio 2020, le parti interessate avrebbero proceduto per gli altri trimestri dell’anno a incrementi nei prezzi non omogenei. A partire dal 1Q del 2021, tuttavia, si ritroverebbe una perfetta coincidenza dei prezzi della componente bio per ENI, IP, TAMOIL e SARAS, che rimane tale anche nel 2022.</w:t>
      </w:r>
    </w:p>
    <w:p w14:paraId="2E58705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L’Autorità ha rilevato la decisa anomalia rappresentata dall’allineamento dei prezzi delle diverse società al valore di 26 euro, all’inizio del 2020, sia per la rete che per l’extra-rete.</w:t>
      </w:r>
    </w:p>
    <w:p w14:paraId="11DBBDE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Tale valore identico è stato giudicato come anomalo in quanto, pur a voler considerare lo shock esogeno rappresentato dall’incremento della quota d’obbligo e dei costi del biocarburante, le probabilità che tutte e parti potessero scegliere un </w:t>
      </w:r>
      <w:r w:rsidRPr="00F31496">
        <w:rPr>
          <w:rFonts w:ascii="Garamond" w:eastAsia="Times New Roman" w:hAnsi="Garamond" w:cs="Times New Roman"/>
          <w:color w:val="000000"/>
          <w:kern w:val="0"/>
          <w:sz w:val="30"/>
          <w:szCs w:val="30"/>
          <w:lang w:eastAsia="it-IT"/>
          <w14:ligatures w14:val="none"/>
        </w:rPr>
        <w:lastRenderedPageBreak/>
        <w:t>identico valore partendo da quote bio 2019 e costi differenti sarebbero davvero minime.</w:t>
      </w:r>
    </w:p>
    <w:p w14:paraId="36106AF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Per adottare un identico valore le società avrebbero, dunque, effettuato aumenti in un range che va dal 24% al 63%, nettamente superiori a quelli dovuti in base all’applicazione del solo aumento imposto dalla normativa. Pur riconoscendo che nel periodo c’è stato un incremento dei costi del carburante bio, le circostanze che potrebbero aver portato le parti a fissare autonomamente questo valore identico sono state valutate poco plausibili.</w:t>
      </w:r>
    </w:p>
    <w:p w14:paraId="2EE4FDE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Per l’Autorità è risultato sospetto che ogni parte abbia considerato un aumento dei costi tale per cui, a partire dal proprio valore di partenza, il valore totale raggiungeva il valore di 26 €/mc.</w:t>
      </w:r>
    </w:p>
    <w:p w14:paraId="21ED047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sospetto è stato alimentato da numerosi elementi, il cui apprezzamento ha condotto tale anomalia ad un fenomeno collusivo avvenuto alla fine del 2019 che avrebbe determinato tale convergenza, individuato in una circostanziata serie di comunicazioni (mail) interne agli operatori.</w:t>
      </w:r>
    </w:p>
    <w:p w14:paraId="1CD0637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Ciò è accaduto sia nel canale rete che nel canale extra rete.</w:t>
      </w:r>
    </w:p>
    <w:p w14:paraId="018525E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 canale rete, nel corso dell’anno, dopo il perfetto allineamento a 26€/mc, tutte le società hanno continuato ad aumentare i prezzi in maniera allineata. In particolare, è stato rilevato che ENI, IP e KUWAIT hanno seguito dinamiche del tutto identiche nei primi trimestri del 2020, mentre TAMOIL appare aver seguito i concorrenti negli adeguamenti dei prezzi con un trimestre di ritardo. Quest’ultima, peraltro, sarebbe stata soggetta a vincoli contrattuali stringenti sia per la rete che per l’extra-rete. In particolare, i contratti prevedevano spesso un tetto massimo o un prezzo fisso della componente bio, e ciò ne ha di fatto impedito il completo adeguamento (immediato) ai prezzi dei concorrenti. Alcuni contratti, inoltre, prevedevano dei conguagli a fine anno e ciò lascia presumere che ci sia stato un adeguamento tardivo che ha consentito alla società di recuperare i mancati aumenti.</w:t>
      </w:r>
    </w:p>
    <w:p w14:paraId="6C0BB59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Anche nell’extra-rete l’AGCM ha osservato che tutte le società avrebbero continuato ad aumentare i prezzi in maniera allineata nel corso del 2020, secondo dinamiche che convergono a un allineamento pressoché perfetto all’inizio del 2021, quando tutte le società hanno praticato un prezzo di 45€/mc. Dall’analisi dei dati, emergerebbe poi come alcune società non hanno potuto praticare nel corso del 2020 gli stessi aumenti a tutti i propri clienti, dovendo gestire le variazioni alla luce dei rispettivi vincoli contrattuali, poi superati a fine 2020, che non consentivano loro di modificare liberamente il prezzo della componente bio.</w:t>
      </w:r>
    </w:p>
    <w:p w14:paraId="1841E47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All’inizio del 2021, l’Autorità ha registrato un allineamento pressoché perfetto tra tutte le società, che praticano il prezzo identico di 45€/mc (KUWAIT si allinea con un trimestre di ritardo). Nel corso dell’anno, inoltre, tutte le parti avrebbero continuato ad applicare costanti aumenti, con un parallelismo pressoché perfetto tra ENI, IP, TAMOIL e SARAS (quest’ultima nel comparto extra-rete, l’unico dove è attiva). Tutte le suddette società, infatti, nel corso dell’anno risultano aver effettuato identici aumenti, nelle medesime tempistiche, che portano a un allineamento pressoché perfetto del prezzo per la componente bio in tutti i trimestri del 2021.</w:t>
      </w:r>
    </w:p>
    <w:p w14:paraId="32E70F7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 corso di tutto il 2022, le parti avrebbero mantenuto prezzi marcatamente allineati sia nel comparto rete che nel comparto extra-rete. In particolare, tale allineamento è stato considerato pressoché perfetto per ENI, IP, TAMOIL e SARAS: le società avrebbero, infatti, praticato il prezzo identico di 55€/mc per tutti i primi tre trimestri dell’anno e diminuito il prezzo a 53€/mc nell’ultimo trimestre (TAMOIL ha adottato questa riduzione solo nell’extra-rete).</w:t>
      </w:r>
    </w:p>
    <w:p w14:paraId="6549E8D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11. Sulla scorta di tali elementi è stata articolata la sostanza della contestazione.</w:t>
      </w:r>
    </w:p>
    <w:p w14:paraId="5F76E71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L’Autorità ha esposto che la componente bio ha assunto un peso in termini economici via via crescente fino ad assumere un valore che, nel periodo dell’intesa, ha rappresentato fino al 30% del margine lordo sul prezzo del carburante per autotrazione. Margine lordo che è l’unica porzione del prezzo del carburante </w:t>
      </w:r>
      <w:r w:rsidRPr="00F31496">
        <w:rPr>
          <w:rFonts w:ascii="Garamond" w:eastAsia="Times New Roman" w:hAnsi="Garamond" w:cs="Times New Roman"/>
          <w:color w:val="000000"/>
          <w:kern w:val="0"/>
          <w:sz w:val="30"/>
          <w:szCs w:val="30"/>
          <w:lang w:eastAsia="it-IT"/>
          <w14:ligatures w14:val="none"/>
        </w:rPr>
        <w:lastRenderedPageBreak/>
        <w:t>sottoposta a pressione concorrenziale in quanto le restanti componenti, essendo collegate al prezzo delle materie prime indicizzato al Platt’s e alle accise, non possono essere modificate dalle società del settore.</w:t>
      </w:r>
    </w:p>
    <w:p w14:paraId="6F8CF6E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tale contesto, contrariamente a quanto sostenuto da alcune parti, un’intesa sul valore della componente bio risulta di più agevole attuazione grazie alla possibilità di verificarne l’adesione, contrariamente a quanto accadrebbe con un’intesa sul prezzo finale del carburante, di più complessa implementazione anche alla luce delle oscillazioni giornaliere che inevitabilmente ne ostacolerebbero il monitoraggio.</w:t>
      </w:r>
    </w:p>
    <w:p w14:paraId="0DEA1FE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L’istruttoria condotta ha messo in luce l’esistenza di una pratica concordata, iniziata in concomitanza con l’incremento dell’obbligo di immissione di biocarburante e con il contestuale aumento del costo delle materie prime, avente a oggetto l’applicazione coordinata di aumenti simultanei e di valore sostanzialmente corrispondente della componente bio, posta in essere quantomeno dal 1° gennaio 2020 al 30 giugno 2023, data dell’ultimo articolo avente a oggetto il valore della componente bio pubblicato su “Staffetta Quotidiana”.</w:t>
      </w:r>
    </w:p>
    <w:p w14:paraId="69D64B6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 fronte, quindi, di uno shock esogeno relativo al cd. onere bio che le compagnie petrolifere che sono state parti del procedimento erano chiamate a sostenere, le stesse avrebbero, perciò, opzionato, in luogo di un genuino confronto concorrenziale, la concertazione delle relative condotte commerciali su tale componente del prezzo, dalle stesse ritenuta particolarmente rilevante.</w:t>
      </w:r>
    </w:p>
    <w:p w14:paraId="5D17F65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particolare, se fino al 2019 l’onere bio era sostanzialmente stabile, le parti, consapevoli dell’imminente aumento legislativo dell’onere (passato dall’ 8% al 9% dal 1° gennaio 2020) e dell’aumento del costo delle materie prime, hanno coordinato il proprio comportamento sul mercato in modo da incrementarne il valore.</w:t>
      </w:r>
    </w:p>
    <w:p w14:paraId="7B51BFA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L’analisi svolta ha infatti ricostruito comportamenti di prezzo allineati in maniera anomala nel corso del periodo 1° gennaio 2020 – 30 giugno 2023. Particolarmente evidente è stata, nel primo trimestre del 2020, la convergenza della componente bio </w:t>
      </w:r>
      <w:r w:rsidRPr="00F31496">
        <w:rPr>
          <w:rFonts w:ascii="Garamond" w:eastAsia="Times New Roman" w:hAnsi="Garamond" w:cs="Times New Roman"/>
          <w:color w:val="000000"/>
          <w:kern w:val="0"/>
          <w:sz w:val="30"/>
          <w:szCs w:val="30"/>
          <w:lang w:eastAsia="it-IT"/>
          <w14:ligatures w14:val="none"/>
        </w:rPr>
        <w:lastRenderedPageBreak/>
        <w:t>delle parti sull’identico valore di 26 €/mc, allorché nei mesi precedenti si riscontravano livelli differenti per tale parte del prezzo del carburante. Un significativo, se non addirittura perfetto, livello di parallelismo dei prezzi si è verificato anche per tutto il periodo successivo, sia in valore assoluto che per gli incrementi.</w:t>
      </w:r>
    </w:p>
    <w:p w14:paraId="0A32E41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Ad ENI, in particolare, è stata rimproverata una funzione di regìa nell’elaborazione della strategia collusiva.</w:t>
      </w:r>
    </w:p>
    <w:p w14:paraId="5D64AEE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Alla ricorrente ESSO è stato, invece, appuntato che: gli aumenti applicati e comunicati ai propri clienti dal 2020 al 2023, sia nel canale rete che del canale extra-rete, sono in diversi casi allineati con gli aumenti praticati e annunciati da ENI e dalle altre parti del procedimento; che “</w:t>
      </w:r>
      <w:r w:rsidRPr="00F31496">
        <w:rPr>
          <w:rFonts w:ascii="Garamond" w:eastAsia="Times New Roman" w:hAnsi="Garamond" w:cs="Times New Roman"/>
          <w:i/>
          <w:iCs/>
          <w:color w:val="000000"/>
          <w:kern w:val="0"/>
          <w:sz w:val="30"/>
          <w:szCs w:val="30"/>
          <w:lang w:eastAsia="it-IT"/>
          <w14:ligatures w14:val="none"/>
        </w:rPr>
        <w:t>in ben 7 trimestri su 12 il comportamento di ESSO è stato identico a quello di ENI e delle altre parti del procedimento, fatta eccezione per le tempistiche, sfalsate di un mese, collegate al modello di business di ESSO. In particolare ESSO ha attuato aumenti giustificati dall’aumento della componente bio identici ad ENI nel 3Q 2020, nel febbraio/marzo 2021 (l’aumento di 3 €/mc è avvenuto nel comparto -rete nel 2Q 2021 per ragioni contrattuali) nel 3Q e nel 4Q 2021, nel 4Q 2022, nel 1Q 2023 e nel 3Q2023. A ciò deve aggiungersi che ESSO, al pari di ENI e delle altre parti del procedimento, non ha modificato i propri valori della componente bio nel 2Q e 3Q 2022 nonché nel 2Q 2023</w:t>
      </w:r>
      <w:r w:rsidRPr="00F31496">
        <w:rPr>
          <w:rFonts w:ascii="Garamond" w:eastAsia="Times New Roman" w:hAnsi="Garamond" w:cs="Times New Roman"/>
          <w:color w:val="000000"/>
          <w:kern w:val="0"/>
          <w:sz w:val="30"/>
          <w:szCs w:val="30"/>
          <w:lang w:eastAsia="it-IT"/>
          <w14:ligatures w14:val="none"/>
        </w:rPr>
        <w:t>”.</w:t>
      </w:r>
    </w:p>
    <w:p w14:paraId="7A96B36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Sarebbe, perciò, dimostrato in capo alla ricorrente il seguito nei confronti di ENI; ad avviso dell’Autorità nell’ambito delle negoziazioni tra compagnie relative agli scambi di carburante (c.d. rapporti di supply), ENI avrebbe, in sostanza, comunicato il valore della componente bio a carico delle compagnie acquirenti. ENI ha chiarito che, per propria policy interna, contrariamente a quanto fatto da tutte le altre parti del mercato, ha deciso di applicare la stessa tariffa bio sia ai concorrenti che ai clienti a valle, e di condividere questa informazione con i concorrenti. Per effetto di comunicazioni specifiche (quantomeno con TAMOIL) e degli annunci su “Staffetta Quotidiana”, tutte le parti nel corso dell’intesa sono state, infatti, edotte di tale tariffa </w:t>
      </w:r>
      <w:r w:rsidRPr="00F31496">
        <w:rPr>
          <w:rFonts w:ascii="Garamond" w:eastAsia="Times New Roman" w:hAnsi="Garamond" w:cs="Times New Roman"/>
          <w:color w:val="000000"/>
          <w:kern w:val="0"/>
          <w:sz w:val="30"/>
          <w:szCs w:val="30"/>
          <w:lang w:eastAsia="it-IT"/>
          <w14:ligatures w14:val="none"/>
        </w:rPr>
        <w:lastRenderedPageBreak/>
        <w:t>unica. Ma, secondo l’Autorità, tale artificiosa trasparenza su un elemento del prezzo del carburante, determinata da ENI sia con il disvelamento della peculiare policy della tariffa unica che con gli annunci di “Staffetta Quotidiana”, avrebbe agevolato l’attuazione del cartello offrendo ai competitors puntuali benchmark attraverso i quali implementare le proprie tariffe.</w:t>
      </w:r>
    </w:p>
    <w:p w14:paraId="026C537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 valle delle indagini condotte, l’Autorità ha, perciò, concluso che “</w:t>
      </w:r>
      <w:r w:rsidRPr="00F31496">
        <w:rPr>
          <w:rFonts w:ascii="Garamond" w:eastAsia="Times New Roman" w:hAnsi="Garamond" w:cs="Times New Roman"/>
          <w:i/>
          <w:iCs/>
          <w:color w:val="000000"/>
          <w:kern w:val="0"/>
          <w:sz w:val="30"/>
          <w:szCs w:val="30"/>
          <w:lang w:eastAsia="it-IT"/>
          <w14:ligatures w14:val="none"/>
        </w:rPr>
        <w:t>risulta che le imprese ENI, ESSO, IP, KUWAIT, SARAS e TAMOIL hanno posto in essere un’intesa restrittiva in violazione dell’art. 101 TFUE, nella forma di pratica concordata, avente a oggetto gli aumenti del valore della componente bio da imputare nel prezzo del carburante per autotrazione. Tale intesa è stata pienamente attuata</w:t>
      </w:r>
      <w:r w:rsidRPr="00F31496">
        <w:rPr>
          <w:rFonts w:ascii="Garamond" w:eastAsia="Times New Roman" w:hAnsi="Garamond" w:cs="Times New Roman"/>
          <w:color w:val="000000"/>
          <w:kern w:val="0"/>
          <w:sz w:val="30"/>
          <w:szCs w:val="30"/>
          <w:lang w:eastAsia="it-IT"/>
          <w14:ligatures w14:val="none"/>
        </w:rPr>
        <w:t>”.</w:t>
      </w:r>
    </w:p>
    <w:p w14:paraId="10CA3A1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particolare, quanto alla natura dell’intesa in esame, sulla base delle risultanze istruttorie, sarebbe stato accertato che le società ENI, ESSO, TAMOIL, IP, SARAS e KUWAIT hanno posto in essere un’intesa segreta, di tipo orizzontale, restrittiva della concorrenza, volta al coordinamento nell’applicazione del costo della componente bio; si tratterebbe di un’intesa orizzontale e segreta mirante a condizionare la dinamica dei prezzi sul mercato così da neutralizzare il confronto competitivo su questa parte rilevante del prezzo del carburante sottoposto a pressione competitiva; e la cui origine sarebbe da radicare “</w:t>
      </w:r>
      <w:r w:rsidRPr="00F31496">
        <w:rPr>
          <w:rFonts w:ascii="Garamond" w:eastAsia="Times New Roman" w:hAnsi="Garamond" w:cs="Times New Roman"/>
          <w:i/>
          <w:iCs/>
          <w:color w:val="000000"/>
          <w:kern w:val="0"/>
          <w:sz w:val="30"/>
          <w:szCs w:val="30"/>
          <w:lang w:eastAsia="it-IT"/>
          <w14:ligatures w14:val="none"/>
        </w:rPr>
        <w:t>quantomeno il 1° gennaio 2020, data in cui si osserva il primo allineamento anomalo delle condotte tra ENI, ESSO, IP, KUWAIT, SARAS e TAMOIL, e si sia protratta fino al 30 giugno 2023, ultima data di pubblicazione di un annuncio di prezzo su Staffetta Quotidiana e di fissazione di un nuovo prezzo della componente bio da parte delle compagnie petrolifere prima dell’avvio del presente procedimento istruttorio</w:t>
      </w:r>
      <w:r w:rsidRPr="00F31496">
        <w:rPr>
          <w:rFonts w:ascii="Garamond" w:eastAsia="Times New Roman" w:hAnsi="Garamond" w:cs="Times New Roman"/>
          <w:color w:val="000000"/>
          <w:kern w:val="0"/>
          <w:sz w:val="30"/>
          <w:szCs w:val="30"/>
          <w:lang w:eastAsia="it-IT"/>
          <w14:ligatures w14:val="none"/>
        </w:rPr>
        <w:t>”.</w:t>
      </w:r>
    </w:p>
    <w:p w14:paraId="39228F7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12. Dopo un’articolata premessa sulla differenziazione della propria posizione rispetto a quella delle altre società coinvolte nel procedimento (in estrema sintesi: la ricorrente non avrebbe mai indicato nei contratti con i clienti rete o extra-rete un valore economico riferito alla componente bio; ad essa non sarebbe riferibile l’analisi </w:t>
      </w:r>
      <w:r w:rsidRPr="00F31496">
        <w:rPr>
          <w:rFonts w:ascii="Garamond" w:eastAsia="Times New Roman" w:hAnsi="Garamond" w:cs="Times New Roman"/>
          <w:color w:val="000000"/>
          <w:kern w:val="0"/>
          <w:sz w:val="30"/>
          <w:szCs w:val="30"/>
          <w:lang w:eastAsia="it-IT"/>
          <w14:ligatures w14:val="none"/>
        </w:rPr>
        <w:lastRenderedPageBreak/>
        <w:t>dei valori modali e medi dei prezzi applicati dalle parti, sulla scorta della quale è stato a queste contestato un parallelismo nella determinazione del prezzo della componente bio; alla ricorrente sarebbe stato, invece, contestato un parallelismo relativo agli aumenti comunicati; ad esso non sarebbe riferibile alcun contatto diretto o indiretto con le altre parti; la ricorrente avrebbe chiesto una rettifica a “Staffetta Quotidiana” dopo la pubblicazione dell’articolo giornalistico del 2.4.2020 aprile 2020 in cui veniva riferito dell’aumento di prezzo asseritamente comunicato dalla medesima ricorrente ai propri clienti), la ricorrente si è soffermata, con un (1°) primo motivo di carattere illustrativo, sull’inquadramento generale dei presupposti per l’accertamento di una pratica concordata in violazione dell’art. 101 TFUE: a fondamento dell’impugnazione ha dedotto i seguenti motivi:</w:t>
      </w:r>
    </w:p>
    <w:p w14:paraId="7DE6D1A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 “</w:t>
      </w:r>
      <w:r w:rsidRPr="00F31496">
        <w:rPr>
          <w:rFonts w:ascii="Garamond" w:eastAsia="Times New Roman" w:hAnsi="Garamond" w:cs="Times New Roman"/>
          <w:i/>
          <w:iCs/>
          <w:color w:val="000000"/>
          <w:kern w:val="0"/>
          <w:sz w:val="30"/>
          <w:szCs w:val="30"/>
          <w:lang w:eastAsia="it-IT"/>
          <w14:ligatures w14:val="none"/>
        </w:rPr>
        <w:t>ASSENZA DELL’ELEMENTO ENDOGENO. VIOLAZIONE E FALSA APPLICAZIONE DELL’ART. 101 TFUE. ECCESSO DI POTERE PER CARENZA DI ISTRUTTORIA E TRAVISAMENTO DEI FATTI. VIOLAZIONE E FALSA APPLICAZIONE DELL’ART. 3 DELLA L. N. 241 DEL 1990. DIFFORMITÀ TRA LA CRI E IL PROVVEDIMENTO FINALE</w:t>
      </w:r>
      <w:r w:rsidRPr="00F31496">
        <w:rPr>
          <w:rFonts w:ascii="Garamond" w:eastAsia="Times New Roman" w:hAnsi="Garamond" w:cs="Times New Roman"/>
          <w:color w:val="000000"/>
          <w:kern w:val="0"/>
          <w:sz w:val="30"/>
          <w:szCs w:val="30"/>
          <w:lang w:eastAsia="it-IT"/>
          <w14:ligatures w14:val="none"/>
        </w:rPr>
        <w:t>”.</w:t>
      </w:r>
    </w:p>
    <w:p w14:paraId="1B05AC1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Con riferimento agli elementi endogeni contestati dall’Autorità, con tale motivo si è sostenuto che per la ricorrente “</w:t>
      </w:r>
      <w:r w:rsidRPr="00F31496">
        <w:rPr>
          <w:rFonts w:ascii="Garamond" w:eastAsia="Times New Roman" w:hAnsi="Garamond" w:cs="Times New Roman"/>
          <w:i/>
          <w:iCs/>
          <w:color w:val="000000"/>
          <w:kern w:val="0"/>
          <w:sz w:val="30"/>
          <w:szCs w:val="30"/>
          <w:lang w:eastAsia="it-IT"/>
          <w14:ligatures w14:val="none"/>
        </w:rPr>
        <w:t>non si è ricostruito un parallelismo di prezzi ma un (presunto) parallelismo di aumenti in “diversi casi”, mentre per le altre parti vi sarebbe stato un differente parallelismo sia dei prezzi che degli aumenti</w:t>
      </w:r>
      <w:r w:rsidRPr="00F31496">
        <w:rPr>
          <w:rFonts w:ascii="Garamond" w:eastAsia="Times New Roman" w:hAnsi="Garamond" w:cs="Times New Roman"/>
          <w:color w:val="000000"/>
          <w:kern w:val="0"/>
          <w:sz w:val="30"/>
          <w:szCs w:val="30"/>
          <w:lang w:eastAsia="it-IT"/>
          <w14:ligatures w14:val="none"/>
        </w:rPr>
        <w:t>” (cfr. pag. 25); in altri termini, avrebbe “</w:t>
      </w:r>
      <w:r w:rsidRPr="00F31496">
        <w:rPr>
          <w:rFonts w:ascii="Garamond" w:eastAsia="Times New Roman" w:hAnsi="Garamond" w:cs="Times New Roman"/>
          <w:i/>
          <w:iCs/>
          <w:color w:val="000000"/>
          <w:kern w:val="0"/>
          <w:sz w:val="30"/>
          <w:szCs w:val="30"/>
          <w:lang w:eastAsia="it-IT"/>
          <w14:ligatures w14:val="none"/>
        </w:rPr>
        <w:t>fatto aumenti di prezzo che, quand’anche riferiti alla componente bio come pretende di fare AGCM: (i) erano sistematicamente diversi dalle altre parti dell’asserita pratica, (ii) non avevano interessato tutti i clienti e (iii) erano risultati anche temporalmente sfalsati</w:t>
      </w:r>
      <w:r w:rsidRPr="00F31496">
        <w:rPr>
          <w:rFonts w:ascii="Garamond" w:eastAsia="Times New Roman" w:hAnsi="Garamond" w:cs="Times New Roman"/>
          <w:color w:val="000000"/>
          <w:kern w:val="0"/>
          <w:sz w:val="30"/>
          <w:szCs w:val="30"/>
          <w:lang w:eastAsia="it-IT"/>
          <w14:ligatures w14:val="none"/>
        </w:rPr>
        <w:t>” (cfr. pagg. 26 – 27).</w:t>
      </w:r>
    </w:p>
    <w:p w14:paraId="43A7BFA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Ha soggiunto che le mail richiamate a fondamento della contestazione dimostrerebbero “</w:t>
      </w:r>
      <w:r w:rsidRPr="00F31496">
        <w:rPr>
          <w:rFonts w:ascii="Garamond" w:eastAsia="Times New Roman" w:hAnsi="Garamond" w:cs="Times New Roman"/>
          <w:i/>
          <w:iCs/>
          <w:color w:val="000000"/>
          <w:kern w:val="0"/>
          <w:sz w:val="30"/>
          <w:szCs w:val="30"/>
          <w:lang w:eastAsia="it-IT"/>
          <w14:ligatures w14:val="none"/>
        </w:rPr>
        <w:t>la piena razionalità di un operatore economico che, a fronte dell’aumento dei costi, progetta azioni commerciali che possano generare un incremento dei margini unitari, seppur con il rischio di perdere vendite</w:t>
      </w:r>
      <w:r w:rsidRPr="00F31496">
        <w:rPr>
          <w:rFonts w:ascii="Garamond" w:eastAsia="Times New Roman" w:hAnsi="Garamond" w:cs="Times New Roman"/>
          <w:color w:val="000000"/>
          <w:kern w:val="0"/>
          <w:sz w:val="30"/>
          <w:szCs w:val="30"/>
          <w:lang w:eastAsia="it-IT"/>
          <w14:ligatures w14:val="none"/>
        </w:rPr>
        <w:t>” (cfr., ancora, pag. 27).</w:t>
      </w:r>
    </w:p>
    <w:p w14:paraId="1570469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3°) “</w:t>
      </w:r>
      <w:r w:rsidRPr="00F31496">
        <w:rPr>
          <w:rFonts w:ascii="Garamond" w:eastAsia="Times New Roman" w:hAnsi="Garamond" w:cs="Times New Roman"/>
          <w:i/>
          <w:iCs/>
          <w:color w:val="000000"/>
          <w:kern w:val="0"/>
          <w:sz w:val="30"/>
          <w:szCs w:val="30"/>
          <w:lang w:eastAsia="it-IT"/>
          <w14:ligatures w14:val="none"/>
        </w:rPr>
        <w:t>IN VIA SUBORDINATA, ERRORI METODOLOGICI NELLA RICOSTRUZIONE DELL’ELEMENTO ENDOGENO. VIOLAZIONE E FALSA APPLICAZIONE DELL’ART. 101 TFUE. ECCESSO DI POTERE PER CARENZA DI ISTRUTTORIA E TRAVISAMENTO DEI FATTI. VIOLAZIONE E FALSA APPLICAZIONE DELL’ART. 3 DELLA L. N. 241 DEL 1990</w:t>
      </w:r>
      <w:r w:rsidRPr="00F31496">
        <w:rPr>
          <w:rFonts w:ascii="Garamond" w:eastAsia="Times New Roman" w:hAnsi="Garamond" w:cs="Times New Roman"/>
          <w:color w:val="000000"/>
          <w:kern w:val="0"/>
          <w:sz w:val="30"/>
          <w:szCs w:val="30"/>
          <w:lang w:eastAsia="it-IT"/>
          <w14:ligatures w14:val="none"/>
        </w:rPr>
        <w:t>”.</w:t>
      </w:r>
    </w:p>
    <w:p w14:paraId="0F507E9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ricorrente ha compendiato la censura oggetto del secondo motivo evidenziando che “</w:t>
      </w:r>
      <w:r w:rsidRPr="00F31496">
        <w:rPr>
          <w:rFonts w:ascii="Garamond" w:eastAsia="Times New Roman" w:hAnsi="Garamond" w:cs="Times New Roman"/>
          <w:i/>
          <w:iCs/>
          <w:color w:val="000000"/>
          <w:kern w:val="0"/>
          <w:sz w:val="30"/>
          <w:szCs w:val="30"/>
          <w:lang w:eastAsia="it-IT"/>
          <w14:ligatures w14:val="none"/>
        </w:rPr>
        <w:t>le stime chieste ad ESSO nel corso del procedimento (…) e recepite nella CRI non sono poi state utilizzate nel provvedimento finale, perché non coerenti con la tesi della pratica concordata, ad eccezione del primo trimestre del 2020</w:t>
      </w:r>
      <w:r w:rsidRPr="00F31496">
        <w:rPr>
          <w:rFonts w:ascii="Garamond" w:eastAsia="Times New Roman" w:hAnsi="Garamond" w:cs="Times New Roman"/>
          <w:color w:val="000000"/>
          <w:kern w:val="0"/>
          <w:sz w:val="30"/>
          <w:szCs w:val="30"/>
          <w:lang w:eastAsia="it-IT"/>
          <w14:ligatures w14:val="none"/>
        </w:rPr>
        <w:t>”, relativamente al quale il valore indicato per la componente bio (26 €/mc) sarebbe stato “</w:t>
      </w:r>
      <w:r w:rsidRPr="00F31496">
        <w:rPr>
          <w:rFonts w:ascii="Garamond" w:eastAsia="Times New Roman" w:hAnsi="Garamond" w:cs="Times New Roman"/>
          <w:i/>
          <w:iCs/>
          <w:color w:val="000000"/>
          <w:kern w:val="0"/>
          <w:sz w:val="30"/>
          <w:szCs w:val="30"/>
          <w:lang w:eastAsia="it-IT"/>
          <w14:ligatures w14:val="none"/>
        </w:rPr>
        <w:t>stimato da Retitalia per scopi interni ed avendo la stessa Reteitalia, peraltro, precisato nella sua comunicazione all’Autorità che ESSO non indicava mai il prezzo della componente bio</w:t>
      </w:r>
      <w:r w:rsidRPr="00F31496">
        <w:rPr>
          <w:rFonts w:ascii="Garamond" w:eastAsia="Times New Roman" w:hAnsi="Garamond" w:cs="Times New Roman"/>
          <w:color w:val="000000"/>
          <w:kern w:val="0"/>
          <w:sz w:val="30"/>
          <w:szCs w:val="30"/>
          <w:lang w:eastAsia="it-IT"/>
          <w14:ligatures w14:val="none"/>
        </w:rPr>
        <w:t>” (cfr. pagg. 27 – 28).</w:t>
      </w:r>
    </w:p>
    <w:p w14:paraId="1E157D7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Sotto il profilo tecnico, la ricorrente ha contestato che le variazioni di prezzo sarebbero “</w:t>
      </w:r>
      <w:r w:rsidRPr="00F31496">
        <w:rPr>
          <w:rFonts w:ascii="Garamond" w:eastAsia="Times New Roman" w:hAnsi="Garamond" w:cs="Times New Roman"/>
          <w:i/>
          <w:iCs/>
          <w:color w:val="000000"/>
          <w:kern w:val="0"/>
          <w:sz w:val="30"/>
          <w:szCs w:val="30"/>
          <w:lang w:eastAsia="it-IT"/>
          <w14:ligatures w14:val="none"/>
        </w:rPr>
        <w:t>riferite alla variazione della voce di costo “Market Premium” nel suo complesso che, come rappresentato in fatto, è prevista nei contratti rete e però ricomprende anche costi diversi da quelli direttamente riferiti alla componente bio</w:t>
      </w:r>
      <w:r w:rsidRPr="00F31496">
        <w:rPr>
          <w:rFonts w:ascii="Garamond" w:eastAsia="Times New Roman" w:hAnsi="Garamond" w:cs="Times New Roman"/>
          <w:color w:val="000000"/>
          <w:kern w:val="0"/>
          <w:sz w:val="30"/>
          <w:szCs w:val="30"/>
          <w:lang w:eastAsia="it-IT"/>
          <w14:ligatures w14:val="none"/>
        </w:rPr>
        <w:t>” (cfr. pag. 29); che taluni aumenti registrati dall’Autorità (per il primo trimestre 2023 è stato rilevato “</w:t>
      </w:r>
      <w:r w:rsidRPr="00F31496">
        <w:rPr>
          <w:rFonts w:ascii="Garamond" w:eastAsia="Times New Roman" w:hAnsi="Garamond" w:cs="Times New Roman"/>
          <w:i/>
          <w:iCs/>
          <w:color w:val="000000"/>
          <w:kern w:val="0"/>
          <w:sz w:val="30"/>
          <w:szCs w:val="30"/>
          <w:lang w:eastAsia="it-IT"/>
          <w14:ligatures w14:val="none"/>
        </w:rPr>
        <w:t>un aumento sensibile del valore negoziato alla fine del 2022 con i clienti extra-rete all’esito della term campaign per l’anno 2023, che teneva conto dell’imminente incremento degli obblighi in materia di HVO. Alla luce della documentazione depositata da ESSO deve quindi riscontrarsi un valore di +5</w:t>
      </w:r>
      <w:r w:rsidRPr="00F31496">
        <w:rPr>
          <w:rFonts w:ascii="Garamond" w:eastAsia="Times New Roman" w:hAnsi="Garamond" w:cs="Times New Roman"/>
          <w:color w:val="000000"/>
          <w:kern w:val="0"/>
          <w:sz w:val="30"/>
          <w:szCs w:val="30"/>
          <w:lang w:eastAsia="it-IT"/>
          <w14:ligatures w14:val="none"/>
        </w:rPr>
        <w:t>”) avrebbero riguardato una percentuale minima di clienti e che, comunque, dal punto di vista quantitativo (e percentuale) non sarebbe affatto ravvisabile un pieno parallelismo con ENI (cfr. pag. 31).</w:t>
      </w:r>
    </w:p>
    <w:p w14:paraId="397AF57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4°) “</w:t>
      </w:r>
      <w:r w:rsidRPr="00F31496">
        <w:rPr>
          <w:rFonts w:ascii="Garamond" w:eastAsia="Times New Roman" w:hAnsi="Garamond" w:cs="Times New Roman"/>
          <w:i/>
          <w:iCs/>
          <w:color w:val="000000"/>
          <w:kern w:val="0"/>
          <w:sz w:val="30"/>
          <w:szCs w:val="30"/>
          <w:lang w:eastAsia="it-IT"/>
          <w14:ligatures w14:val="none"/>
        </w:rPr>
        <w:t xml:space="preserve">ASSENZA DELL’ELEMENTO ESOGENO. VIOLAZIONE E FALSA APPLICAZIONE DELL’ART. 101 TFUE. ECCESSO DI POTERE PER CARENZA DI ISTRUTTORIA E TRAVISAMENTO DEI FATTI. </w:t>
      </w:r>
      <w:r w:rsidRPr="00F31496">
        <w:rPr>
          <w:rFonts w:ascii="Garamond" w:eastAsia="Times New Roman" w:hAnsi="Garamond" w:cs="Times New Roman"/>
          <w:i/>
          <w:iCs/>
          <w:color w:val="000000"/>
          <w:kern w:val="0"/>
          <w:sz w:val="30"/>
          <w:szCs w:val="30"/>
          <w:lang w:eastAsia="it-IT"/>
          <w14:ligatures w14:val="none"/>
        </w:rPr>
        <w:lastRenderedPageBreak/>
        <w:t>VIOLAZIONE E FALSA APPLICAZIONE DELL’ART. 3 DELLA L. N. 241 DEL 1990</w:t>
      </w:r>
      <w:r w:rsidRPr="00F31496">
        <w:rPr>
          <w:rFonts w:ascii="Garamond" w:eastAsia="Times New Roman" w:hAnsi="Garamond" w:cs="Times New Roman"/>
          <w:color w:val="000000"/>
          <w:kern w:val="0"/>
          <w:sz w:val="30"/>
          <w:szCs w:val="30"/>
          <w:lang w:eastAsia="it-IT"/>
          <w14:ligatures w14:val="none"/>
        </w:rPr>
        <w:t>”.</w:t>
      </w:r>
    </w:p>
    <w:p w14:paraId="3D2737F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Passando agli elementi esogeni della contestazione, la ricorrente ha confutato la decisività delle mail prese in esame dall’AGCM, rimarcando che in occasione di tali comunicazioni “</w:t>
      </w:r>
      <w:r w:rsidRPr="00F31496">
        <w:rPr>
          <w:rFonts w:ascii="Garamond" w:eastAsia="Times New Roman" w:hAnsi="Garamond" w:cs="Times New Roman"/>
          <w:i/>
          <w:iCs/>
          <w:color w:val="000000"/>
          <w:kern w:val="0"/>
          <w:sz w:val="30"/>
          <w:szCs w:val="30"/>
          <w:lang w:eastAsia="it-IT"/>
          <w14:ligatures w14:val="none"/>
        </w:rPr>
        <w:t>stava valutando (…) (i) l’uso da parte di Kuwait di benzina miscelata con etanolo, che avrebbe influito sulla capacità di Esso di acquistare il prodotto; e (ii) la possibilità di acquistare certificati di immissione in consumo (CIC) da Kuwait</w:t>
      </w:r>
      <w:r w:rsidRPr="00F31496">
        <w:rPr>
          <w:rFonts w:ascii="Garamond" w:eastAsia="Times New Roman" w:hAnsi="Garamond" w:cs="Times New Roman"/>
          <w:color w:val="000000"/>
          <w:kern w:val="0"/>
          <w:sz w:val="30"/>
          <w:szCs w:val="30"/>
          <w:lang w:eastAsia="it-IT"/>
          <w14:ligatures w14:val="none"/>
        </w:rPr>
        <w:t>”; cosicché, si sarebbe trattato “</w:t>
      </w:r>
      <w:r w:rsidRPr="00F31496">
        <w:rPr>
          <w:rFonts w:ascii="Garamond" w:eastAsia="Times New Roman" w:hAnsi="Garamond" w:cs="Times New Roman"/>
          <w:i/>
          <w:iCs/>
          <w:color w:val="000000"/>
          <w:kern w:val="0"/>
          <w:sz w:val="30"/>
          <w:szCs w:val="30"/>
          <w:lang w:eastAsia="it-IT"/>
          <w14:ligatures w14:val="none"/>
        </w:rPr>
        <w:t>di discussioni tra le compagnie petrolifere su questioni tecniche sottostanti all’adempimento dell’obbligo di miscelazione di biocarburanti nelle benzine e sulla possibilità che Esso stesse valutando l’acquisto di CIC da Kuwait. Si tratta, dunque, di contatti che neppure possono dirsi “qualificati” rispetto alla pratica concordata</w:t>
      </w:r>
      <w:r w:rsidRPr="00F31496">
        <w:rPr>
          <w:rFonts w:ascii="Garamond" w:eastAsia="Times New Roman" w:hAnsi="Garamond" w:cs="Times New Roman"/>
          <w:color w:val="000000"/>
          <w:kern w:val="0"/>
          <w:sz w:val="30"/>
          <w:szCs w:val="30"/>
          <w:lang w:eastAsia="it-IT"/>
          <w14:ligatures w14:val="none"/>
        </w:rPr>
        <w:t>” (cfr. pag. 35); avrebbe espresso, in sostanza, “</w:t>
      </w:r>
      <w:r w:rsidRPr="00F31496">
        <w:rPr>
          <w:rFonts w:ascii="Garamond" w:eastAsia="Times New Roman" w:hAnsi="Garamond" w:cs="Times New Roman"/>
          <w:i/>
          <w:iCs/>
          <w:color w:val="000000"/>
          <w:kern w:val="0"/>
          <w:sz w:val="30"/>
          <w:szCs w:val="30"/>
          <w:lang w:eastAsia="it-IT"/>
          <w14:ligatures w14:val="none"/>
        </w:rPr>
        <w:t>la preoccupazione che taluni clienti potessero non risultare in grado di sostenere gli aumenti del prezzo del carburante. La preoccupazione espressa dall’autore del documento si riferisce specificamente alla base di Taranto, ove ESSO era esposta nei confronti di ENI, in quanto ENI era l’unico fornitore di ESSO nel sud-est Italia dalla base di Taranto</w:t>
      </w:r>
      <w:r w:rsidRPr="00F31496">
        <w:rPr>
          <w:rFonts w:ascii="Garamond" w:eastAsia="Times New Roman" w:hAnsi="Garamond" w:cs="Times New Roman"/>
          <w:color w:val="000000"/>
          <w:kern w:val="0"/>
          <w:sz w:val="30"/>
          <w:szCs w:val="30"/>
          <w:lang w:eastAsia="it-IT"/>
          <w14:ligatures w14:val="none"/>
        </w:rPr>
        <w:t>” (cfr. pag. 36).</w:t>
      </w:r>
    </w:p>
    <w:p w14:paraId="249AA38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 sostegno dell’omessa considerazione, da parte dell’Autorità, delle giustificazioni fatte valere in sede procedimentale, la ricorrente ha dedotto che “</w:t>
      </w:r>
      <w:r w:rsidRPr="00F31496">
        <w:rPr>
          <w:rFonts w:ascii="Garamond" w:eastAsia="Times New Roman" w:hAnsi="Garamond" w:cs="Times New Roman"/>
          <w:i/>
          <w:iCs/>
          <w:color w:val="000000"/>
          <w:kern w:val="0"/>
          <w:sz w:val="30"/>
          <w:szCs w:val="30"/>
          <w:lang w:eastAsia="it-IT"/>
          <w14:ligatures w14:val="none"/>
        </w:rPr>
        <w:t>è stato provato in maniera inconfutabile che (…) non ha mai trasmesso dati della componente bio a Staffetta Quotidiana e soprattutto (…) è l’unica delle Parti dell’asserita pratica concordata che ha potuto provare di aver immediatamente scritto a Staffetta Quotidiana quando ha visto pubblicati per la prima volta dei dati che sembravano riferiti al valore che ESSO attribuiva alla componente bio nella vendita del suo carburante</w:t>
      </w:r>
      <w:r w:rsidRPr="00F31496">
        <w:rPr>
          <w:rFonts w:ascii="Garamond" w:eastAsia="Times New Roman" w:hAnsi="Garamond" w:cs="Times New Roman"/>
          <w:color w:val="000000"/>
          <w:kern w:val="0"/>
          <w:sz w:val="30"/>
          <w:szCs w:val="30"/>
          <w:lang w:eastAsia="it-IT"/>
          <w14:ligatures w14:val="none"/>
        </w:rPr>
        <w:t>” (cfr. pag. 38).</w:t>
      </w:r>
    </w:p>
    <w:p w14:paraId="5B80064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5°) “</w:t>
      </w:r>
      <w:r w:rsidRPr="00F31496">
        <w:rPr>
          <w:rFonts w:ascii="Garamond" w:eastAsia="Times New Roman" w:hAnsi="Garamond" w:cs="Times New Roman"/>
          <w:i/>
          <w:iCs/>
          <w:color w:val="000000"/>
          <w:kern w:val="0"/>
          <w:sz w:val="30"/>
          <w:szCs w:val="30"/>
          <w:lang w:eastAsia="it-IT"/>
          <w14:ligatures w14:val="none"/>
        </w:rPr>
        <w:t>LA SPIEGAZIONE ALTERNATIVA. VIOLAZIONE E FALSA APPLICAZIONE DELL’ART. 101 TFUE. ECCESSO DI POTERE PER CARENZA DI ISTRUTTORIA E TRAVISAMENTO DEI FATTI. VIOLAZIONE E FALSA APPLICAZIONE DELL’ART. 3 DELLA L. N. 241 DEL 1990</w:t>
      </w:r>
      <w:r w:rsidRPr="00F31496">
        <w:rPr>
          <w:rFonts w:ascii="Garamond" w:eastAsia="Times New Roman" w:hAnsi="Garamond" w:cs="Times New Roman"/>
          <w:color w:val="000000"/>
          <w:kern w:val="0"/>
          <w:sz w:val="30"/>
          <w:szCs w:val="30"/>
          <w:lang w:eastAsia="it-IT"/>
          <w14:ligatures w14:val="none"/>
        </w:rPr>
        <w:t>”.</w:t>
      </w:r>
    </w:p>
    <w:p w14:paraId="597D86E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La ricorrente ha sottolineato che “</w:t>
      </w:r>
      <w:r w:rsidRPr="00F31496">
        <w:rPr>
          <w:rFonts w:ascii="Garamond" w:eastAsia="Times New Roman" w:hAnsi="Garamond" w:cs="Times New Roman"/>
          <w:i/>
          <w:iCs/>
          <w:color w:val="000000"/>
          <w:kern w:val="0"/>
          <w:sz w:val="30"/>
          <w:szCs w:val="30"/>
          <w:lang w:eastAsia="it-IT"/>
          <w14:ligatures w14:val="none"/>
        </w:rPr>
        <w:t>era noto che ENI applicava i medesimi valori della componente bio tanto nei rapporti con le altre compagnie petrolifere concorrenti che con i propri clienti, ragion per cui il mercato poteva orientarsi tenendo conto della particolare trasparenza dei prezzi praticati dal price leader. In un mercato in cui è presente un leader e che per di più è caratterizzato da una particolare trasparenza, come quello su cui si sofferma AGCM, è frequente che quando il leader aumenta i propri prezzi anche i followers li aumentano, sulla base di un comportamento razionale e indipendente</w:t>
      </w:r>
      <w:r w:rsidRPr="00F31496">
        <w:rPr>
          <w:rFonts w:ascii="Garamond" w:eastAsia="Times New Roman" w:hAnsi="Garamond" w:cs="Times New Roman"/>
          <w:color w:val="000000"/>
          <w:kern w:val="0"/>
          <w:sz w:val="30"/>
          <w:szCs w:val="30"/>
          <w:lang w:eastAsia="it-IT"/>
          <w14:ligatures w14:val="none"/>
        </w:rPr>
        <w:t>” (cfr. pag. 41).</w:t>
      </w:r>
    </w:p>
    <w:p w14:paraId="3FADB6E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Ha, pertanto, ribadito che gli aumenti del valore della componente bio effettuati sarebbero stati strettamente allineati ai costi (con una correlazione prezzo-costo della componente bio di ESSO pari al 92% tra il primo trimestre 2020 e il terzo trimestre 2023) e, dunque, assolutamente ragionevoli.</w:t>
      </w:r>
    </w:p>
    <w:p w14:paraId="064E3AA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6°) “</w:t>
      </w:r>
      <w:r w:rsidRPr="00F31496">
        <w:rPr>
          <w:rFonts w:ascii="Garamond" w:eastAsia="Times New Roman" w:hAnsi="Garamond" w:cs="Times New Roman"/>
          <w:i/>
          <w:iCs/>
          <w:color w:val="000000"/>
          <w:kern w:val="0"/>
          <w:sz w:val="30"/>
          <w:szCs w:val="30"/>
          <w:lang w:eastAsia="it-IT"/>
          <w14:ligatures w14:val="none"/>
        </w:rPr>
        <w:t>IMPOSSIBILITÀ DI CONFIGURARE UN’INTESA PER OGGETTO. VIOLAZIONE E FALSA APPLICAZIONE DELL’ART. 101 TFUE. ECCESSO DI POTERE PER CARENZA DI ISTRUTTORIA E TRAVISAMENTO DEI FATTI. VIOLAZIONE E FALSA APPLICAZIONE DELL’ART. 3 DELLA L. N. 241 DEL 1990</w:t>
      </w:r>
      <w:r w:rsidRPr="00F31496">
        <w:rPr>
          <w:rFonts w:ascii="Garamond" w:eastAsia="Times New Roman" w:hAnsi="Garamond" w:cs="Times New Roman"/>
          <w:color w:val="000000"/>
          <w:kern w:val="0"/>
          <w:sz w:val="30"/>
          <w:szCs w:val="30"/>
          <w:lang w:eastAsia="it-IT"/>
          <w14:ligatures w14:val="none"/>
        </w:rPr>
        <w:t>”.</w:t>
      </w:r>
    </w:p>
    <w:p w14:paraId="022CA26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Con tale motivo la ricorrente ha stigmatizzato l’assenza di idonee giustificazioni all’esistenza di un possibile collegamento tra la presunta pratica concordata (riferita alla sola componente bio) ed il prezzo effettivo pagato dai clienti per l’acquisto del carburante per autotrazione: precarietà che sarebbe, ulteriormente, comprovata alla luce dell’esito dell’indagine conoscitiva IC54 “</w:t>
      </w:r>
      <w:r w:rsidRPr="00F31496">
        <w:rPr>
          <w:rFonts w:ascii="Garamond" w:eastAsia="Times New Roman" w:hAnsi="Garamond" w:cs="Times New Roman"/>
          <w:i/>
          <w:iCs/>
          <w:color w:val="000000"/>
          <w:kern w:val="0"/>
          <w:sz w:val="30"/>
          <w:szCs w:val="30"/>
          <w:lang w:eastAsia="it-IT"/>
          <w14:ligatures w14:val="none"/>
        </w:rPr>
        <w:t>sul prezzo dei carburanti per autotrazione, il cui periodo di indagine si sovrappone a quello del provvedimento</w:t>
      </w:r>
      <w:r w:rsidRPr="00F31496">
        <w:rPr>
          <w:rFonts w:ascii="Garamond" w:eastAsia="Times New Roman" w:hAnsi="Garamond" w:cs="Times New Roman"/>
          <w:color w:val="000000"/>
          <w:kern w:val="0"/>
          <w:sz w:val="30"/>
          <w:szCs w:val="30"/>
          <w:lang w:eastAsia="it-IT"/>
          <w14:ligatures w14:val="none"/>
        </w:rPr>
        <w:t>” (cfr. pag. 45).</w:t>
      </w:r>
    </w:p>
    <w:p w14:paraId="055F612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che sarebbe in contrasto con lo </w:t>
      </w:r>
      <w:r w:rsidRPr="00F31496">
        <w:rPr>
          <w:rFonts w:ascii="Garamond" w:eastAsia="Times New Roman" w:hAnsi="Garamond" w:cs="Times New Roman"/>
          <w:i/>
          <w:iCs/>
          <w:color w:val="000000"/>
          <w:kern w:val="0"/>
          <w:sz w:val="30"/>
          <w:szCs w:val="30"/>
          <w:lang w:eastAsia="it-IT"/>
          <w14:ligatures w14:val="none"/>
        </w:rPr>
        <w:t>standard</w:t>
      </w:r>
      <w:r w:rsidRPr="00F31496">
        <w:rPr>
          <w:rFonts w:ascii="Garamond" w:eastAsia="Times New Roman" w:hAnsi="Garamond" w:cs="Times New Roman"/>
          <w:color w:val="000000"/>
          <w:kern w:val="0"/>
          <w:sz w:val="30"/>
          <w:szCs w:val="30"/>
          <w:lang w:eastAsia="it-IT"/>
          <w14:ligatures w14:val="none"/>
        </w:rPr>
        <w:t> probatorio maturato nella giurisprudenza comunitaria.</w:t>
      </w:r>
    </w:p>
    <w:p w14:paraId="371EC1D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7°) “</w:t>
      </w:r>
      <w:r w:rsidRPr="00F31496">
        <w:rPr>
          <w:rFonts w:ascii="Garamond" w:eastAsia="Times New Roman" w:hAnsi="Garamond" w:cs="Times New Roman"/>
          <w:i/>
          <w:iCs/>
          <w:color w:val="000000"/>
          <w:kern w:val="0"/>
          <w:sz w:val="30"/>
          <w:szCs w:val="30"/>
          <w:lang w:eastAsia="it-IT"/>
          <w14:ligatures w14:val="none"/>
        </w:rPr>
        <w:t xml:space="preserve">VIOLAZIONE E FALSA APPLICAZIONE DELL'ART. 15 DELLA L. 287/90. VIOLAZIONE E FALSA APPLICAZIONE DELLE LINEE GUIDA SULLE MODALITÀ DI APPLICAZIONE DEI CRITERI DI </w:t>
      </w:r>
      <w:r w:rsidRPr="00F31496">
        <w:rPr>
          <w:rFonts w:ascii="Garamond" w:eastAsia="Times New Roman" w:hAnsi="Garamond" w:cs="Times New Roman"/>
          <w:i/>
          <w:iCs/>
          <w:color w:val="000000"/>
          <w:kern w:val="0"/>
          <w:sz w:val="30"/>
          <w:szCs w:val="30"/>
          <w:lang w:eastAsia="it-IT"/>
          <w14:ligatures w14:val="none"/>
        </w:rPr>
        <w:lastRenderedPageBreak/>
        <w:t>QUANTIFICAZIONE DELLE SANZIONI AMMINISTRATIVE PECUNIARIE IRROGATE DALL’AUTORITÀ IN APPLICAZIONE DELL’ART. 15, COMMA 1, DELLA LEGGE N. 287/90. VIOLAZIONE E FALSA APPLICAZIONE DELL’ART. 11 DELLA L. 689/81. VIOLAZIONE E FALSA APPLICAZIONE DELL’ART. 3 DELLA L. N. 241/90. ECCESSO DI POTERE PER DIFETTO DI ISTRUTTORIA, ARBITRARIETÀ, IRRAGIONEVOLEZZA IN RELAZIONE ALLA DETERMINAZIONE DELLA SANZIONE PECUNIARIA, CONTRADDITTORIETÀ INTRINSECA</w:t>
      </w:r>
      <w:r w:rsidRPr="00F31496">
        <w:rPr>
          <w:rFonts w:ascii="Garamond" w:eastAsia="Times New Roman" w:hAnsi="Garamond" w:cs="Times New Roman"/>
          <w:color w:val="000000"/>
          <w:kern w:val="0"/>
          <w:sz w:val="30"/>
          <w:szCs w:val="30"/>
          <w:lang w:eastAsia="it-IT"/>
          <w14:ligatures w14:val="none"/>
        </w:rPr>
        <w:t>”.</w:t>
      </w:r>
    </w:p>
    <w:p w14:paraId="31FEB66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Da ultimo, la ricorrente ha contestato la quantificazione della sanzione irrogata, e ciò facendo richiamo all’errore che avrebbe commesso l’Autorità sull’individuazione del valore delle vendite (ossia, circa l’inutilizzabilità delle stime fatte da ESSO, sia per il canale rete che per quello extra-rete); l’erronea determinazione del coefficiente di gravità della condotta, appiattitasi nella medesima percentuale per tutti gli operatori coinvolti nel procedimento; l’erronea determinazione dell’importo di base avuto riguardo alla durata della condotta, “</w:t>
      </w:r>
      <w:r w:rsidRPr="00F31496">
        <w:rPr>
          <w:rFonts w:ascii="Garamond" w:eastAsia="Times New Roman" w:hAnsi="Garamond" w:cs="Times New Roman"/>
          <w:i/>
          <w:iCs/>
          <w:color w:val="000000"/>
          <w:kern w:val="0"/>
          <w:sz w:val="30"/>
          <w:szCs w:val="30"/>
          <w:lang w:eastAsia="it-IT"/>
          <w14:ligatures w14:val="none"/>
        </w:rPr>
        <w:t>posto che l’ultimo riscontro di interazioni tra oil company (ENI) e Staffetta Quotidiana è del 16 dicembre 2021, l’asserita pratica deve ritenersi cessata, al più tardi, a fine 2021</w:t>
      </w:r>
      <w:r w:rsidRPr="00F31496">
        <w:rPr>
          <w:rFonts w:ascii="Garamond" w:eastAsia="Times New Roman" w:hAnsi="Garamond" w:cs="Times New Roman"/>
          <w:color w:val="000000"/>
          <w:kern w:val="0"/>
          <w:sz w:val="30"/>
          <w:szCs w:val="30"/>
          <w:lang w:eastAsia="it-IT"/>
          <w14:ligatures w14:val="none"/>
        </w:rPr>
        <w:t>” (cfr. pag. 49); l’omessa valutazione circa la sussistenza di circostanze attenuanti, contestandosi che “</w:t>
      </w:r>
      <w:r w:rsidRPr="00F31496">
        <w:rPr>
          <w:rFonts w:ascii="Garamond" w:eastAsia="Times New Roman" w:hAnsi="Garamond" w:cs="Times New Roman"/>
          <w:i/>
          <w:iCs/>
          <w:color w:val="000000"/>
          <w:kern w:val="0"/>
          <w:sz w:val="30"/>
          <w:szCs w:val="30"/>
          <w:lang w:eastAsia="it-IT"/>
          <w14:ligatures w14:val="none"/>
        </w:rPr>
        <w:t>il provvedimento stesso mostra tuttalpiù un ruolo marginale di ESSO nell’asserito illecito, per intensità, durata e impatto delle condotte. Nonostante ciò, la sanzione a ESSO è, in termini relativi, la più gravosa: 6,59% del fatturato</w:t>
      </w:r>
      <w:r w:rsidRPr="00F31496">
        <w:rPr>
          <w:rFonts w:ascii="Garamond" w:eastAsia="Times New Roman" w:hAnsi="Garamond" w:cs="Times New Roman"/>
          <w:color w:val="000000"/>
          <w:kern w:val="0"/>
          <w:sz w:val="30"/>
          <w:szCs w:val="30"/>
          <w:lang w:eastAsia="it-IT"/>
          <w14:ligatures w14:val="none"/>
        </w:rPr>
        <w:t>” (cfr. pag. 51).</w:t>
      </w:r>
    </w:p>
    <w:p w14:paraId="13A75FA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13. Si è costituita in giudizio l’AGCM (25.11.2025), la quale, nella memoria del 6.12.2025, ha preliminarmente precisato che il provvedimento impugnato è stato oggetto di rettifica disposta con provvedimento n. 31723 sempre del 23.9.2023, nel senso che si è proceduto a sostituire, nella nota a piè di pagina n. 59 al paragrafo 78, alle parole “</w:t>
      </w:r>
      <w:r w:rsidRPr="00F31496">
        <w:rPr>
          <w:rFonts w:ascii="Garamond" w:eastAsia="Times New Roman" w:hAnsi="Garamond" w:cs="Times New Roman"/>
          <w:i/>
          <w:iCs/>
          <w:color w:val="000000"/>
          <w:kern w:val="0"/>
          <w:sz w:val="30"/>
          <w:szCs w:val="30"/>
          <w:lang w:eastAsia="it-IT"/>
          <w14:ligatures w14:val="none"/>
        </w:rPr>
        <w:t xml:space="preserve">per la rappresentazione tabellare dei valori medi per ciascuna società dal primo </w:t>
      </w:r>
      <w:r w:rsidRPr="00F31496">
        <w:rPr>
          <w:rFonts w:ascii="Garamond" w:eastAsia="Times New Roman" w:hAnsi="Garamond" w:cs="Times New Roman"/>
          <w:i/>
          <w:iCs/>
          <w:color w:val="000000"/>
          <w:kern w:val="0"/>
          <w:sz w:val="30"/>
          <w:szCs w:val="30"/>
          <w:lang w:eastAsia="it-IT"/>
          <w14:ligatures w14:val="none"/>
        </w:rPr>
        <w:lastRenderedPageBreak/>
        <w:t>trimestre del 2020 al quarto trimestre del 2023 nei canali rete ed extra-rete, si rimanda all’appendice</w:t>
      </w:r>
      <w:r w:rsidRPr="00F31496">
        <w:rPr>
          <w:rFonts w:ascii="Garamond" w:eastAsia="Times New Roman" w:hAnsi="Garamond" w:cs="Times New Roman"/>
          <w:color w:val="000000"/>
          <w:kern w:val="0"/>
          <w:sz w:val="30"/>
          <w:szCs w:val="30"/>
          <w:lang w:eastAsia="it-IT"/>
          <w14:ligatures w14:val="none"/>
        </w:rPr>
        <w:t>”, le parole “</w:t>
      </w:r>
      <w:r w:rsidRPr="00F31496">
        <w:rPr>
          <w:rFonts w:ascii="Garamond" w:eastAsia="Times New Roman" w:hAnsi="Garamond" w:cs="Times New Roman"/>
          <w:i/>
          <w:iCs/>
          <w:color w:val="000000"/>
          <w:kern w:val="0"/>
          <w:sz w:val="30"/>
          <w:szCs w:val="30"/>
          <w:lang w:eastAsia="it-IT"/>
          <w14:ligatures w14:val="none"/>
        </w:rPr>
        <w:t>per la rappresentazione dei valori medi per ciascuna società dal primo trimestre del 2019 al quarto trimestre del 2023 nei canali rete ed extra-rete, si vedano la Figura 4 e la Figura 5</w:t>
      </w:r>
      <w:r w:rsidRPr="00F31496">
        <w:rPr>
          <w:rFonts w:ascii="Garamond" w:eastAsia="Times New Roman" w:hAnsi="Garamond" w:cs="Times New Roman"/>
          <w:color w:val="000000"/>
          <w:kern w:val="0"/>
          <w:sz w:val="30"/>
          <w:szCs w:val="30"/>
          <w:lang w:eastAsia="it-IT"/>
          <w14:ligatures w14:val="none"/>
        </w:rPr>
        <w:t>”; e, nel merito, si è opposta ai motivi di ricorso.</w:t>
      </w:r>
    </w:p>
    <w:p w14:paraId="170DA79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14. All’udienza in Camera di Consiglio del 10 dicembre 2025, fissata per la trattazione della domanda cautelare, la causa è stata rinviata per la definizione nel merito all’udienza pubblica del 15 aprile 2026, in esito alla quale la causa è stata trattenuta per la decisione.</w:t>
      </w:r>
    </w:p>
    <w:p w14:paraId="01E42E58" w14:textId="77777777" w:rsidR="00F31496" w:rsidRPr="00F31496" w:rsidRDefault="00F31496" w:rsidP="00F31496">
      <w:pPr>
        <w:spacing w:after="0" w:line="540" w:lineRule="atLeast"/>
        <w:jc w:val="center"/>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DIRITTO</w:t>
      </w:r>
    </w:p>
    <w:p w14:paraId="29D2A68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15. Non sembra inopportuno premettere che la presente controversia, afferente alle contestate intese collusive poste in essere dagli operatori del mercato dei carburanti, non risulta inedita nell’ordinamento di settore oggetto d’interesse.</w:t>
      </w:r>
    </w:p>
    <w:p w14:paraId="114C857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L’analisi della giurisprudenza mette in luce che con deliberazione dell’8.6.2000 l’Autorità dispose, a conclusione di un’istruttoria aperta per possibili violazioni dell’art. 2 della legge 287/1990, l’irrogazione di sanzioni pecuniarie a diversi operatori del mercato dei carburanti (le società aderenti all’Unione Petrolifera, Agip Petroli S.p.A., Erg Petroli S.p.A., Esso Italiana S.r.l., Kuwait Petroleum Italia S.p.A., Shell Italia S.p.A., Tamoil Petroli S.p.A., Totalfina Italia S.p.A.), alle quali era stato contestato di aver posto in essere una complessa intesa orizzontale, costituita da una pratica concordata tra imprese concorrenti, che, per il tramite di accordi interprofessionali, aveva trovato successiva attuazione nei c.d. “accordi colore”, sottoscritti dalle medesime società con le organizzazioni dei gestori e congegnati – questo il nucleo significante della contestazione – in modo da disincentivare i gestori dal discostarsi dal “prezzo consigliato” dalle compagnie, il tutto nell’intento di ridurre la reciproca incertezza circa il rispetto del prezzo finale dei carburanti praticato dai gestori delle rispettive reti distributive.</w:t>
      </w:r>
    </w:p>
    <w:p w14:paraId="3FA8AB4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Tale provvedimento fu impugnato innanzi a questo Tribunale, che rigettò il ricorso (cfr. sentenza 18 gennaio 2001, n. 297): pronuncia appellata e riformata dalla sezione VI del Consiglio di Stato, che con sentenza 20 luglio 2001, n. 4053, accolse l’impugnazione dichiarando sussistenti, alla luce di tutti gli elementi dedotti in giudizio, “</w:t>
      </w:r>
      <w:r w:rsidRPr="00F31496">
        <w:rPr>
          <w:rFonts w:ascii="Garamond" w:eastAsia="Times New Roman" w:hAnsi="Garamond" w:cs="Times New Roman"/>
          <w:i/>
          <w:iCs/>
          <w:color w:val="000000"/>
          <w:kern w:val="0"/>
          <w:sz w:val="30"/>
          <w:szCs w:val="30"/>
          <w:lang w:eastAsia="it-IT"/>
          <w14:ligatures w14:val="none"/>
        </w:rPr>
        <w:t>i presupposti giuridici e fattuali perché la comunicazione dell’accordo interprofessionale del 1997 desse luogo agli effetti preclusivi previsti e disciplinati dall’art. 13 della legge 287/1990</w:t>
      </w:r>
      <w:r w:rsidRPr="00F31496">
        <w:rPr>
          <w:rFonts w:ascii="Garamond" w:eastAsia="Times New Roman" w:hAnsi="Garamond" w:cs="Times New Roman"/>
          <w:color w:val="000000"/>
          <w:kern w:val="0"/>
          <w:sz w:val="30"/>
          <w:szCs w:val="30"/>
          <w:lang w:eastAsia="it-IT"/>
          <w14:ligatures w14:val="none"/>
        </w:rPr>
        <w:t>”; in sostanza, fu accertato che l’Autorità avesse proceduto ad avviare l’istruttoria per “</w:t>
      </w:r>
      <w:r w:rsidRPr="00F31496">
        <w:rPr>
          <w:rFonts w:ascii="Garamond" w:eastAsia="Times New Roman" w:hAnsi="Garamond" w:cs="Times New Roman"/>
          <w:i/>
          <w:iCs/>
          <w:color w:val="000000"/>
          <w:kern w:val="0"/>
          <w:sz w:val="30"/>
          <w:szCs w:val="30"/>
          <w:lang w:eastAsia="it-IT"/>
          <w14:ligatures w14:val="none"/>
        </w:rPr>
        <w:t>valutare, ab imis, i medesimi comportamenti, sui quali, come si è detto, era maturata la preclusione di cui all’art.13 della legge n. 287/90</w:t>
      </w:r>
      <w:r w:rsidRPr="00F31496">
        <w:rPr>
          <w:rFonts w:ascii="Garamond" w:eastAsia="Times New Roman" w:hAnsi="Garamond" w:cs="Times New Roman"/>
          <w:color w:val="000000"/>
          <w:kern w:val="0"/>
          <w:sz w:val="30"/>
          <w:szCs w:val="30"/>
          <w:lang w:eastAsia="it-IT"/>
          <w14:ligatures w14:val="none"/>
        </w:rPr>
        <w:t>”: un profilo ritenuto dirimente ai fini dell’accoglimento del gravame di seconde cure, non sottraendosi, nondimeno, il giudice d’appello dal rilevare, anche nel merito, che “</w:t>
      </w:r>
      <w:r w:rsidRPr="00F31496">
        <w:rPr>
          <w:rFonts w:ascii="Garamond" w:eastAsia="Times New Roman" w:hAnsi="Garamond" w:cs="Times New Roman"/>
          <w:i/>
          <w:iCs/>
          <w:color w:val="000000"/>
          <w:kern w:val="0"/>
          <w:sz w:val="30"/>
          <w:szCs w:val="30"/>
          <w:lang w:eastAsia="it-IT"/>
          <w14:ligatures w14:val="none"/>
        </w:rPr>
        <w:t>la verifica dell’effettiva esistenza di una intesa vietata avrebbe, dunque, richiesto, in assenza di espliciti accordi (del resto, sempre difficili da reperire in ipotesi siffatte), un’indagine comparativa, di tipo induttivo, tra gli elementi di riscontro dell’illecito e gli elementi che potrebbero spiegare altrimenti il comportamento</w:t>
      </w:r>
      <w:r w:rsidRPr="00F31496">
        <w:rPr>
          <w:rFonts w:ascii="Garamond" w:eastAsia="Times New Roman" w:hAnsi="Garamond" w:cs="Times New Roman"/>
          <w:color w:val="000000"/>
          <w:kern w:val="0"/>
          <w:sz w:val="30"/>
          <w:szCs w:val="30"/>
          <w:lang w:eastAsia="it-IT"/>
          <w14:ligatures w14:val="none"/>
        </w:rPr>
        <w:t>”.</w:t>
      </w:r>
    </w:p>
    <w:p w14:paraId="44BE969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16. Non solo.</w:t>
      </w:r>
    </w:p>
    <w:p w14:paraId="5EA4A8C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Proprio similmente al presente giudizio, l’Autorità il 18.1.2007 avviò un’istruttoria ai sensi dell’art. 14 della legge n. 287/1990 nei confronti delle società API, ENI, ERG, ESSO, IP, KUWAIT, SHELL, TAMOIL e TOTAL per accertare l’esistenza di violazioni dell’art. 81 del Trattato CE, consistenti in restrizioni della concorrenza sui mercati italiani dei carburanti per autotrazione; il procedimento, in quell’occasione, ebbe abbrivio a seguito di una segnalazione dell’Associazione Nazionale Artigiani e Piccole e Medie Imprese del Trasporto Merci – FITA/CNA; secondo l’associazione segnalante, dalle informazioni reperibili sulla stampa specializzata sarebbe emerso in un dato periodo di tempo (“</w:t>
      </w:r>
      <w:r w:rsidRPr="00F31496">
        <w:rPr>
          <w:rFonts w:ascii="Garamond" w:eastAsia="Times New Roman" w:hAnsi="Garamond" w:cs="Times New Roman"/>
          <w:i/>
          <w:iCs/>
          <w:color w:val="000000"/>
          <w:kern w:val="0"/>
          <w:sz w:val="30"/>
          <w:szCs w:val="30"/>
          <w:lang w:eastAsia="it-IT"/>
          <w14:ligatures w14:val="none"/>
        </w:rPr>
        <w:t>nell’ultimo anno</w:t>
      </w:r>
      <w:r w:rsidRPr="00F31496">
        <w:rPr>
          <w:rFonts w:ascii="Garamond" w:eastAsia="Times New Roman" w:hAnsi="Garamond" w:cs="Times New Roman"/>
          <w:color w:val="000000"/>
          <w:kern w:val="0"/>
          <w:sz w:val="30"/>
          <w:szCs w:val="30"/>
          <w:lang w:eastAsia="it-IT"/>
          <w14:ligatures w14:val="none"/>
        </w:rPr>
        <w:t xml:space="preserve">”) un andamento uniforme dei prezzi delle società che distribuiscono gasolio (il carburante usato dagli associati FITA) sulla rete nazionale, alle quali facevano capo i marchi AGIP, API, ERG, ESSO, IP, Q8, SHELL, TAMOIL e TOTAL; fu rilevato, in </w:t>
      </w:r>
      <w:r w:rsidRPr="00F31496">
        <w:rPr>
          <w:rFonts w:ascii="Garamond" w:eastAsia="Times New Roman" w:hAnsi="Garamond" w:cs="Times New Roman"/>
          <w:color w:val="000000"/>
          <w:kern w:val="0"/>
          <w:sz w:val="30"/>
          <w:szCs w:val="30"/>
          <w:lang w:eastAsia="it-IT"/>
          <w14:ligatures w14:val="none"/>
        </w:rPr>
        <w:lastRenderedPageBreak/>
        <w:t>particolare, uno scambio di informazioni sensibili tra le parti in materia di prezzi, avvenuto – allora come nel caso che ci occupa – attraverso la diramazione di comunicati stampa e la pubblicazione sulla stampa specializzata dei listini relativi alla vendita di carburanti in rete; tale scambio di informazioni, in un contesto oligopolistico caratterizzato da notevoli barriere all’accesso, fece supporre un’alterazione delle dinamiche competitive sui mercati interessati; si ipotizzò che tali pratiche potessero aver favorito la collusione di prezzo tra imprese petrolifere.</w:t>
      </w:r>
    </w:p>
    <w:p w14:paraId="6DEBA66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contestazione all’origine del procedimento avviato dall’Autorità fu fondata sull’osservazione dell’esistenza di uno scambio di informazioni tra le imprese petrolifere, consistente nella comunicazione alla stampa: a) dei prezzi consigliati nazionali in anticipo rispetto alla loro pubblicazione sul sito internet del Ministero dello sviluppo economico; b) delle componenti aggiuntive di tali prezzi, i c.d. “differenziali integrativi”, non pubblicati dal Ministero e, dunque, non altrimenti conoscibili.</w:t>
      </w:r>
    </w:p>
    <w:p w14:paraId="045C45B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riscontro a tale contestazione, gli operatori provvidero a presentare (ed integrare) impegni diretti a limitare la trasparenza sui prezzi consigliati e sui differenziali integrativi, previa cessazione di ogni comunicazione alla stampa specializzata, nonché, da parte di alcuni operatori (ENI, ERG, TAMOIL e ESSO) a definire i prezzi consigliati su base non più nazionale, bensì locale.</w:t>
      </w:r>
    </w:p>
    <w:p w14:paraId="62EA63A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Tali impegni furono valutati, nel loro insieme, idonei a spezzare il legame tra la trasparenza delle informazioni sui prezzi ed il parallelismo di comportamenti descritto nel provvedimento di avvio; dunque, impegni costituenti misure idonee a far venire meno i profili anticoncorrenziali oggetto di istruttoria nell’ambito di un risoluto (e concordato) rifiuto a servirsi della stampa specializzata secondo modalità potenzialmente lesive della concorrenza o, comunque, suscettibili di risultare a tal fine equivoche.</w:t>
      </w:r>
    </w:p>
    <w:p w14:paraId="54FDDB0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L’Autorità, pertanto, con provvedimento n. 17754 del 20.12.2007 deliberò l’obbligatorietà degli impegni assunti ai sensi dell’art. 14 ter, comma 1, della legge 287/1990 e, pertanto, chiuse il procedimento nei confronti di API, ENI, ERG, ESSO, KUWAIT, SHELL, TAMOIL e TOTAL senza accertare alcuna infrazione.</w:t>
      </w:r>
    </w:p>
    <w:p w14:paraId="29C881D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17. Il richiamo alle pregresse vicende molto dice per delineare il contesto che ha fatto da sfondo alla fattispecie oggetto di giudizio, che investe una questione che, dunque, si agita da circa un ventennio.</w:t>
      </w:r>
    </w:p>
    <w:p w14:paraId="0C292CC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Ma anche, e non secondariamente e come si dirà appresso, per rimarcare l’evoluzione pretoria formatasi in sede comunitaria in relazione a fatti materiali suscettibili di assurgere a violazioni della disciplina sulla concorrenza (lo scambio di informazioni; gli accordi; i comportamenti concreti e il nodo della sufficienza probatoria).</w:t>
      </w:r>
    </w:p>
    <w:p w14:paraId="22A8BAA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giurisprudenza amministrativa ha, poi, progressivamente recepito e sviluppato gli orientamenti emersi in sede comunitaria.</w:t>
      </w:r>
    </w:p>
    <w:p w14:paraId="3E0E182D"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 sensi dell’art. 101, paragrafo 1, TFUE sono incompatibili con il mercato interno e vietati tutti gli accordi tra imprese, tutte le decisioni di associazioni di imprese e tutte le pratiche concordate che possano pregiudicare il commercio tra Stati membri e che abbiano per oggetto o per effetto di impedire, restringere o falsare il gioco della concorrenza all’interno del mercato interno.</w:t>
      </w:r>
    </w:p>
    <w:p w14:paraId="3DC238F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Secondo la consolidata giurisprudenza europea, “accordi” e “pratiche concordate” sono forme collusive che condividono la medesima natura e si distinguono solo per la loro intensità e per le forme in cui esse si manifestano, e possono coesistere anche nell’ambito di una stessa intesa (cfr. Corte di Giustizia UE, 5 dicembre 2013, C-449/11P).</w:t>
      </w:r>
    </w:p>
    <w:p w14:paraId="5F0FFB3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Mentre la fattispecie dell’accordo ricorre qualora le imprese abbiano espresso la loro comune volontà di comportarsi sul mercato in un determinato modo (cfr. Corte di Giustizia UE, 15 luglio 1970, C-41/69, punto 112), la pratica concordata </w:t>
      </w:r>
      <w:r w:rsidRPr="00F31496">
        <w:rPr>
          <w:rFonts w:ascii="Garamond" w:eastAsia="Times New Roman" w:hAnsi="Garamond" w:cs="Times New Roman"/>
          <w:color w:val="000000"/>
          <w:kern w:val="0"/>
          <w:sz w:val="30"/>
          <w:szCs w:val="30"/>
          <w:lang w:eastAsia="it-IT"/>
          <w14:ligatures w14:val="none"/>
        </w:rPr>
        <w:lastRenderedPageBreak/>
        <w:t>corrisponde ad una forma di coordinamento che, senza essersi spinta fino alla stipulazione di un vero e proprio accordo, sostituisce, in modo consapevole, un’espressa collaborazione fra le stesse per sottrarsi ai rischi della concorrenza (cfr. Corte di Giustizia UE, sentenza 26 gennaio 2017, C 609/13 P, punto 70).</w:t>
      </w:r>
    </w:p>
    <w:p w14:paraId="0324B87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Il testo normativo europeo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cos</w:t>
      </w:r>
      <w:r w:rsidRPr="00F31496">
        <w:rPr>
          <w:rFonts w:ascii="Garamond" w:eastAsia="Times New Roman" w:hAnsi="Garamond" w:cs="Garamond"/>
          <w:color w:val="000000"/>
          <w:kern w:val="0"/>
          <w:sz w:val="30"/>
          <w:szCs w:val="30"/>
          <w:lang w:eastAsia="it-IT"/>
          <w14:ligatures w14:val="none"/>
        </w:rPr>
        <w:t>ì</w:t>
      </w:r>
      <w:r w:rsidRPr="00F31496">
        <w:rPr>
          <w:rFonts w:ascii="Garamond" w:eastAsia="Times New Roman" w:hAnsi="Garamond" w:cs="Times New Roman"/>
          <w:color w:val="000000"/>
          <w:kern w:val="0"/>
          <w:sz w:val="30"/>
          <w:szCs w:val="30"/>
          <w:lang w:eastAsia="it-IT"/>
          <w14:ligatures w14:val="none"/>
        </w:rPr>
        <w:t xml:space="preserve"> come il corrispondente testo dell</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art. 2 della legge 287/1990, con espressioni linguistiche sovrapponibili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contempla alcune fattispecie tipiche aventi, tuttavia, valenza non tassativa. Viene esemplificato che sono vietati gli accordi e le pratiche consistenti nel: </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i/>
          <w:iCs/>
          <w:color w:val="000000"/>
          <w:kern w:val="0"/>
          <w:sz w:val="30"/>
          <w:szCs w:val="30"/>
          <w:lang w:eastAsia="it-IT"/>
          <w14:ligatures w14:val="none"/>
        </w:rPr>
        <w:t>a) fissare direttamente o indirettamente i prezzi d’acquisto o di vendita ovvero altre condizioni di transazione; b) limitare o controllare la produzione, gli sbocchi, lo sviluppo tecnico o gli investimenti; c) ripartire i mercati o le fonti di approvvigionamento; d) applicare, nei rapporti commerciali con gli altri contraenti, condizioni dissimili per prestazioni equivalenti, così da determinare per questi ultimi uno svantaggio nella concorrenza; e) subordinare la conclusione di contratti all'accettazione da parte degli altri contraenti di prestazioni supplementari, che, per loro natura o secondo gli usi commerciali, non abbiano alcun nesso con l'oggetto dei contratti stessi</w:t>
      </w:r>
      <w:r w:rsidRPr="00F31496">
        <w:rPr>
          <w:rFonts w:ascii="Garamond" w:eastAsia="Times New Roman" w:hAnsi="Garamond" w:cs="Times New Roman"/>
          <w:color w:val="000000"/>
          <w:kern w:val="0"/>
          <w:sz w:val="30"/>
          <w:szCs w:val="30"/>
          <w:lang w:eastAsia="it-IT"/>
          <w14:ligatures w14:val="none"/>
        </w:rPr>
        <w:t>”.</w:t>
      </w:r>
    </w:p>
    <w:p w14:paraId="32C52DA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L’individuazione delle condotte illecite atipiche deve partire dalla concezione sottesa alle norme del TFUE in materia di concorrenza, secondo cui ogni operatore economico deve determinare autonomamente la condotta che intende seguire nel mercato interno, cosicché devono ritenersi vietati i contatti diretti o indiretti di qualsiasi genere che possano influenzare il comportamento sul mercato di un concorrente, attuale o potenziale, o rivelare a tale concorrente la condotta che essi hanno deciso o intendono seguire sul mercato quando tali contatti abbiano quale scopo o effetto una restrizione della concorrenza (cfr., ancora, la sentenza 26 gennaio 2017, C 609/13 P, punto 72).</w:t>
      </w:r>
    </w:p>
    <w:p w14:paraId="5176498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La definizione normativa distingue tra intese restrittive per “oggetto”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ovvero quelle che, tenuto conto del tenore delle disposizioni collusive, degli obiettivi perseguiti, del contesto economico e giuridico nel quale si inseriscono, hanno </w:t>
      </w:r>
      <w:r w:rsidRPr="00F31496">
        <w:rPr>
          <w:rFonts w:ascii="Garamond" w:eastAsia="Times New Roman" w:hAnsi="Garamond" w:cs="Times New Roman"/>
          <w:color w:val="000000"/>
          <w:kern w:val="0"/>
          <w:sz w:val="30"/>
          <w:szCs w:val="30"/>
          <w:lang w:eastAsia="it-IT"/>
          <w14:ligatures w14:val="none"/>
        </w:rPr>
        <w:lastRenderedPageBreak/>
        <w:t xml:space="preserve">contenuto anticoncorrenziale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e intese restrittive per </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effetto</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la cui dannosit</w:t>
      </w:r>
      <w:r w:rsidRPr="00F31496">
        <w:rPr>
          <w:rFonts w:ascii="Garamond" w:eastAsia="Times New Roman" w:hAnsi="Garamond" w:cs="Garamond"/>
          <w:color w:val="000000"/>
          <w:kern w:val="0"/>
          <w:sz w:val="30"/>
          <w:szCs w:val="30"/>
          <w:lang w:eastAsia="it-IT"/>
          <w14:ligatures w14:val="none"/>
        </w:rPr>
        <w:t>à</w:t>
      </w:r>
      <w:r w:rsidRPr="00F31496">
        <w:rPr>
          <w:rFonts w:ascii="Garamond" w:eastAsia="Times New Roman" w:hAnsi="Garamond" w:cs="Times New Roman"/>
          <w:color w:val="000000"/>
          <w:kern w:val="0"/>
          <w:sz w:val="30"/>
          <w:szCs w:val="30"/>
          <w:lang w:eastAsia="it-IT"/>
          <w14:ligatures w14:val="none"/>
        </w:rPr>
        <w:t xml:space="preserve"> pu</w:t>
      </w:r>
      <w:r w:rsidRPr="00F31496">
        <w:rPr>
          <w:rFonts w:ascii="Garamond" w:eastAsia="Times New Roman" w:hAnsi="Garamond" w:cs="Garamond"/>
          <w:color w:val="000000"/>
          <w:kern w:val="0"/>
          <w:sz w:val="30"/>
          <w:szCs w:val="30"/>
          <w:lang w:eastAsia="it-IT"/>
          <w14:ligatures w14:val="none"/>
        </w:rPr>
        <w:t>ò</w:t>
      </w:r>
      <w:r w:rsidRPr="00F31496">
        <w:rPr>
          <w:rFonts w:ascii="Garamond" w:eastAsia="Times New Roman" w:hAnsi="Garamond" w:cs="Times New Roman"/>
          <w:color w:val="000000"/>
          <w:kern w:val="0"/>
          <w:sz w:val="30"/>
          <w:szCs w:val="30"/>
          <w:lang w:eastAsia="it-IT"/>
          <w14:ligatures w14:val="none"/>
        </w:rPr>
        <w:t xml:space="preserve"> essere apprezzata soltanto sul terreno delle ripercussioni negative registratesi sulla struttura del mercato.</w:t>
      </w:r>
    </w:p>
    <w:p w14:paraId="41EE837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Tale distinzione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che rileva sul piano degli elementi costitutivi dell</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illecito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comporta un regime probatorio diverso. In particolare, per il giudice comunitario </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i/>
          <w:iCs/>
          <w:color w:val="000000"/>
          <w:kern w:val="0"/>
          <w:sz w:val="30"/>
          <w:szCs w:val="30"/>
          <w:lang w:eastAsia="it-IT"/>
          <w14:ligatures w14:val="none"/>
        </w:rPr>
        <w:t>un’impresa può essere considerata responsabile di accordi o di pratiche concordate aventi un oggetto anticoncorrenziale ove essa abbia inteso contribuire con il proprio comportamento agli obiettivi comuni perseguiti da tutti i partecipanti ed era a conoscenza dei comportamenti materiali previsti o attuati da altre imprese nel perseguire i medesimi obiettivi, oppure poteva ragionevolmente prevederli ed era pronta ad accettarne i rischi</w:t>
      </w:r>
      <w:r w:rsidRPr="00F31496">
        <w:rPr>
          <w:rFonts w:ascii="Garamond" w:eastAsia="Times New Roman" w:hAnsi="Garamond" w:cs="Times New Roman"/>
          <w:color w:val="000000"/>
          <w:kern w:val="0"/>
          <w:sz w:val="30"/>
          <w:szCs w:val="30"/>
          <w:lang w:eastAsia="it-IT"/>
          <w14:ligatures w14:val="none"/>
        </w:rPr>
        <w:t>” (cfr. Corte di Giustizia UE, 21 luglio 2016, C-542/14, Remonts).</w:t>
      </w:r>
    </w:p>
    <w:p w14:paraId="7635A55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Per le pratiche qualificate come restrizioni per “oggetto”, non occorre dimostrarne gli effetti sulla concorrenza al fine di qualificarle come “restrizione della concorrenza”, ai sensi dell’art. 101, paragrafo 1 TFUE, in quanto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secondo la valutazione prognostica del legislatore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siffatti comportamenti sono di per s</w:t>
      </w:r>
      <w:r w:rsidRPr="00F31496">
        <w:rPr>
          <w:rFonts w:ascii="Garamond" w:eastAsia="Times New Roman" w:hAnsi="Garamond" w:cs="Garamond"/>
          <w:color w:val="000000"/>
          <w:kern w:val="0"/>
          <w:sz w:val="30"/>
          <w:szCs w:val="30"/>
          <w:lang w:eastAsia="it-IT"/>
          <w14:ligatures w14:val="none"/>
        </w:rPr>
        <w:t>é</w:t>
      </w:r>
      <w:r w:rsidRPr="00F31496">
        <w:rPr>
          <w:rFonts w:ascii="Garamond" w:eastAsia="Times New Roman" w:hAnsi="Garamond" w:cs="Times New Roman"/>
          <w:color w:val="000000"/>
          <w:kern w:val="0"/>
          <w:sz w:val="30"/>
          <w:szCs w:val="30"/>
          <w:lang w:eastAsia="it-IT"/>
          <w14:ligatures w14:val="none"/>
        </w:rPr>
        <w:t xml:space="preserve"> dannosi per il buon funzionamento del normale gioco della concorrenza, determinando riduzioni della produzione e aumenti dei prezzi e dando luogo ad una cattiva allocazione delle risorse a detrimento, in particolare, dei consumatori (cfr. Corte di Giustizia UE, sentenze 19 marzo 2015, C 286/13 P, punto 115; 26 novembre 2015, C 345/14, punto 20, e del 23 gennaio 2018, C 179/16, punti 78 e 79).</w:t>
      </w:r>
    </w:p>
    <w:p w14:paraId="0315279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Per contro, qualora non sia dimostrato l’oggetto anticoncorrenziale di un accordo o di una pratica concordata, occorre esaminare i suoi effetti al fine di fornire elementi comprovanti che il gioco della concorrenza è stato, di fatto, impedito, ristretto o (anche solo) falsato in modo sensibile (cfr. Corte di Giustizia UE, sentenza del 26 novembre 2015, C 345/14, punto 17).</w:t>
      </w:r>
    </w:p>
    <w:p w14:paraId="5D9D9B9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Non meno importante ai fini dell’accertamento della violazione contestata è il regime probatorio.</w:t>
      </w:r>
    </w:p>
    <w:p w14:paraId="026786E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Secondo la constante giurisprudenza europea, il principio della presunzione d’innocenza, sancito dall’art. 48, paragrafo 1 della Carta dei diritti fondamentali dell’Unione europea, si applica alle procedure che possono concludersi con pesanti sanzioni afflittive (cfr. Corte di Giustizia UE, 10 novembre 2017, T-180/15).</w:t>
      </w:r>
    </w:p>
    <w:p w14:paraId="58AEB3C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presunzione di innocenza risulta delineata, del resto, anche dall’art. 6, paragrafo 2 della CEDU che, come noto, sottende principi generali del diritto dell’Unione. La natura “penale” in senso convenzionale delle sanzioni irrogate dall’Autorità antitrust è indubbia, tenuto conto delle finalità repressive e preventive perseguite e del fatto che l’accertamento di </w:t>
      </w:r>
      <w:r w:rsidRPr="00F31496">
        <w:rPr>
          <w:rFonts w:ascii="Garamond" w:eastAsia="Times New Roman" w:hAnsi="Garamond" w:cs="Times New Roman"/>
          <w:i/>
          <w:iCs/>
          <w:color w:val="000000"/>
          <w:kern w:val="0"/>
          <w:sz w:val="30"/>
          <w:szCs w:val="30"/>
          <w:lang w:eastAsia="it-IT"/>
          <w14:ligatures w14:val="none"/>
        </w:rPr>
        <w:t>antitrust infringement</w:t>
      </w:r>
      <w:r w:rsidRPr="00F31496">
        <w:rPr>
          <w:rFonts w:ascii="Garamond" w:eastAsia="Times New Roman" w:hAnsi="Garamond" w:cs="Times New Roman"/>
          <w:color w:val="000000"/>
          <w:kern w:val="0"/>
          <w:sz w:val="30"/>
          <w:szCs w:val="30"/>
          <w:lang w:eastAsia="it-IT"/>
          <w14:ligatures w14:val="none"/>
        </w:rPr>
        <w:t> determina, oltre all’irrogazione di pesanti sanzioni amministrative pecuniarie e alla condanna al risarcimento del danno eventualmente cagionato, anche un significativo danno reputazionale (sulla natura sostanzialmente penale delle responsabilità per violazioni delle norme sulla concorrenza, cfr. Corte EDU, sentenza 27 settembre 2011, caso Menarini-Diagnostics s.r.l. c. Italia; in generale sulla nozione di pena in senso convenzionale: Corte EDU, Engel e altri contro Paesi Bassi, caso n. 5100/71, Grande Stevens e altri contro Italia, casi 18640/10, 18647/10, 18663/10, 18668/10 e 18698/10).</w:t>
      </w:r>
    </w:p>
    <w:p w14:paraId="413439D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coerenza con l’anzidetto inquadramento (del Trattato e della CEDU), l’art. 2 del Regolamento n. 1/2003 precisa che, in tutti i procedimenti nazionali o comunitari relativi all’applicazione all’art. 101 TFUE, l’onere della prova dell’infrazione incombe sulla parte o sull’autorità che asserisce tale infrazione. Spetta dunque all’Autorità fornire la prova delle infrazioni che essa constata e produrre gli elementi idonei a dimostrare l’esistenza degli elementi costituitivi che integrano l’infrazione (cfr. Corte di Giustizia 8 luglio 1999, causa C 49/92 P, punto 86), ivi compresa la sua durata (cfr. Tribunale 29 novembre 2005, causa T 62/02, punto 36).</w:t>
      </w:r>
    </w:p>
    <w:p w14:paraId="0B9C5F8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La presunzione comporta che “</w:t>
      </w:r>
      <w:r w:rsidRPr="00F31496">
        <w:rPr>
          <w:rFonts w:ascii="Garamond" w:eastAsia="Times New Roman" w:hAnsi="Garamond" w:cs="Times New Roman"/>
          <w:i/>
          <w:iCs/>
          <w:color w:val="000000"/>
          <w:kern w:val="0"/>
          <w:sz w:val="30"/>
          <w:szCs w:val="30"/>
          <w:lang w:eastAsia="it-IT"/>
          <w14:ligatures w14:val="none"/>
        </w:rPr>
        <w:t>qualora sussista un dubbio nella mente del giudice, esso deve andare a beneficio dell’impresa destinataria della decisione che constata un’infrazione</w:t>
      </w:r>
      <w:r w:rsidRPr="00F31496">
        <w:rPr>
          <w:rFonts w:ascii="Garamond" w:eastAsia="Times New Roman" w:hAnsi="Garamond" w:cs="Times New Roman"/>
          <w:color w:val="000000"/>
          <w:kern w:val="0"/>
          <w:sz w:val="30"/>
          <w:szCs w:val="30"/>
          <w:lang w:eastAsia="it-IT"/>
          <w14:ligatures w14:val="none"/>
        </w:rPr>
        <w:t>” (Corte di Giustizia, sentenza 22 novembre 2012, C-89/11 P, punto 72).</w:t>
      </w:r>
    </w:p>
    <w:p w14:paraId="09087C4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Questo in linea generale.</w:t>
      </w:r>
    </w:p>
    <w:p w14:paraId="2594944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È importante sottolineare, però, che il principio della presunzione di innocenza non osta, tuttavia, all’applicazione di presunzioni relative, le quali consentono di trarre una determinata conclusione in base a massime di esperienza.</w:t>
      </w:r>
    </w:p>
    <w:p w14:paraId="50090B2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Un punto fondamentale ai fini del decidere, come appresso si dirà.</w:t>
      </w:r>
    </w:p>
    <w:p w14:paraId="05FDF38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Al riguardo, la Corte di Giustizia UE ha avuto più volte modo di osservare che “</w:t>
      </w:r>
      <w:r w:rsidRPr="00F31496">
        <w:rPr>
          <w:rFonts w:ascii="Garamond" w:eastAsia="Times New Roman" w:hAnsi="Garamond" w:cs="Times New Roman"/>
          <w:i/>
          <w:iCs/>
          <w:color w:val="000000"/>
          <w:kern w:val="0"/>
          <w:sz w:val="30"/>
          <w:szCs w:val="30"/>
          <w:lang w:eastAsia="it-IT"/>
          <w14:ligatures w14:val="none"/>
        </w:rPr>
        <w:t>di norma le attività derivanti da tali pratiche e accordi si svolgono in modo clandestino, le riunioni sono segrete, spesso in un paese terzo, e la documentazione ad esse relativa è ridotta al minimo. Anche se la Commissione scoprisse documenti attestanti in modo esplicito un contatto illegittimo tra operatori, come i resoconti di una riunione, questi sarebbero di regola solo frammentari e sporadici, di modo che si rivela spesso necessario ricostituire taluni dettagli per via di deduzioni. Nella maggior parte dei casi, l’esistenza di una pratica o di un accordo anticoncorrenziale dev’essere dedotta da un certo numero di coincidenze e di indizi i quali, considerati nel loro insieme, possono rappresentare, in mancanza di un’altra spiegazione coerente, la prova di una violazione delle regole sulla concorrenza</w:t>
      </w:r>
      <w:r w:rsidRPr="00F31496">
        <w:rPr>
          <w:rFonts w:ascii="Garamond" w:eastAsia="Times New Roman" w:hAnsi="Garamond" w:cs="Times New Roman"/>
          <w:color w:val="000000"/>
          <w:kern w:val="0"/>
          <w:sz w:val="30"/>
          <w:szCs w:val="30"/>
          <w:lang w:eastAsia="it-IT"/>
          <w14:ligatures w14:val="none"/>
        </w:rPr>
        <w:t>” (cfr. sentenze 1 luglio 2010, in C-407/08, punto 49; sentenza 7 gennaio 2004, cause riunite C-204/00 P, C-205/00 P, C-211/00 P, C-213/00 P, C-217/00 P e C-219/00 P, punti 55-57).</w:t>
      </w:r>
    </w:p>
    <w:p w14:paraId="7A74F88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ricorso alle presunzioni si coniuga con l’esigenza di garantire l’effetto utile del diritto europeo della concorrenza, dato che, senza di esse, la prova dell’infrazione potrebbe risultare estremamente difficile o praticamente impossibile.</w:t>
      </w:r>
    </w:p>
    <w:p w14:paraId="7470505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Per gli stessi motivi, la prova delle intese restrittive della concorrenza può essere sostenuta da un compendio probatorio di natura indiziaria, ovvero un complesso di prove esclusivamente indirette, purché queste possano essere significative al pari </w:t>
      </w:r>
      <w:r w:rsidRPr="00F31496">
        <w:rPr>
          <w:rFonts w:ascii="Garamond" w:eastAsia="Times New Roman" w:hAnsi="Garamond" w:cs="Times New Roman"/>
          <w:color w:val="000000"/>
          <w:kern w:val="0"/>
          <w:sz w:val="30"/>
          <w:szCs w:val="30"/>
          <w:lang w:eastAsia="it-IT"/>
          <w14:ligatures w14:val="none"/>
        </w:rPr>
        <w:lastRenderedPageBreak/>
        <w:t>della prova rappresentativa (anche il processo penale consente il ricorso alla prova indiziaria ed ai principi fondati sull’esperienza).</w:t>
      </w:r>
    </w:p>
    <w:p w14:paraId="13C774C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nozione di pratica concordata per “oggetto” esige il soddisfacimento di tre condizioni: in primo luogo, una concertazione tra le imprese interessate; in secondo luogo, un comportamento sul mercato da parte di tali imprese che dia seguito a tale concertazione; in terzo luogo, un nesso causale tra concertazione e comportamento sul mercato, senza che tuttavia tale comportamento debba ripercuotersi in quanto tale in una concreta restrizione della concorrenza.</w:t>
      </w:r>
    </w:p>
    <w:p w14:paraId="65D78EF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Alla luce di quanto sopra esposto:</w:t>
      </w:r>
    </w:p>
    <w:p w14:paraId="1993AA8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 quando l’Autorità ha fornito la prova dell’esistenza di un accordo avente carattere manifestamente anticoncorrenziale, spetta alle imprese che vi hanno partecipato fornire la prova di essersene dissociate, prova che deve dimostrare una volontà inequivocabile, e portata a conoscenza delle altre imprese partecipanti, di sottrarsi a tale accordo (cfr. Tribunale 27 settembre 2006, causa T 168/01, punto 86; Corte di Giustizia UE, 6 gennaio 2004, cause riunite C 2/01 P e C 3/01 P, punto 63);</w:t>
      </w:r>
    </w:p>
    <w:p w14:paraId="510234B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ii) qualora, invece, l’Autorità fornisca soltanto la dimostrazione di un comportamento economico anomalo (quali l’uniformità ed il parallelismo dei comportamenti), è consentito presumere l’esistenza di una concertazione, ponendo a carico delle imprese l’onere di fornire una spiegazione alternativa e plausibile della condotta contestata.</w:t>
      </w:r>
    </w:p>
    <w:p w14:paraId="5CAC4BD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Tra le semplificazioni probatorie, va richiamata, per le sue implicazioni nel presente giudizio, la nozione di “</w:t>
      </w:r>
      <w:r w:rsidRPr="00F31496">
        <w:rPr>
          <w:rFonts w:ascii="Garamond" w:eastAsia="Times New Roman" w:hAnsi="Garamond" w:cs="Times New Roman"/>
          <w:i/>
          <w:iCs/>
          <w:color w:val="000000"/>
          <w:kern w:val="0"/>
          <w:sz w:val="30"/>
          <w:szCs w:val="30"/>
          <w:lang w:eastAsia="it-IT"/>
          <w14:ligatures w14:val="none"/>
        </w:rPr>
        <w:t>infrazione unica e continuata</w:t>
      </w:r>
      <w:r w:rsidRPr="00F31496">
        <w:rPr>
          <w:rFonts w:ascii="Garamond" w:eastAsia="Times New Roman" w:hAnsi="Garamond" w:cs="Times New Roman"/>
          <w:color w:val="000000"/>
          <w:kern w:val="0"/>
          <w:sz w:val="30"/>
          <w:szCs w:val="30"/>
          <w:lang w:eastAsia="it-IT"/>
          <w14:ligatures w14:val="none"/>
        </w:rPr>
        <w:t>”, pure elaborata dalla giurisprudenza della Corte europea.</w:t>
      </w:r>
    </w:p>
    <w:p w14:paraId="58E6FD6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Una violazione dell’art. 101, paragrafo 1 TFUE può risultare non soltanto da un atto isolato, ma anche da una serie di atti o persino da un comportamento continuato, anche quando uno o più elementi di questa serie di atti o di questo comportamento continuato potrebbero altresì costituire, di per sé e considerati isolatamente, una </w:t>
      </w:r>
      <w:r w:rsidRPr="00F31496">
        <w:rPr>
          <w:rFonts w:ascii="Garamond" w:eastAsia="Times New Roman" w:hAnsi="Garamond" w:cs="Times New Roman"/>
          <w:color w:val="000000"/>
          <w:kern w:val="0"/>
          <w:sz w:val="30"/>
          <w:szCs w:val="30"/>
          <w:lang w:eastAsia="it-IT"/>
          <w14:ligatures w14:val="none"/>
        </w:rPr>
        <w:lastRenderedPageBreak/>
        <w:t>violazione di detta disposizione. Qualora le diverse azioni facciano parte di un “</w:t>
      </w:r>
      <w:r w:rsidRPr="00F31496">
        <w:rPr>
          <w:rFonts w:ascii="Garamond" w:eastAsia="Times New Roman" w:hAnsi="Garamond" w:cs="Times New Roman"/>
          <w:i/>
          <w:iCs/>
          <w:color w:val="000000"/>
          <w:kern w:val="0"/>
          <w:sz w:val="30"/>
          <w:szCs w:val="30"/>
          <w:lang w:eastAsia="it-IT"/>
          <w14:ligatures w14:val="none"/>
        </w:rPr>
        <w:t>piano d’insieme</w:t>
      </w:r>
      <w:r w:rsidRPr="00F31496">
        <w:rPr>
          <w:rFonts w:ascii="Garamond" w:eastAsia="Times New Roman" w:hAnsi="Garamond" w:cs="Times New Roman"/>
          <w:color w:val="000000"/>
          <w:kern w:val="0"/>
          <w:sz w:val="30"/>
          <w:szCs w:val="30"/>
          <w:lang w:eastAsia="it-IT"/>
          <w14:ligatures w14:val="none"/>
        </w:rPr>
        <w:t>”, a causa del loro identico oggetto di distorsione del gioco della concorrenza all’interno del mercato comune, la Commissione può imputare la responsabilità di tali azioni in funzione della partecipazione all’infrazione considerata nel suo insieme (cfr. Corte di Giustizia UE 24 giugno 2015, C 293/13 P e C 294/13 P, punto 156).</w:t>
      </w:r>
    </w:p>
    <w:p w14:paraId="30953BE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dottrina dell’“</w:t>
      </w:r>
      <w:r w:rsidRPr="00F31496">
        <w:rPr>
          <w:rFonts w:ascii="Garamond" w:eastAsia="Times New Roman" w:hAnsi="Garamond" w:cs="Times New Roman"/>
          <w:i/>
          <w:iCs/>
          <w:color w:val="000000"/>
          <w:kern w:val="0"/>
          <w:sz w:val="30"/>
          <w:szCs w:val="30"/>
          <w:lang w:eastAsia="it-IT"/>
          <w14:ligatures w14:val="none"/>
        </w:rPr>
        <w:t>infrazione unica e continuata</w:t>
      </w:r>
      <w:r w:rsidRPr="00F31496">
        <w:rPr>
          <w:rFonts w:ascii="Garamond" w:eastAsia="Times New Roman" w:hAnsi="Garamond" w:cs="Times New Roman"/>
          <w:color w:val="000000"/>
          <w:kern w:val="0"/>
          <w:sz w:val="30"/>
          <w:szCs w:val="30"/>
          <w:lang w:eastAsia="it-IT"/>
          <w14:ligatures w14:val="none"/>
        </w:rPr>
        <w:t>” intende ridurre l’onere che l’Autorità di </w:t>
      </w:r>
      <w:r w:rsidRPr="00F31496">
        <w:rPr>
          <w:rFonts w:ascii="Garamond" w:eastAsia="Times New Roman" w:hAnsi="Garamond" w:cs="Times New Roman"/>
          <w:i/>
          <w:iCs/>
          <w:color w:val="000000"/>
          <w:kern w:val="0"/>
          <w:sz w:val="30"/>
          <w:szCs w:val="30"/>
          <w:lang w:eastAsia="it-IT"/>
          <w14:ligatures w14:val="none"/>
        </w:rPr>
        <w:t>enforcement</w:t>
      </w:r>
      <w:r w:rsidRPr="00F31496">
        <w:rPr>
          <w:rFonts w:ascii="Garamond" w:eastAsia="Times New Roman" w:hAnsi="Garamond" w:cs="Times New Roman"/>
          <w:color w:val="000000"/>
          <w:kern w:val="0"/>
          <w:sz w:val="30"/>
          <w:szCs w:val="30"/>
          <w:lang w:eastAsia="it-IT"/>
          <w14:ligatures w14:val="none"/>
        </w:rPr>
        <w:t>, nell’applicazione dell’art. 101, paragrafo 1 del TFUE, dovrebbe altrimenti affrontare per stabilire il fatto della collusione, quando un cartello è durato per un lungo periodo, durante il quale la natura della collusione può essere variata tra diverse parti o in momenti diversi.</w:t>
      </w:r>
    </w:p>
    <w:p w14:paraId="6826F53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particolare, una volta dimostrata l’esistenza di un piano di insieme e di un comune obiettivo anticoncorrenziale, l’Autorità non è tenuta a dimostrare l’illiceità di ogni singola condotta. Sotto altro profilo, un’impresa che abbia partecipato a una tale infrazione unica e complessa può essere ritenuta responsabile anche dei comportamenti attuati da altre imprese nell’ambito della medesima infrazione per tutto il periodo della sua partecipazione alla stessa (cfr. Corte di Giustizia UE 6 dicembre 2012, C 441/11 P, punto 42).</w:t>
      </w:r>
    </w:p>
    <w:p w14:paraId="3999131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Va ora rimarcato che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rispettato lo</w:t>
      </w:r>
      <w:r w:rsidRPr="00F31496">
        <w:rPr>
          <w:rFonts w:ascii="Garamond" w:eastAsia="Times New Roman" w:hAnsi="Garamond" w:cs="Garamond"/>
          <w:color w:val="000000"/>
          <w:kern w:val="0"/>
          <w:sz w:val="30"/>
          <w:szCs w:val="30"/>
          <w:lang w:eastAsia="it-IT"/>
          <w14:ligatures w14:val="none"/>
        </w:rPr>
        <w:t> </w:t>
      </w:r>
      <w:r w:rsidRPr="00F31496">
        <w:rPr>
          <w:rFonts w:ascii="Garamond" w:eastAsia="Times New Roman" w:hAnsi="Garamond" w:cs="Times New Roman"/>
          <w:i/>
          <w:iCs/>
          <w:color w:val="000000"/>
          <w:kern w:val="0"/>
          <w:sz w:val="30"/>
          <w:szCs w:val="30"/>
          <w:lang w:eastAsia="it-IT"/>
          <w14:ligatures w14:val="none"/>
        </w:rPr>
        <w:t>standard</w:t>
      </w:r>
      <w:r w:rsidRPr="00F31496">
        <w:rPr>
          <w:rFonts w:ascii="Garamond" w:eastAsia="Times New Roman" w:hAnsi="Garamond" w:cs="Times New Roman"/>
          <w:color w:val="000000"/>
          <w:kern w:val="0"/>
          <w:sz w:val="30"/>
          <w:szCs w:val="30"/>
          <w:lang w:eastAsia="it-IT"/>
          <w14:ligatures w14:val="none"/>
        </w:rPr>
        <w:t xml:space="preserve"> probatorio minimo sopra descritto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il grado di intensit</w:t>
      </w:r>
      <w:r w:rsidRPr="00F31496">
        <w:rPr>
          <w:rFonts w:ascii="Garamond" w:eastAsia="Times New Roman" w:hAnsi="Garamond" w:cs="Garamond"/>
          <w:color w:val="000000"/>
          <w:kern w:val="0"/>
          <w:sz w:val="30"/>
          <w:szCs w:val="30"/>
          <w:lang w:eastAsia="it-IT"/>
          <w14:ligatures w14:val="none"/>
        </w:rPr>
        <w:t>à</w:t>
      </w:r>
      <w:r w:rsidRPr="00F31496">
        <w:rPr>
          <w:rFonts w:ascii="Garamond" w:eastAsia="Times New Roman" w:hAnsi="Garamond" w:cs="Times New Roman"/>
          <w:color w:val="000000"/>
          <w:kern w:val="0"/>
          <w:sz w:val="30"/>
          <w:szCs w:val="30"/>
          <w:lang w:eastAsia="it-IT"/>
          <w14:ligatures w14:val="none"/>
        </w:rPr>
        <w:t xml:space="preserve"> della prova richiesto nei procedimenti nazionali </w:t>
      </w:r>
      <w:r w:rsidRPr="00F31496">
        <w:rPr>
          <w:rFonts w:ascii="Garamond" w:eastAsia="Times New Roman" w:hAnsi="Garamond" w:cs="Garamond"/>
          <w:color w:val="000000"/>
          <w:kern w:val="0"/>
          <w:sz w:val="30"/>
          <w:szCs w:val="30"/>
          <w:lang w:eastAsia="it-IT"/>
          <w14:ligatures w14:val="none"/>
        </w:rPr>
        <w:t>è</w:t>
      </w:r>
      <w:r w:rsidRPr="00F31496">
        <w:rPr>
          <w:rFonts w:ascii="Garamond" w:eastAsia="Times New Roman" w:hAnsi="Garamond" w:cs="Times New Roman"/>
          <w:color w:val="000000"/>
          <w:kern w:val="0"/>
          <w:sz w:val="30"/>
          <w:szCs w:val="30"/>
          <w:lang w:eastAsia="it-IT"/>
          <w14:ligatures w14:val="none"/>
        </w:rPr>
        <w:t xml:space="preserve"> invece rimesso ai giudici nazionali (il quinto considerando del regolamento n. 1/2003 prevede espressamente che esso </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i/>
          <w:iCs/>
          <w:color w:val="000000"/>
          <w:kern w:val="0"/>
          <w:sz w:val="30"/>
          <w:szCs w:val="30"/>
          <w:lang w:eastAsia="it-IT"/>
          <w14:ligatures w14:val="none"/>
        </w:rPr>
        <w:t>non incide né sulle norme nazionali in materia di grado di intensità della prova né sugli obblighi delle autorità garanti della concorrenza e delle giurisdizioni nazionali degli Stati membri inerenti all'accertamento dei fatti pertinenti di un caso, purché dette norme e detti obblighi siano compatibili con i principi generali del diritto comunitario</w:t>
      </w:r>
      <w:r w:rsidRPr="00F31496">
        <w:rPr>
          <w:rFonts w:ascii="Garamond" w:eastAsia="Times New Roman" w:hAnsi="Garamond" w:cs="Times New Roman"/>
          <w:color w:val="000000"/>
          <w:kern w:val="0"/>
          <w:sz w:val="30"/>
          <w:szCs w:val="30"/>
          <w:lang w:eastAsia="it-IT"/>
          <w14:ligatures w14:val="none"/>
        </w:rPr>
        <w:t>”).</w:t>
      </w:r>
    </w:p>
    <w:p w14:paraId="407E65B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Il predetto assunto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coerente con l</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architettura normativa che ha disegnato, per le regole in materia di concorrenza, un sistema di tutela decentrato, dipendente dalla collaborazione delle autorit</w:t>
      </w:r>
      <w:r w:rsidRPr="00F31496">
        <w:rPr>
          <w:rFonts w:ascii="Garamond" w:eastAsia="Times New Roman" w:hAnsi="Garamond" w:cs="Garamond"/>
          <w:color w:val="000000"/>
          <w:kern w:val="0"/>
          <w:sz w:val="30"/>
          <w:szCs w:val="30"/>
          <w:lang w:eastAsia="it-IT"/>
          <w14:ligatures w14:val="none"/>
        </w:rPr>
        <w:t>à</w:t>
      </w:r>
      <w:r w:rsidRPr="00F31496">
        <w:rPr>
          <w:rFonts w:ascii="Garamond" w:eastAsia="Times New Roman" w:hAnsi="Garamond" w:cs="Times New Roman"/>
          <w:color w:val="000000"/>
          <w:kern w:val="0"/>
          <w:sz w:val="30"/>
          <w:szCs w:val="30"/>
          <w:lang w:eastAsia="it-IT"/>
          <w14:ligatures w14:val="none"/>
        </w:rPr>
        <w:t xml:space="preserve"> e dei giudici nazionali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deve ovviamente rispettare il </w:t>
      </w:r>
      <w:r w:rsidRPr="00F31496">
        <w:rPr>
          <w:rFonts w:ascii="Garamond" w:eastAsia="Times New Roman" w:hAnsi="Garamond" w:cs="Times New Roman"/>
          <w:color w:val="000000"/>
          <w:kern w:val="0"/>
          <w:sz w:val="30"/>
          <w:szCs w:val="30"/>
          <w:lang w:eastAsia="it-IT"/>
          <w14:ligatures w14:val="none"/>
        </w:rPr>
        <w:lastRenderedPageBreak/>
        <w:t>limite per cui i principi nazionali in materia di grado di intensit</w:t>
      </w:r>
      <w:r w:rsidRPr="00F31496">
        <w:rPr>
          <w:rFonts w:ascii="Garamond" w:eastAsia="Times New Roman" w:hAnsi="Garamond" w:cs="Garamond"/>
          <w:color w:val="000000"/>
          <w:kern w:val="0"/>
          <w:sz w:val="30"/>
          <w:szCs w:val="30"/>
          <w:lang w:eastAsia="it-IT"/>
          <w14:ligatures w14:val="none"/>
        </w:rPr>
        <w:t>à</w:t>
      </w:r>
      <w:r w:rsidRPr="00F31496">
        <w:rPr>
          <w:rFonts w:ascii="Garamond" w:eastAsia="Times New Roman" w:hAnsi="Garamond" w:cs="Times New Roman"/>
          <w:color w:val="000000"/>
          <w:kern w:val="0"/>
          <w:sz w:val="30"/>
          <w:szCs w:val="30"/>
          <w:lang w:eastAsia="it-IT"/>
          <w14:ligatures w14:val="none"/>
        </w:rPr>
        <w:t xml:space="preserve"> della prova non possono rendere impossibile o eccessivamente difficile l</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attuazione delle disposizioni in materia di concorrenza previste dal Trattato.</w:t>
      </w:r>
    </w:p>
    <w:p w14:paraId="4C103FA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18. Per venire ai fatti di causa, mette conto considerare, sul piano diacronico, che in data 24.1.2023 l’Autorità ha avviato un’indagine conoscitiva (IC54), in base all’art. 12, comma 2 della legge 287/1990, sui prezzi dei carburanti per autotrazione in Italia con riguardo alle dinamiche concorrenziali osservabili nelle diverse fasi della filiera, dall’estrazione alla distribuzione; tale indagine è stata motivata dall’osservazione di alcuni significativi aumenti dei prezzi al dettaglio dei carburanti per autotrazione nel corso dell’anno 2022 e, appunto, all’inizio del 2023, prendendo quale termine di riferimento iniziale l’andamento dei prezzi nel gennaio 2021.</w:t>
      </w:r>
    </w:p>
    <w:p w14:paraId="2667737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È accaduto che dopo l’avvio di tale indagine, “</w:t>
      </w:r>
      <w:r w:rsidRPr="00F31496">
        <w:rPr>
          <w:rFonts w:ascii="Garamond" w:eastAsia="Times New Roman" w:hAnsi="Garamond" w:cs="Times New Roman"/>
          <w:i/>
          <w:iCs/>
          <w:color w:val="000000"/>
          <w:kern w:val="0"/>
          <w:sz w:val="30"/>
          <w:szCs w:val="30"/>
          <w:lang w:eastAsia="it-IT"/>
          <w14:ligatures w14:val="none"/>
        </w:rPr>
        <w:t>il 27 marzo 2023 è pervenuta, attraverso la piattaforma di whistleblowing dell’Autorità, una segnalazione anonima avente a oggetto una presunta intesa tra le principali società petrolifere attive in Italia nel settore dei carburanti per autotrazione</w:t>
      </w:r>
      <w:r w:rsidRPr="00F31496">
        <w:rPr>
          <w:rFonts w:ascii="Garamond" w:eastAsia="Times New Roman" w:hAnsi="Garamond" w:cs="Times New Roman"/>
          <w:color w:val="000000"/>
          <w:kern w:val="0"/>
          <w:sz w:val="30"/>
          <w:szCs w:val="30"/>
          <w:lang w:eastAsia="it-IT"/>
          <w14:ligatures w14:val="none"/>
        </w:rPr>
        <w:t>” (cfr. pag. 5 della deliberazione); e, come sempre si legge nel provvedimento impugnato, l’indagine conoscitiva ha preso quale ultimo termine di riferimento temporale l’inizio del mese di aprile 2023, e ciò – con ogni evidenza – in ragione del fatto che “</w:t>
      </w:r>
      <w:r w:rsidRPr="00F31496">
        <w:rPr>
          <w:rFonts w:ascii="Garamond" w:eastAsia="Times New Roman" w:hAnsi="Garamond" w:cs="Times New Roman"/>
          <w:i/>
          <w:iCs/>
          <w:color w:val="000000"/>
          <w:kern w:val="0"/>
          <w:sz w:val="30"/>
          <w:szCs w:val="30"/>
          <w:lang w:eastAsia="it-IT"/>
          <w14:ligatures w14:val="none"/>
        </w:rPr>
        <w:t>dopo varie interlocuzioni con il whistleblower, l’ultima delle quali del 5 aprile 2023, è stato possibile ricostruire la condotta segnalata, consistente, secondo il denunciante, in un’intesa avente a oggetto la componente di costo derivante dagli obblighi di miscelazione del biocarburante nel carburante per autotrazione (di seguito anche “componente bio” o “tariffa bio”), che verrebbe ribaltata nella stessa entità a tutti gli operatori di mercato indipendentemente dal costo effettivamente sostenuto da ciascuna compagnia petrolifera</w:t>
      </w:r>
      <w:r w:rsidRPr="00F31496">
        <w:rPr>
          <w:rFonts w:ascii="Garamond" w:eastAsia="Times New Roman" w:hAnsi="Garamond" w:cs="Times New Roman"/>
          <w:color w:val="000000"/>
          <w:kern w:val="0"/>
          <w:sz w:val="30"/>
          <w:szCs w:val="30"/>
          <w:lang w:eastAsia="it-IT"/>
          <w14:ligatures w14:val="none"/>
        </w:rPr>
        <w:t>”: il che spiega la ragione per cui l’indagine conoscitiva si è conclusa poco dopo, il 13.6.2023.</w:t>
      </w:r>
    </w:p>
    <w:p w14:paraId="69C4743D"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E, in immediato seguito, in data 11.7.2023 è stato avviato ai sensi dell’art. 14 della legge 287/1990 il procedimento diretto ad accertare nei confronti degli operatori di </w:t>
      </w:r>
      <w:r w:rsidRPr="00F31496">
        <w:rPr>
          <w:rFonts w:ascii="Garamond" w:eastAsia="Times New Roman" w:hAnsi="Garamond" w:cs="Times New Roman"/>
          <w:color w:val="000000"/>
          <w:kern w:val="0"/>
          <w:sz w:val="30"/>
          <w:szCs w:val="30"/>
          <w:lang w:eastAsia="it-IT"/>
          <w14:ligatures w14:val="none"/>
        </w:rPr>
        <w:lastRenderedPageBreak/>
        <w:t>settore interessati la violazione dell’art. 101 TFUE, conclusosi con l’adozione della deliberazione impugnata.</w:t>
      </w:r>
    </w:p>
    <w:p w14:paraId="30AC3F3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 fini ricostruttivi va rilevato che l’andamento dei prezzi dei carburanti al consumo in Italia risulta condizionato, oltre che dall’imposizione fiscale vigente, dalla natura globale delle fasi più a monte della filiera petrolifera.</w:t>
      </w:r>
    </w:p>
    <w:p w14:paraId="5B02393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 prezzi di vendita al dettaglio di benzina e gasolio sono, infatti, la risultante di due principali elementi, segnatamente:</w:t>
      </w:r>
    </w:p>
    <w:p w14:paraId="7F5A903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 la componente fiscale (IVA e accise), che rappresenta oltre il 50% del prezzo al consumo;</w:t>
      </w:r>
    </w:p>
    <w:p w14:paraId="505C14A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ii. la componente industriale, stimabile in oltre il 30% del prezzo al consumo, che è determinata dalle quotazioni internazionali di riferimento dei prodotti raffinati (Platts CIF Med per l’Italia), a loro volta influenzate dalle quotazioni del petrolio greggio (Brent); nonché dal c.d. “margine lordo”, inferiore al 20% del prezzo finale, indicante la quota destinata a coprire i costi e garantire una remunerazione delle attività a valle della raffinazione – ovvero quelle più propriamente nazionali – che garantiscono la disponibilità di carburanti presso gli impianti di distribuzione.</w:t>
      </w:r>
    </w:p>
    <w:p w14:paraId="77922AC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L’indagine ha messo in evidenza che “</w:t>
      </w:r>
      <w:r w:rsidRPr="00F31496">
        <w:rPr>
          <w:rFonts w:ascii="Garamond" w:eastAsia="Times New Roman" w:hAnsi="Garamond" w:cs="Times New Roman"/>
          <w:i/>
          <w:iCs/>
          <w:color w:val="000000"/>
          <w:kern w:val="0"/>
          <w:sz w:val="30"/>
          <w:szCs w:val="30"/>
          <w:lang w:eastAsia="it-IT"/>
          <w14:ligatures w14:val="none"/>
        </w:rPr>
        <w:t>le tensioni di prezzo registrate dal 2022 in avanti sono da ricondursi in via preminente a eventi eccezionali di tipo internazionale, rispetto ai quali la possibilità di efficaci interventi antitrust è giuridicamente difficile da configurare, tantomeno a livello nazionale</w:t>
      </w:r>
      <w:r w:rsidRPr="00F31496">
        <w:rPr>
          <w:rFonts w:ascii="Garamond" w:eastAsia="Times New Roman" w:hAnsi="Garamond" w:cs="Times New Roman"/>
          <w:color w:val="000000"/>
          <w:kern w:val="0"/>
          <w:sz w:val="30"/>
          <w:szCs w:val="30"/>
          <w:lang w:eastAsia="it-IT"/>
          <w14:ligatures w14:val="none"/>
        </w:rPr>
        <w:t>”; che, ancora, “</w:t>
      </w:r>
      <w:r w:rsidRPr="00F31496">
        <w:rPr>
          <w:rFonts w:ascii="Garamond" w:eastAsia="Times New Roman" w:hAnsi="Garamond" w:cs="Times New Roman"/>
          <w:i/>
          <w:iCs/>
          <w:color w:val="000000"/>
          <w:kern w:val="0"/>
          <w:sz w:val="30"/>
          <w:szCs w:val="30"/>
          <w:lang w:eastAsia="it-IT"/>
          <w14:ligatures w14:val="none"/>
        </w:rPr>
        <w:t>sull’andamento dei prezzi al consumo in Italia hanno influito in modo significativo anche interventi regolatori eccezionali, in particolare l’applicazione di un temporaneo sconto fiscale sui carburanti attraverso la limitazione delle accise applicate (a partire da marzo 2022), e sua successiva eliminazione (da gennaio 2023)</w:t>
      </w:r>
      <w:r w:rsidRPr="00F31496">
        <w:rPr>
          <w:rFonts w:ascii="Garamond" w:eastAsia="Times New Roman" w:hAnsi="Garamond" w:cs="Times New Roman"/>
          <w:color w:val="000000"/>
          <w:kern w:val="0"/>
          <w:sz w:val="30"/>
          <w:szCs w:val="30"/>
          <w:lang w:eastAsia="it-IT"/>
          <w14:ligatures w14:val="none"/>
        </w:rPr>
        <w:t>”; e che, soprattutto, “</w:t>
      </w:r>
      <w:r w:rsidRPr="00F31496">
        <w:rPr>
          <w:rFonts w:ascii="Garamond" w:eastAsia="Times New Roman" w:hAnsi="Garamond" w:cs="Times New Roman"/>
          <w:i/>
          <w:iCs/>
          <w:color w:val="000000"/>
          <w:kern w:val="0"/>
          <w:sz w:val="30"/>
          <w:szCs w:val="30"/>
          <w:lang w:eastAsia="it-IT"/>
          <w14:ligatures w14:val="none"/>
        </w:rPr>
        <w:t>quanto all’andamento complessivo dei margini lordi, a livello aggregato è emerso un significativo aumento della loro variabilità</w:t>
      </w:r>
      <w:r w:rsidRPr="00F31496">
        <w:rPr>
          <w:rFonts w:ascii="Garamond" w:eastAsia="Times New Roman" w:hAnsi="Garamond" w:cs="Times New Roman"/>
          <w:color w:val="000000"/>
          <w:kern w:val="0"/>
          <w:sz w:val="30"/>
          <w:szCs w:val="30"/>
          <w:lang w:eastAsia="it-IT"/>
          <w14:ligatures w14:val="none"/>
        </w:rPr>
        <w:t>”.</w:t>
      </w:r>
    </w:p>
    <w:p w14:paraId="3D7F1C4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19. Proprio in riferimento a tale variabilità va inquadrato l’ambito dell’attività di accertamento trasfusa nell’adozione dell’impugnato provvedimento, riguardante la </w:t>
      </w:r>
      <w:r w:rsidRPr="00F31496">
        <w:rPr>
          <w:rFonts w:ascii="Garamond" w:eastAsia="Times New Roman" w:hAnsi="Garamond" w:cs="Times New Roman"/>
          <w:color w:val="000000"/>
          <w:kern w:val="0"/>
          <w:sz w:val="30"/>
          <w:szCs w:val="30"/>
          <w:lang w:eastAsia="it-IT"/>
          <w14:ligatures w14:val="none"/>
        </w:rPr>
        <w:lastRenderedPageBreak/>
        <w:t>c.d. componente bio, la quale rappresenta la quota parte del prezzo destinata a coprire gli obblighi di immissione in consumo di biocarburanti previsti dal DL 2/2006, convertito in legge 81/2006. Una componente che, come è stato rilevato dall’Autorità, ha assunto un valore crescente nel tempo, nel senso che “</w:t>
      </w:r>
      <w:r w:rsidRPr="00F31496">
        <w:rPr>
          <w:rFonts w:ascii="Garamond" w:eastAsia="Times New Roman" w:hAnsi="Garamond" w:cs="Times New Roman"/>
          <w:i/>
          <w:iCs/>
          <w:color w:val="000000"/>
          <w:kern w:val="0"/>
          <w:sz w:val="30"/>
          <w:szCs w:val="30"/>
          <w:lang w:eastAsia="it-IT"/>
          <w14:ligatures w14:val="none"/>
        </w:rPr>
        <w:t>nel 2019 le Parti praticavano in ogni trimestre valori della componente bio tutti diversi tra loro, tanto nella rete (con range del 18-21 €/mc) che nell’extra-rete (con range del 18-21€/mc)</w:t>
      </w:r>
      <w:r w:rsidRPr="00F31496">
        <w:rPr>
          <w:rFonts w:ascii="Garamond" w:eastAsia="Times New Roman" w:hAnsi="Garamond" w:cs="Times New Roman"/>
          <w:color w:val="000000"/>
          <w:kern w:val="0"/>
          <w:sz w:val="30"/>
          <w:szCs w:val="30"/>
          <w:lang w:eastAsia="it-IT"/>
          <w14:ligatures w14:val="none"/>
        </w:rPr>
        <w:t>” (cfr. pag. 25 della delibera), quindi a circa 20€/mc, per poi lievitare a luglio 2023, essendosi rilevato che “</w:t>
      </w:r>
      <w:r w:rsidRPr="00F31496">
        <w:rPr>
          <w:rFonts w:ascii="Garamond" w:eastAsia="Times New Roman" w:hAnsi="Garamond" w:cs="Times New Roman"/>
          <w:i/>
          <w:iCs/>
          <w:color w:val="000000"/>
          <w:kern w:val="0"/>
          <w:sz w:val="30"/>
          <w:szCs w:val="30"/>
          <w:lang w:eastAsia="it-IT"/>
          <w14:ligatures w14:val="none"/>
        </w:rPr>
        <w:t>al momento dell’avvio del procedimento il valore della componente bio applicato dalle compagnie petrolifere si attestava intorno a 0,058 euro al litro mentre il margine lordo si attestava intorno ai 0,20 euro al litro</w:t>
      </w:r>
      <w:r w:rsidRPr="00F31496">
        <w:rPr>
          <w:rFonts w:ascii="Garamond" w:eastAsia="Times New Roman" w:hAnsi="Garamond" w:cs="Times New Roman"/>
          <w:color w:val="000000"/>
          <w:kern w:val="0"/>
          <w:sz w:val="30"/>
          <w:szCs w:val="30"/>
          <w:lang w:eastAsia="it-IT"/>
          <w14:ligatures w14:val="none"/>
        </w:rPr>
        <w:t>” (cfr. 14 della delibera), quindi, in pratica, a circa 60 €/mc del 2023: cosicché, è risultato che, nel periodo oggetto di indagine, tale componente è pervenuta a rappresentare il 29% circa del margine lordo, cioè di quella parte del prezzo del carburante soggetta a pressione concorrenziale.</w:t>
      </w:r>
    </w:p>
    <w:p w14:paraId="506BEA6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Un’evidenza che ha assunto contorni anomali, posto che nell’indagine conoscitiva si è posto in rilievo che “</w:t>
      </w:r>
      <w:r w:rsidRPr="00F31496">
        <w:rPr>
          <w:rFonts w:ascii="Garamond" w:eastAsia="Times New Roman" w:hAnsi="Garamond" w:cs="Times New Roman"/>
          <w:i/>
          <w:iCs/>
          <w:color w:val="000000"/>
          <w:kern w:val="0"/>
          <w:sz w:val="30"/>
          <w:szCs w:val="30"/>
          <w:lang w:eastAsia="it-IT"/>
          <w14:ligatures w14:val="none"/>
        </w:rPr>
        <w:t>rispetto al resto dell’UE, l’Italia è tra i Paesi in cui i prezzi al dettaglio di benzina e gasolio sono più alti: ciò è dovuto all’incidenza della componente fiscale, più elevata rispetto alla media europea. Di converso, la componente del prezzo industriale è tra le più basse all’interno dell’UE, come dimostra l’andamento del c.d. “stacco” (differenza tra prezzo netto in Italia e nell’area UE) che mostra valori tendenzialmente negativi nel periodo di analisi</w:t>
      </w:r>
      <w:r w:rsidRPr="00F31496">
        <w:rPr>
          <w:rFonts w:ascii="Garamond" w:eastAsia="Times New Roman" w:hAnsi="Garamond" w:cs="Times New Roman"/>
          <w:color w:val="000000"/>
          <w:kern w:val="0"/>
          <w:sz w:val="30"/>
          <w:szCs w:val="30"/>
          <w:lang w:eastAsia="it-IT"/>
          <w14:ligatures w14:val="none"/>
        </w:rPr>
        <w:t>”.</w:t>
      </w:r>
    </w:p>
    <w:p w14:paraId="570CC79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contrasto emerso nell’oggettività dell’aumento della sopra citata percentuale giustifica e sostanzia, pertanto, la doverosità dell’accertamento esperito dall’Autorità: elemento che ha originato l’avvio della verifica appuntatasi sulla porzione di vendite in cui il valore della componente bio è stato in qualche modo esplicitato.</w:t>
      </w:r>
    </w:p>
    <w:p w14:paraId="2050BE1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20. Va, pertanto, stabilito ai fini del decidere se, alla luce di quanto accertato, la variabilità della predetta componente abbia (effettivamente; o soltanto in parte; o per nulla) costituito il riflesso di una condotta collusiva tradottasi nell’attuazione di un’intesa restrittiva della concorrenza tra gli operatori del settore.</w:t>
      </w:r>
    </w:p>
    <w:p w14:paraId="5499964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Sul punto, l’Autorità ha stigmatizzato la formazione del cartello evidenziando come “</w:t>
      </w:r>
      <w:r w:rsidRPr="00F31496">
        <w:rPr>
          <w:rFonts w:ascii="Garamond" w:eastAsia="Times New Roman" w:hAnsi="Garamond" w:cs="Times New Roman"/>
          <w:i/>
          <w:iCs/>
          <w:color w:val="000000"/>
          <w:kern w:val="0"/>
          <w:sz w:val="30"/>
          <w:szCs w:val="30"/>
          <w:lang w:eastAsia="it-IT"/>
          <w14:ligatures w14:val="none"/>
        </w:rPr>
        <w:t>l’intesa realizzata negli anni 2020-2023 si sia sviluppata in un contesto radicalmente diverso rispetto a quello degli anni precedenti, in ragione degli importanti shock esogeni che hanno caratterizzato il periodo, quali ad esempio l’incremento legislativo degli oneri di addittivazione dei biocarburanti, l’epidemia COVID, la guerra russo-ucraina. Tali variabili e i conseguenti aumenti dei costi sono stati efficacemente neutralizzati dalle parti del procedimento che, in luogo di reagire autonomamente, hanno coordinato le loro politiche economiche proprio nella prospettiva di affrontare l’accresciuta incertezza di mercato</w:t>
      </w:r>
      <w:r w:rsidRPr="00F31496">
        <w:rPr>
          <w:rFonts w:ascii="Garamond" w:eastAsia="Times New Roman" w:hAnsi="Garamond" w:cs="Times New Roman"/>
          <w:color w:val="000000"/>
          <w:kern w:val="0"/>
          <w:sz w:val="30"/>
          <w:szCs w:val="30"/>
          <w:lang w:eastAsia="it-IT"/>
          <w14:ligatures w14:val="none"/>
        </w:rPr>
        <w:t>” (cfr. pag. 15 della delibera).</w:t>
      </w:r>
    </w:p>
    <w:p w14:paraId="2328044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tutto sotto la regìa di ENI, la quale avrebbe “</w:t>
      </w:r>
      <w:r w:rsidRPr="00F31496">
        <w:rPr>
          <w:rFonts w:ascii="Garamond" w:eastAsia="Times New Roman" w:hAnsi="Garamond" w:cs="Times New Roman"/>
          <w:i/>
          <w:iCs/>
          <w:color w:val="000000"/>
          <w:kern w:val="0"/>
          <w:sz w:val="30"/>
          <w:szCs w:val="30"/>
          <w:lang w:eastAsia="it-IT"/>
          <w14:ligatures w14:val="none"/>
        </w:rPr>
        <w:t>innescato e costantemente alimentato il sistema di supporto e monitoraggio del cartello</w:t>
      </w:r>
      <w:r w:rsidRPr="00F31496">
        <w:rPr>
          <w:rFonts w:ascii="Garamond" w:eastAsia="Times New Roman" w:hAnsi="Garamond" w:cs="Times New Roman"/>
          <w:color w:val="000000"/>
          <w:kern w:val="0"/>
          <w:sz w:val="30"/>
          <w:szCs w:val="30"/>
          <w:lang w:eastAsia="it-IT"/>
          <w14:ligatures w14:val="none"/>
        </w:rPr>
        <w:t>” servendosi del giornale “Staffetta Quotidiana”, così rendendo “</w:t>
      </w:r>
      <w:r w:rsidRPr="00F31496">
        <w:rPr>
          <w:rFonts w:ascii="Garamond" w:eastAsia="Times New Roman" w:hAnsi="Garamond" w:cs="Times New Roman"/>
          <w:i/>
          <w:iCs/>
          <w:color w:val="000000"/>
          <w:kern w:val="0"/>
          <w:sz w:val="30"/>
          <w:szCs w:val="30"/>
          <w:lang w:eastAsia="it-IT"/>
          <w14:ligatures w14:val="none"/>
        </w:rPr>
        <w:t>noto di applicare i medesimi valori della componente bio tanto nei rapporti con le altre compagnie petrolifere concorrenti che con i propri clienti, strategia singolare e non corrispondente con la prassi di mercato</w:t>
      </w:r>
      <w:r w:rsidRPr="00F31496">
        <w:rPr>
          <w:rFonts w:ascii="Garamond" w:eastAsia="Times New Roman" w:hAnsi="Garamond" w:cs="Times New Roman"/>
          <w:color w:val="000000"/>
          <w:kern w:val="0"/>
          <w:sz w:val="30"/>
          <w:szCs w:val="30"/>
          <w:lang w:eastAsia="it-IT"/>
          <w14:ligatures w14:val="none"/>
        </w:rPr>
        <w:t>”; e, in tal modo, favorendo una “</w:t>
      </w:r>
      <w:r w:rsidRPr="00F31496">
        <w:rPr>
          <w:rFonts w:ascii="Garamond" w:eastAsia="Times New Roman" w:hAnsi="Garamond" w:cs="Times New Roman"/>
          <w:i/>
          <w:iCs/>
          <w:color w:val="000000"/>
          <w:kern w:val="0"/>
          <w:sz w:val="30"/>
          <w:szCs w:val="30"/>
          <w:lang w:eastAsia="it-IT"/>
          <w14:ligatures w14:val="none"/>
        </w:rPr>
        <w:t>artificiosa trasparenza su un elemento del prezzo del carburante</w:t>
      </w:r>
      <w:r w:rsidRPr="00F31496">
        <w:rPr>
          <w:rFonts w:ascii="Garamond" w:eastAsia="Times New Roman" w:hAnsi="Garamond" w:cs="Times New Roman"/>
          <w:color w:val="000000"/>
          <w:kern w:val="0"/>
          <w:sz w:val="30"/>
          <w:szCs w:val="30"/>
          <w:lang w:eastAsia="it-IT"/>
          <w14:ligatures w14:val="none"/>
        </w:rPr>
        <w:t>” (cfr. pagg. 15 – 16 della delibera).</w:t>
      </w:r>
    </w:p>
    <w:p w14:paraId="5138FEB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20.1. Venendo al merito delle censure, e ribadendo il carattere puramente illustrativo del (così formalmente indicato) primo motivo, possono essere esaminati congiuntamente, per affinità tematica, i motivi di ricorso II, III, IV, V e VI.</w:t>
      </w:r>
    </w:p>
    <w:p w14:paraId="1291AEE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Tali censure vanno respinte per le seguenti ragioni.</w:t>
      </w:r>
    </w:p>
    <w:p w14:paraId="79EF41E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ricorrente ha, in particolare, contestato il travisamento e l’insufficienza dell’istruttoria che ha portato l’Autorità a sanzionare gli operatori del settore carburante (in particolare, per autotrazione) a causa dell’attuazione di un’intesa anticoncorrenziale fondata sul parallelismo tra le condotte dei medesimi e sostanziatasi nella determinazione del prezzo della componente bio, quest’ultima quota parte del prezzo del carburante.</w:t>
      </w:r>
    </w:p>
    <w:p w14:paraId="6AC1573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A tal proposito, occorre, in primo luogo, evidenziare l’assenza di vincolatività (e, pertanto, il possibile eccesso di potere per contraddittorietà) discendente dall’esito (conoscitivo) speculativo dell’indagine IC54 sull’esito (sanzionatorio) che ha definito </w:t>
      </w:r>
      <w:r w:rsidRPr="00F31496">
        <w:rPr>
          <w:rFonts w:ascii="Garamond" w:eastAsia="Times New Roman" w:hAnsi="Garamond" w:cs="Times New Roman"/>
          <w:color w:val="000000"/>
          <w:kern w:val="0"/>
          <w:sz w:val="30"/>
          <w:szCs w:val="30"/>
          <w:lang w:eastAsia="it-IT"/>
          <w14:ligatures w14:val="none"/>
        </w:rPr>
        <w:lastRenderedPageBreak/>
        <w:t>il procedimento I-864, e ciò a riscontro del rilievo secondo cui “</w:t>
      </w:r>
      <w:r w:rsidRPr="00F31496">
        <w:rPr>
          <w:rFonts w:ascii="Garamond" w:eastAsia="Times New Roman" w:hAnsi="Garamond" w:cs="Times New Roman"/>
          <w:i/>
          <w:iCs/>
          <w:color w:val="000000"/>
          <w:kern w:val="0"/>
          <w:sz w:val="30"/>
          <w:szCs w:val="30"/>
          <w:lang w:eastAsia="it-IT"/>
          <w14:ligatures w14:val="none"/>
        </w:rPr>
        <w:t>considerato che le parti si facevano concorrenza sul prezzo finale del carburante per autotrazione (come accertato nell’ambito della contestuale Indagine conoscitiva IC54), non è dato comprendere in che modo le stesse potessero contemporaneamente dar vita ad una pratica concordata riferita ad una mera componente di tale prezzo</w:t>
      </w:r>
      <w:r w:rsidRPr="00F31496">
        <w:rPr>
          <w:rFonts w:ascii="Garamond" w:eastAsia="Times New Roman" w:hAnsi="Garamond" w:cs="Times New Roman"/>
          <w:color w:val="000000"/>
          <w:kern w:val="0"/>
          <w:sz w:val="30"/>
          <w:szCs w:val="30"/>
          <w:lang w:eastAsia="it-IT"/>
          <w14:ligatures w14:val="none"/>
        </w:rPr>
        <w:t>” (cfr. pag. 8 del ricorso).</w:t>
      </w:r>
    </w:p>
    <w:p w14:paraId="163CFB9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 due ambiti sono, infatti, correlati all’applicazione di due, distinte, disposizioni legislative: l’Autorità “</w:t>
      </w:r>
      <w:r w:rsidRPr="00F31496">
        <w:rPr>
          <w:rFonts w:ascii="Garamond" w:eastAsia="Times New Roman" w:hAnsi="Garamond" w:cs="Times New Roman"/>
          <w:i/>
          <w:iCs/>
          <w:color w:val="000000"/>
          <w:kern w:val="0"/>
          <w:sz w:val="30"/>
          <w:szCs w:val="30"/>
          <w:lang w:eastAsia="it-IT"/>
          <w14:ligatures w14:val="none"/>
        </w:rPr>
        <w:t>può (…) procedere, d'ufficio o su richiesta del Ministro dell'industria, del commercio e dell'artigianato o del Ministro delle partecipazioni statali, ad indagini conoscitive di natura generale nei settori economici nei quali l'evoluzione degli scambi, il comportamento dei prezzi, o altre circostanze facciano presumere che la concorrenza sia impedita, ristretta o falsata</w:t>
      </w:r>
      <w:r w:rsidRPr="00F31496">
        <w:rPr>
          <w:rFonts w:ascii="Garamond" w:eastAsia="Times New Roman" w:hAnsi="Garamond" w:cs="Times New Roman"/>
          <w:color w:val="000000"/>
          <w:kern w:val="0"/>
          <w:sz w:val="30"/>
          <w:szCs w:val="30"/>
          <w:lang w:eastAsia="it-IT"/>
          <w14:ligatures w14:val="none"/>
        </w:rPr>
        <w:t>” (art. 12, comma 2 della legge 287/1990); e, “</w:t>
      </w:r>
      <w:r w:rsidRPr="00F31496">
        <w:rPr>
          <w:rFonts w:ascii="Garamond" w:eastAsia="Times New Roman" w:hAnsi="Garamond" w:cs="Times New Roman"/>
          <w:i/>
          <w:iCs/>
          <w:color w:val="000000"/>
          <w:kern w:val="0"/>
          <w:sz w:val="30"/>
          <w:szCs w:val="30"/>
          <w:lang w:eastAsia="it-IT"/>
          <w14:ligatures w14:val="none"/>
        </w:rPr>
        <w:t>nei casi di presunta infrazione degli articoli 101 o 102 del TFUE ovvero degli articoli 2 o 3 della presente legge, svolge l'istruttoria in tempi ragionevoli e ne notifica l'apertura alle imprese e agli enti interessati</w:t>
      </w:r>
      <w:r w:rsidRPr="00F31496">
        <w:rPr>
          <w:rFonts w:ascii="Garamond" w:eastAsia="Times New Roman" w:hAnsi="Garamond" w:cs="Times New Roman"/>
          <w:color w:val="000000"/>
          <w:kern w:val="0"/>
          <w:sz w:val="30"/>
          <w:szCs w:val="30"/>
          <w:lang w:eastAsia="it-IT"/>
          <w14:ligatures w14:val="none"/>
        </w:rPr>
        <w:t>” (art. 14, comma 1 della legge 287/1990).</w:t>
      </w:r>
    </w:p>
    <w:p w14:paraId="3C8D3C7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Non si tratta, soltanto, di distinte finalità, ma, a monte, di distinte manifestazioni del potere dell’AGCM: ne deriva che, come ha statuito la giurisprudenza, il vizio di contraddittorietà può ricorrere quando si riscontri “</w:t>
      </w:r>
      <w:r w:rsidRPr="00F31496">
        <w:rPr>
          <w:rFonts w:ascii="Garamond" w:eastAsia="Times New Roman" w:hAnsi="Garamond" w:cs="Times New Roman"/>
          <w:i/>
          <w:iCs/>
          <w:color w:val="000000"/>
          <w:kern w:val="0"/>
          <w:sz w:val="30"/>
          <w:szCs w:val="30"/>
          <w:lang w:eastAsia="it-IT"/>
          <w14:ligatures w14:val="none"/>
        </w:rPr>
        <w:t>un contrasto fra più manifestazioni di volontà della stessa amministrazione nell’esercizio del medesimo potere. La coerenza dell’azione amministrativa costituisce, infatti, un valore perseguito dall’ordinamento</w:t>
      </w:r>
      <w:r w:rsidRPr="00F31496">
        <w:rPr>
          <w:rFonts w:ascii="Garamond" w:eastAsia="Times New Roman" w:hAnsi="Garamond" w:cs="Times New Roman"/>
          <w:color w:val="000000"/>
          <w:kern w:val="0"/>
          <w:sz w:val="30"/>
          <w:szCs w:val="30"/>
          <w:lang w:eastAsia="it-IT"/>
          <w14:ligatures w14:val="none"/>
        </w:rPr>
        <w:t>” (cfr., in linea di continuità, Consiglio di Stato, sez. VI, 14 settembre 2006, n. 5328 fino a id., sez. IV, 8 maggio 2023, n. 4596); né, ancora, si può configurare la c.d contraddittorietà intrinseca, la quale postula che, con riguardo alla cura di un medesimo interesse, l’Amministrazione si sia determinata in modo logicamente incompatibile con un proprio precedente intervento (nella specie insussistente), in maniera che l'uso del potere amministrativo per una finalità conforme a quella dello schema normativo non possa essere ravvisato in entrambi i casi, l'uno confliggendo insanabilmente con l'altro (cfr. Consiglio di Stato, sez. IV, 6 luglio 2004, n. 5013).</w:t>
      </w:r>
    </w:p>
    <w:p w14:paraId="115605FD"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Altra doglianza ha investito la difformità di contenuto tra la comunicazione delle risultanze istruttorie (CRI) e la deliberazione impugnata, lamentando la ricorrente la violazione della sequenza procedimentale e la violazione del diritto di difesa “</w:t>
      </w:r>
      <w:r w:rsidRPr="00F31496">
        <w:rPr>
          <w:rFonts w:ascii="Garamond" w:eastAsia="Times New Roman" w:hAnsi="Garamond" w:cs="Times New Roman"/>
          <w:i/>
          <w:iCs/>
          <w:color w:val="000000"/>
          <w:kern w:val="0"/>
          <w:sz w:val="30"/>
          <w:szCs w:val="30"/>
          <w:lang w:eastAsia="it-IT"/>
          <w14:ligatures w14:val="none"/>
        </w:rPr>
        <w:t>a causa del mutamento della contestazione nel provvedimento finale rispetto a quanto riportato nella CRI</w:t>
      </w:r>
      <w:r w:rsidRPr="00F31496">
        <w:rPr>
          <w:rFonts w:ascii="Garamond" w:eastAsia="Times New Roman" w:hAnsi="Garamond" w:cs="Times New Roman"/>
          <w:color w:val="000000"/>
          <w:kern w:val="0"/>
          <w:sz w:val="30"/>
          <w:szCs w:val="30"/>
          <w:lang w:eastAsia="it-IT"/>
          <w14:ligatures w14:val="none"/>
        </w:rPr>
        <w:t>” (cfr. pag. 27).</w:t>
      </w:r>
    </w:p>
    <w:p w14:paraId="2C30837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Neppure tale rilievo è, però, persuasivo, posto che:</w:t>
      </w:r>
    </w:p>
    <w:p w14:paraId="5C2F594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nella comunicazione di avvio del procedimento si è fatto presente che “</w:t>
      </w:r>
      <w:r w:rsidRPr="00F31496">
        <w:rPr>
          <w:rFonts w:ascii="Garamond" w:eastAsia="Times New Roman" w:hAnsi="Garamond" w:cs="Times New Roman"/>
          <w:i/>
          <w:iCs/>
          <w:color w:val="000000"/>
          <w:kern w:val="0"/>
          <w:sz w:val="30"/>
          <w:szCs w:val="30"/>
          <w:lang w:eastAsia="it-IT"/>
          <w14:ligatures w14:val="none"/>
        </w:rPr>
        <w:t>la componente bio rappresenta (…) una componente di costo del carburante per autotrazione imprescindibile, in quanto presente sia nella distribuzione attraverso rete distributiva a marchio proprio (rete) sia nella distribuzione a grossisti terzi che poi, a loro volta, potranno destinare il carburante acquistato sia alla clientela “tradizionale” del canale extra-rete (quali aziende di trasporto e pubbliche amministrazioni) sia alla distribuzione presso distributori con marchio diverso da quello delle principali società petrolifere (extra-rete</w:t>
      </w:r>
      <w:r w:rsidRPr="00F31496">
        <w:rPr>
          <w:rFonts w:ascii="Garamond" w:eastAsia="Times New Roman" w:hAnsi="Garamond" w:cs="Times New Roman"/>
          <w:color w:val="000000"/>
          <w:kern w:val="0"/>
          <w:sz w:val="30"/>
          <w:szCs w:val="30"/>
          <w:lang w:eastAsia="it-IT"/>
          <w14:ligatures w14:val="none"/>
        </w:rPr>
        <w:t>)”;</w:t>
      </w:r>
    </w:p>
    <w:p w14:paraId="1F818AE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nella motivazione del provvedimento impugnato:</w:t>
      </w:r>
    </w:p>
    <w:p w14:paraId="47B9C48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si è ribadito che il procedimento è stato avviato “</w:t>
      </w:r>
      <w:r w:rsidRPr="00F31496">
        <w:rPr>
          <w:rFonts w:ascii="Garamond" w:eastAsia="Times New Roman" w:hAnsi="Garamond" w:cs="Times New Roman"/>
          <w:i/>
          <w:iCs/>
          <w:color w:val="000000"/>
          <w:kern w:val="0"/>
          <w:sz w:val="30"/>
          <w:szCs w:val="30"/>
          <w:lang w:eastAsia="it-IT"/>
          <w14:ligatures w14:val="none"/>
        </w:rPr>
        <w:t>per accertare l’esistenza di un’intesa avente a oggetto un coordinamento tra di esse al fine di limitare il reciproco confronto concorrenziale e di fissare in modo coordinato un’importante componente del prezzo del carburante per autotrazione rappresentata dal biocarburante</w:t>
      </w:r>
      <w:r w:rsidRPr="00F31496">
        <w:rPr>
          <w:rFonts w:ascii="Garamond" w:eastAsia="Times New Roman" w:hAnsi="Garamond" w:cs="Times New Roman"/>
          <w:color w:val="000000"/>
          <w:kern w:val="0"/>
          <w:sz w:val="30"/>
          <w:szCs w:val="30"/>
          <w:lang w:eastAsia="it-IT"/>
          <w14:ligatures w14:val="none"/>
        </w:rPr>
        <w:t>”;</w:t>
      </w:r>
    </w:p>
    <w:p w14:paraId="3CB4A93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si è profilato che la “componente bio” include pro quota “</w:t>
      </w:r>
      <w:r w:rsidRPr="00F31496">
        <w:rPr>
          <w:rFonts w:ascii="Garamond" w:eastAsia="Times New Roman" w:hAnsi="Garamond" w:cs="Times New Roman"/>
          <w:i/>
          <w:iCs/>
          <w:color w:val="000000"/>
          <w:kern w:val="0"/>
          <w:sz w:val="30"/>
          <w:szCs w:val="30"/>
          <w:lang w:eastAsia="it-IT"/>
          <w14:ligatures w14:val="none"/>
        </w:rPr>
        <w:t>il costo del biocarburante da miscelare (principalmente FAME-biodiesel) concordato con i diversi fornitori e non soggetto a quotazioni univoche, variabile per ogni compagnia, in rapporto con il costo del carburante fossile; l’eventuale costo del biocarburante autoprodotto in alternativa all’acquisto del FAME, mediante c.d. co-processing (…); il valore della componente bio eventualmente applicata dalle controparti negli acquisti da depositi terzi o il costo dei CIC ceduti, sempre concordato con le controparti, variabili per ogni compagnia; il prezzo fisso dei CIC di 375 €/mc per la parte di obbligo avanzato da acquistare al GSE; il prezzo di eventuali ulteriori CIC da acquistare</w:t>
      </w:r>
      <w:r w:rsidRPr="00F31496">
        <w:rPr>
          <w:rFonts w:ascii="Garamond" w:eastAsia="Times New Roman" w:hAnsi="Garamond" w:cs="Times New Roman"/>
          <w:color w:val="000000"/>
          <w:kern w:val="0"/>
          <w:sz w:val="30"/>
          <w:szCs w:val="30"/>
          <w:lang w:eastAsia="it-IT"/>
          <w14:ligatures w14:val="none"/>
        </w:rPr>
        <w:t>”;</w:t>
      </w:r>
    </w:p>
    <w:p w14:paraId="79CC4B5D"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 si è rilevato che “</w:t>
      </w:r>
      <w:r w:rsidRPr="00F31496">
        <w:rPr>
          <w:rFonts w:ascii="Garamond" w:eastAsia="Times New Roman" w:hAnsi="Garamond" w:cs="Times New Roman"/>
          <w:i/>
          <w:iCs/>
          <w:color w:val="000000"/>
          <w:kern w:val="0"/>
          <w:sz w:val="30"/>
          <w:szCs w:val="30"/>
          <w:lang w:eastAsia="it-IT"/>
          <w14:ligatures w14:val="none"/>
        </w:rPr>
        <w:t>la componente derivante dagli obblighi di miscelazione del biocarburante – componente bio – (…) rappresenta, considerati gli attuali livelli emersi dall’analisi dei dati disponibili, circa il 29% del margine lordo</w:t>
      </w:r>
      <w:r w:rsidRPr="00F31496">
        <w:rPr>
          <w:rFonts w:ascii="Garamond" w:eastAsia="Times New Roman" w:hAnsi="Garamond" w:cs="Times New Roman"/>
          <w:color w:val="000000"/>
          <w:kern w:val="0"/>
          <w:sz w:val="30"/>
          <w:szCs w:val="30"/>
          <w:lang w:eastAsia="it-IT"/>
          <w14:ligatures w14:val="none"/>
        </w:rPr>
        <w:t>”, quest’ultimo, “</w:t>
      </w:r>
      <w:r w:rsidRPr="00F31496">
        <w:rPr>
          <w:rFonts w:ascii="Garamond" w:eastAsia="Times New Roman" w:hAnsi="Garamond" w:cs="Times New Roman"/>
          <w:i/>
          <w:iCs/>
          <w:color w:val="000000"/>
          <w:kern w:val="0"/>
          <w:sz w:val="30"/>
          <w:szCs w:val="30"/>
          <w:lang w:eastAsia="it-IT"/>
          <w14:ligatures w14:val="none"/>
        </w:rPr>
        <w:t>inferiore al 20% del prezzo finale, indicante la quota destinata a coprire i costi e garantire una remunerazione delle attività a valle della raffinazione – ovvero quelle più propriamente nazionali – che garantiscono la disponibilità di carburanti presso gli impianti di distribuzione</w:t>
      </w:r>
      <w:r w:rsidRPr="00F31496">
        <w:rPr>
          <w:rFonts w:ascii="Garamond" w:eastAsia="Times New Roman" w:hAnsi="Garamond" w:cs="Times New Roman"/>
          <w:color w:val="000000"/>
          <w:kern w:val="0"/>
          <w:sz w:val="30"/>
          <w:szCs w:val="30"/>
          <w:lang w:eastAsia="it-IT"/>
          <w14:ligatures w14:val="none"/>
        </w:rPr>
        <w:t>”.</w:t>
      </w:r>
    </w:p>
    <w:p w14:paraId="2D742B5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 ciò va aggiunto che, se davvero la componente bio fosse priva di incidenza sul prezzo, nei termini esplicitati dalla ricorrente, non si spiegherebbe la ragione per cui uno degli impegni (sebbene rigettati da AGCM) prestati dalla ricorrente è stato di “</w:t>
      </w:r>
      <w:r w:rsidRPr="00F31496">
        <w:rPr>
          <w:rFonts w:ascii="Garamond" w:eastAsia="Times New Roman" w:hAnsi="Garamond" w:cs="Times New Roman"/>
          <w:i/>
          <w:iCs/>
          <w:color w:val="000000"/>
          <w:kern w:val="0"/>
          <w:sz w:val="30"/>
          <w:szCs w:val="30"/>
          <w:lang w:eastAsia="it-IT"/>
          <w14:ligatures w14:val="none"/>
        </w:rPr>
        <w:t>non includere in alcun contratto di fornitura di carburante per autotrazione stipulato da Esso con grossisti branded e/o unbranded una specifica voce di prezzo corrispondente alla Componente Mandati BIO (impegno n. 3)</w:t>
      </w:r>
      <w:r w:rsidRPr="00F31496">
        <w:rPr>
          <w:rFonts w:ascii="Garamond" w:eastAsia="Times New Roman" w:hAnsi="Garamond" w:cs="Times New Roman"/>
          <w:color w:val="000000"/>
          <w:kern w:val="0"/>
          <w:sz w:val="30"/>
          <w:szCs w:val="30"/>
          <w:lang w:eastAsia="it-IT"/>
          <w14:ligatures w14:val="none"/>
        </w:rPr>
        <w:t>”.</w:t>
      </w:r>
    </w:p>
    <w:p w14:paraId="5CAE981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Quanto, invece, alle doglianze mosse alla configurazione della condotta sanzionata, in particolare agli elementi endogeni ed esogeni rilevati dall’Autorità resistente, va ribadito – come già prefigurato in premessa – che l’accertamento di un'intesa anticoncorrenziale non richiede che essa risulti da documenti o da altri elementi probatori fondati su dati estrinseci e formali, essendo all'uopo sufficiente anche una prova indiziaria, purché gli indizi siano gravi, precisi e concordanti (cfr. Consiglio di Stato, sez. VI, 10 gennaio 2020, n. 236); e ciò sebbene ai fini dell'accertamento di un'intesa anticompetitiva tra imprese sia necessario predisporre un'analisi complessa ed articolata, che deve tenere conto di tutti gli elementi di prova acquisiti nella loro interezza e nella correlazione reciproca che lega gli uni agli altri (cfr. Consiglio di Stato, sez. VI, 3 gennaio 2020, n. 52).</w:t>
      </w:r>
    </w:p>
    <w:p w14:paraId="310CB59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Riscontri, tuttavia, nella specie comprovati dal grado di approfondimento delle dinamiche di prezzo oggetto di contestazione, tali da delineare un preciso contesto collusivo (“</w:t>
      </w:r>
      <w:r w:rsidRPr="00F31496">
        <w:rPr>
          <w:rFonts w:ascii="Garamond" w:eastAsia="Times New Roman" w:hAnsi="Garamond" w:cs="Times New Roman"/>
          <w:i/>
          <w:iCs/>
          <w:color w:val="000000"/>
          <w:kern w:val="0"/>
          <w:sz w:val="30"/>
          <w:szCs w:val="30"/>
          <w:lang w:eastAsia="it-IT"/>
          <w14:ligatures w14:val="none"/>
        </w:rPr>
        <w:t xml:space="preserve">la prova di accordi bilaterali assume valenza sufficiente a dimostrare l'esistenza dell'intesa in quanto si tratta di tasselli che si inseriscono in un quadro complessivo indiziario </w:t>
      </w:r>
      <w:r w:rsidRPr="00F31496">
        <w:rPr>
          <w:rFonts w:ascii="Garamond" w:eastAsia="Times New Roman" w:hAnsi="Garamond" w:cs="Times New Roman"/>
          <w:i/>
          <w:iCs/>
          <w:color w:val="000000"/>
          <w:kern w:val="0"/>
          <w:sz w:val="30"/>
          <w:szCs w:val="30"/>
          <w:lang w:eastAsia="it-IT"/>
          <w14:ligatures w14:val="none"/>
        </w:rPr>
        <w:lastRenderedPageBreak/>
        <w:t>idoneo a provare l'intesa stessa. Non è necessario, dunque, che ci sia la prova della partecipazione ad ogni singolo episodio contestato dall'Autorità</w:t>
      </w:r>
      <w:r w:rsidRPr="00F31496">
        <w:rPr>
          <w:rFonts w:ascii="Garamond" w:eastAsia="Times New Roman" w:hAnsi="Garamond" w:cs="Times New Roman"/>
          <w:color w:val="000000"/>
          <w:kern w:val="0"/>
          <w:sz w:val="30"/>
          <w:szCs w:val="30"/>
          <w:lang w:eastAsia="it-IT"/>
          <w14:ligatures w14:val="none"/>
        </w:rPr>
        <w:t>”, cfr. Consiglio di Stato, sez. VI, 2 settembre 2019, n. 6022).</w:t>
      </w:r>
    </w:p>
    <w:p w14:paraId="4FA0486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20.2. L’Autorità, segnatamente, ha motivato la propria decisione sul presupposto di non poter che “</w:t>
      </w:r>
      <w:r w:rsidRPr="00F31496">
        <w:rPr>
          <w:rFonts w:ascii="Garamond" w:eastAsia="Times New Roman" w:hAnsi="Garamond" w:cs="Times New Roman"/>
          <w:i/>
          <w:iCs/>
          <w:color w:val="000000"/>
          <w:kern w:val="0"/>
          <w:sz w:val="30"/>
          <w:szCs w:val="30"/>
          <w:lang w:eastAsia="it-IT"/>
          <w14:ligatures w14:val="none"/>
        </w:rPr>
        <w:t>incentrarsi sui valori certi e determinabili</w:t>
      </w:r>
      <w:r w:rsidRPr="00F31496">
        <w:rPr>
          <w:rFonts w:ascii="Garamond" w:eastAsia="Times New Roman" w:hAnsi="Garamond" w:cs="Times New Roman"/>
          <w:color w:val="000000"/>
          <w:kern w:val="0"/>
          <w:sz w:val="30"/>
          <w:szCs w:val="30"/>
          <w:lang w:eastAsia="it-IT"/>
          <w14:ligatures w14:val="none"/>
        </w:rPr>
        <w:t>” (cfr. pag. 150 della delibera).</w:t>
      </w:r>
    </w:p>
    <w:p w14:paraId="5305DD9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L’esigenza di radicare l’accertamento su elementi definiti è da ricondurre alla piana disciplina di cui all’art. 2 della legge 287/1990.</w:t>
      </w:r>
    </w:p>
    <w:p w14:paraId="2312218D"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Tale disposizione prevede che “</w:t>
      </w:r>
      <w:r w:rsidRPr="00F31496">
        <w:rPr>
          <w:rFonts w:ascii="Garamond" w:eastAsia="Times New Roman" w:hAnsi="Garamond" w:cs="Times New Roman"/>
          <w:i/>
          <w:iCs/>
          <w:color w:val="000000"/>
          <w:kern w:val="0"/>
          <w:sz w:val="30"/>
          <w:szCs w:val="30"/>
          <w:lang w:eastAsia="it-IT"/>
          <w14:ligatures w14:val="none"/>
        </w:rPr>
        <w:t>sono vietate le intese tra imprese che abbiano per oggetto o per effetto di impedire, restringere o falsare in maniera consistente il gioco della concorrenza all'interno del mercato nazionale o in una sua parte rilevante</w:t>
      </w:r>
      <w:r w:rsidRPr="00F31496">
        <w:rPr>
          <w:rFonts w:ascii="Garamond" w:eastAsia="Times New Roman" w:hAnsi="Garamond" w:cs="Times New Roman"/>
          <w:color w:val="000000"/>
          <w:kern w:val="0"/>
          <w:sz w:val="30"/>
          <w:szCs w:val="30"/>
          <w:lang w:eastAsia="it-IT"/>
          <w14:ligatures w14:val="none"/>
        </w:rPr>
        <w:t>”, e ciò “</w:t>
      </w:r>
      <w:r w:rsidRPr="00F31496">
        <w:rPr>
          <w:rFonts w:ascii="Garamond" w:eastAsia="Times New Roman" w:hAnsi="Garamond" w:cs="Times New Roman"/>
          <w:i/>
          <w:iCs/>
          <w:color w:val="000000"/>
          <w:kern w:val="0"/>
          <w:sz w:val="30"/>
          <w:szCs w:val="30"/>
          <w:lang w:eastAsia="it-IT"/>
          <w14:ligatures w14:val="none"/>
        </w:rPr>
        <w:t>anche attraverso attività consistenti nel: a) fissare direttamente o indirettamente i prezzi d'acquisto o di vendita ovvero altre condizioni contrattuali; b) impedire o limitare la produzione, gli sbocchi o gli accessi al mercato, gli investimenti, lo sviluppo tecnico o il progresso tecnologico; c) ripartire i mercati o le fonti di approvvigionamento; d) applicare, nei rapporti commerciali con altri contraenti, condizioni oggettivamente diverse per prestazioni equivalenti, cosi da determinare per essi ingiustificati svantaggi nella concorrenza; e) subordinare la conclusione di contratti all'accettazione da parte degli altri contraenti di prestazioni supplementari che, per loro natura o secondo gli usi commerciali, non abbiano alcun rapporto con l'oggetto dei contratti stessi</w:t>
      </w:r>
      <w:r w:rsidRPr="00F31496">
        <w:rPr>
          <w:rFonts w:ascii="Garamond" w:eastAsia="Times New Roman" w:hAnsi="Garamond" w:cs="Times New Roman"/>
          <w:color w:val="000000"/>
          <w:kern w:val="0"/>
          <w:sz w:val="30"/>
          <w:szCs w:val="30"/>
          <w:lang w:eastAsia="it-IT"/>
          <w14:ligatures w14:val="none"/>
        </w:rPr>
        <w:t>”.</w:t>
      </w:r>
    </w:p>
    <w:p w14:paraId="099DED3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puntualità di tale disposizione salda l’efficienza dell’accertamento alle ragioni di tutela degli operatori sottoposti al procedimento, in favore dei quali – nella specie – si sarebbe consolidata una posizione tutelata di affidamento se l’Autorità, pur avendo astrattamente individuato elementi sintomatici di un’intesa restrittiva della concorrenza, avesse proceduto secondo apprezzamenti vacui o addirittura aleatori e non, piuttosto, concentrando la propria analisi su dati tecnicamente attendibili e, di conseguenza, contendibili nell’ambito di un doveroso contraddittorio.</w:t>
      </w:r>
    </w:p>
    <w:p w14:paraId="0AA1823D"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20.3. Ciò precisato, a fondamento dell’intento collusivo sono stati indicati alcuni articoli apparsi sul giornale “Staffetta Quotidiana”.</w:t>
      </w:r>
    </w:p>
    <w:p w14:paraId="710E274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In data 3.1.2020 è stato reso noto che il “</w:t>
      </w:r>
      <w:r w:rsidRPr="00F31496">
        <w:rPr>
          <w:rFonts w:ascii="Garamond" w:eastAsia="Times New Roman" w:hAnsi="Garamond" w:cs="Times New Roman"/>
          <w:i/>
          <w:iCs/>
          <w:color w:val="000000"/>
          <w:kern w:val="0"/>
          <w:sz w:val="30"/>
          <w:szCs w:val="30"/>
          <w:lang w:eastAsia="it-IT"/>
          <w14:ligatures w14:val="none"/>
        </w:rPr>
        <w:t>valore dell’incremento di prezzo sui carburanti ENI dovuto all’aumento della quota d’obbligo di immissione in consumo di biocarburanti dall’8 al 9% dal primo gennaio 2020 è di 6 euro/mc (quindi 6 millesimi di euro per litro) e il costo complessivo del bio è di 26 euro/mc”: valori dichiaratamente prefigurati come “in linea con quelli apportati dalle altre compagnie</w:t>
      </w:r>
      <w:r w:rsidRPr="00F31496">
        <w:rPr>
          <w:rFonts w:ascii="Garamond" w:eastAsia="Times New Roman" w:hAnsi="Garamond" w:cs="Times New Roman"/>
          <w:color w:val="000000"/>
          <w:kern w:val="0"/>
          <w:sz w:val="30"/>
          <w:szCs w:val="30"/>
          <w:lang w:eastAsia="it-IT"/>
          <w14:ligatures w14:val="none"/>
        </w:rPr>
        <w:t>”.</w:t>
      </w:r>
    </w:p>
    <w:p w14:paraId="4706268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data 2.4.2020 è stato reso noto che ENI, Q8, ESSO, SARAS e IPLOM avessero “</w:t>
      </w:r>
      <w:r w:rsidRPr="00F31496">
        <w:rPr>
          <w:rFonts w:ascii="Garamond" w:eastAsia="Times New Roman" w:hAnsi="Garamond" w:cs="Times New Roman"/>
          <w:i/>
          <w:iCs/>
          <w:color w:val="000000"/>
          <w:kern w:val="0"/>
          <w:sz w:val="30"/>
          <w:szCs w:val="30"/>
          <w:lang w:eastAsia="it-IT"/>
          <w14:ligatures w14:val="none"/>
        </w:rPr>
        <w:t>applicato ai prezzi un aumento per rispecchiare le quotazioni di acquisto delle materie prime del secondo trimestre 2020</w:t>
      </w:r>
      <w:r w:rsidRPr="00F31496">
        <w:rPr>
          <w:rFonts w:ascii="Garamond" w:eastAsia="Times New Roman" w:hAnsi="Garamond" w:cs="Times New Roman"/>
          <w:color w:val="000000"/>
          <w:kern w:val="0"/>
          <w:sz w:val="30"/>
          <w:szCs w:val="30"/>
          <w:lang w:eastAsia="it-IT"/>
          <w14:ligatures w14:val="none"/>
        </w:rPr>
        <w:t>”.</w:t>
      </w:r>
    </w:p>
    <w:p w14:paraId="5200475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data 18.6.2020 è stato reso noto che “</w:t>
      </w:r>
      <w:r w:rsidRPr="00F31496">
        <w:rPr>
          <w:rFonts w:ascii="Garamond" w:eastAsia="Times New Roman" w:hAnsi="Garamond" w:cs="Times New Roman"/>
          <w:i/>
          <w:iCs/>
          <w:color w:val="000000"/>
          <w:kern w:val="0"/>
          <w:sz w:val="30"/>
          <w:szCs w:val="30"/>
          <w:lang w:eastAsia="it-IT"/>
          <w14:ligatures w14:val="none"/>
        </w:rPr>
        <w:t>ENI ha (…) applicato ai prezzi un aumento per rispecchiare le quotazioni di acquisto delle materie prime pari a tre euro al metro cubo. Il costo complessivo della miscelazione della quota d'obbligo di biocarburanti sale così a 35 euro/mc</w:t>
      </w:r>
      <w:r w:rsidRPr="00F31496">
        <w:rPr>
          <w:rFonts w:ascii="Garamond" w:eastAsia="Times New Roman" w:hAnsi="Garamond" w:cs="Times New Roman"/>
          <w:color w:val="000000"/>
          <w:kern w:val="0"/>
          <w:sz w:val="30"/>
          <w:szCs w:val="30"/>
          <w:lang w:eastAsia="it-IT"/>
          <w14:ligatures w14:val="none"/>
        </w:rPr>
        <w:t>”.</w:t>
      </w:r>
    </w:p>
    <w:p w14:paraId="6FBD564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 ciò ha fatto seguito, dall’1.7.2020, un aumento applicato da tutti i principali operatori e, in data 8.7.2020, è stato reso noto che “</w:t>
      </w:r>
      <w:r w:rsidRPr="00F31496">
        <w:rPr>
          <w:rFonts w:ascii="Garamond" w:eastAsia="Times New Roman" w:hAnsi="Garamond" w:cs="Times New Roman"/>
          <w:i/>
          <w:iCs/>
          <w:color w:val="000000"/>
          <w:kern w:val="0"/>
          <w:sz w:val="30"/>
          <w:szCs w:val="30"/>
          <w:lang w:eastAsia="it-IT"/>
          <w14:ligatures w14:val="none"/>
        </w:rPr>
        <w:t>anche ESSO applicherà un rialzo di tre euro per mille litri del costo di miscelazione dei biocarburanti, aumento che va ad aggiungersi a quelli decisi dal primo luglio da Eni, IP, Q8, SARAS e TAMOIL</w:t>
      </w:r>
      <w:r w:rsidRPr="00F31496">
        <w:rPr>
          <w:rFonts w:ascii="Garamond" w:eastAsia="Times New Roman" w:hAnsi="Garamond" w:cs="Times New Roman"/>
          <w:color w:val="000000"/>
          <w:kern w:val="0"/>
          <w:sz w:val="30"/>
          <w:szCs w:val="30"/>
          <w:lang w:eastAsia="it-IT"/>
          <w14:ligatures w14:val="none"/>
        </w:rPr>
        <w:t>”.</w:t>
      </w:r>
    </w:p>
    <w:p w14:paraId="4DA2D54D"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data 24.9.2020 è stato reso noto che “</w:t>
      </w:r>
      <w:r w:rsidRPr="00F31496">
        <w:rPr>
          <w:rFonts w:ascii="Garamond" w:eastAsia="Times New Roman" w:hAnsi="Garamond" w:cs="Times New Roman"/>
          <w:i/>
          <w:iCs/>
          <w:color w:val="000000"/>
          <w:kern w:val="0"/>
          <w:sz w:val="30"/>
          <w:szCs w:val="30"/>
          <w:lang w:eastAsia="it-IT"/>
          <w14:ligatures w14:val="none"/>
        </w:rPr>
        <w:t>ENI infatti applicherà ai prezzi un aumento pari a cinque euro per mille litri (cinque millesimi di euro al litro) per rispecchiare le quotazioni di acquisto delle materie prime. Il costo complessivo della miscelazione della quota d'obbligo di biocarburanti sale così per ENI a 40 euro/mc (v. Staffetta 18/6). Sempre da fonti di mercato apprendiamo che REPSOL ha deciso dal primo ottobre un aumento dei prezzi di tre euro per mille litri, per la stessa ragione. Mosse analoghe vengono segnalate per Q8, SARAS e IP</w:t>
      </w:r>
      <w:r w:rsidRPr="00F31496">
        <w:rPr>
          <w:rFonts w:ascii="Garamond" w:eastAsia="Times New Roman" w:hAnsi="Garamond" w:cs="Times New Roman"/>
          <w:color w:val="000000"/>
          <w:kern w:val="0"/>
          <w:sz w:val="30"/>
          <w:szCs w:val="30"/>
          <w:lang w:eastAsia="it-IT"/>
          <w14:ligatures w14:val="none"/>
        </w:rPr>
        <w:t>”.</w:t>
      </w:r>
    </w:p>
    <w:p w14:paraId="7ADDD52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data 14.10.2020 è stato reso noto che “</w:t>
      </w:r>
      <w:r w:rsidRPr="00F31496">
        <w:rPr>
          <w:rFonts w:ascii="Garamond" w:eastAsia="Times New Roman" w:hAnsi="Garamond" w:cs="Times New Roman"/>
          <w:i/>
          <w:iCs/>
          <w:color w:val="000000"/>
          <w:kern w:val="0"/>
          <w:sz w:val="30"/>
          <w:szCs w:val="30"/>
          <w:lang w:eastAsia="it-IT"/>
          <w14:ligatures w14:val="none"/>
        </w:rPr>
        <w:t>anche ESSO aumenta il costo di miscelazione</w:t>
      </w:r>
      <w:r w:rsidRPr="00F31496">
        <w:rPr>
          <w:rFonts w:ascii="Garamond" w:eastAsia="Times New Roman" w:hAnsi="Garamond" w:cs="Times New Roman"/>
          <w:color w:val="000000"/>
          <w:kern w:val="0"/>
          <w:sz w:val="30"/>
          <w:szCs w:val="30"/>
          <w:lang w:eastAsia="it-IT"/>
          <w14:ligatures w14:val="none"/>
        </w:rPr>
        <w:t>”.</w:t>
      </w:r>
    </w:p>
    <w:p w14:paraId="2B46D50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data 29.12.2020 è stato reso noto che “</w:t>
      </w:r>
      <w:r w:rsidRPr="00F31496">
        <w:rPr>
          <w:rFonts w:ascii="Garamond" w:eastAsia="Times New Roman" w:hAnsi="Garamond" w:cs="Times New Roman"/>
          <w:i/>
          <w:iCs/>
          <w:color w:val="000000"/>
          <w:kern w:val="0"/>
          <w:sz w:val="30"/>
          <w:szCs w:val="30"/>
          <w:lang w:eastAsia="it-IT"/>
          <w14:ligatures w14:val="none"/>
        </w:rPr>
        <w:t>dal primo gennaio, a quanto si apprende da fonti di mercato, ENI infatti applicherà ai prezzi un aumento pari a due euro per mille litri (due millesimi di euro al litro). Il costo complessivo della miscelazione della quota d’obbligo di biocarburanti sale così per ENI a 42 euro/mc</w:t>
      </w:r>
      <w:r w:rsidRPr="00F31496">
        <w:rPr>
          <w:rFonts w:ascii="Garamond" w:eastAsia="Times New Roman" w:hAnsi="Garamond" w:cs="Times New Roman"/>
          <w:color w:val="000000"/>
          <w:kern w:val="0"/>
          <w:sz w:val="30"/>
          <w:szCs w:val="30"/>
          <w:lang w:eastAsia="it-IT"/>
          <w14:ligatures w14:val="none"/>
        </w:rPr>
        <w:t>”.</w:t>
      </w:r>
    </w:p>
    <w:p w14:paraId="5767D05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Un costo salito a 45 euro/mc, come reso noto il successivo 27.1.2021: il giorno dopo (28.1.2021) è stato reso noto che “</w:t>
      </w:r>
      <w:r w:rsidRPr="00F31496">
        <w:rPr>
          <w:rFonts w:ascii="Garamond" w:eastAsia="Times New Roman" w:hAnsi="Garamond" w:cs="Times New Roman"/>
          <w:i/>
          <w:iCs/>
          <w:color w:val="000000"/>
          <w:kern w:val="0"/>
          <w:sz w:val="30"/>
          <w:szCs w:val="30"/>
          <w:lang w:eastAsia="it-IT"/>
          <w14:ligatures w14:val="none"/>
        </w:rPr>
        <w:t>diverse altre compagnie, a quanto apprende la Staffetta da fonti di mercato, hanno aumentato la componente dei prezzi relativa al costo di miscelazione. Le novità riguardano IP (+3 euro/mc dal primo febbraio), SARAS (+3 euro/mc dal primo febbraio e +2 dal primo marzo) e Q8 (+5 euro/mc dal primo febbraio)</w:t>
      </w:r>
      <w:r w:rsidRPr="00F31496">
        <w:rPr>
          <w:rFonts w:ascii="Garamond" w:eastAsia="Times New Roman" w:hAnsi="Garamond" w:cs="Times New Roman"/>
          <w:color w:val="000000"/>
          <w:kern w:val="0"/>
          <w:sz w:val="30"/>
          <w:szCs w:val="30"/>
          <w:lang w:eastAsia="it-IT"/>
          <w14:ligatures w14:val="none"/>
        </w:rPr>
        <w:t>”.</w:t>
      </w:r>
    </w:p>
    <w:p w14:paraId="44B0DFD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Dopo qualche mese di silenzio, in data 23.6.2021, è stato reso noto che “</w:t>
      </w:r>
      <w:r w:rsidRPr="00F31496">
        <w:rPr>
          <w:rFonts w:ascii="Garamond" w:eastAsia="Times New Roman" w:hAnsi="Garamond" w:cs="Times New Roman"/>
          <w:i/>
          <w:iCs/>
          <w:color w:val="000000"/>
          <w:kern w:val="0"/>
          <w:sz w:val="30"/>
          <w:szCs w:val="30"/>
          <w:lang w:eastAsia="it-IT"/>
          <w14:ligatures w14:val="none"/>
        </w:rPr>
        <w:t>dal primo luglio, a quanto apprende la Staffetta da fonti di mercato, ENI applicherà ai prezzi un aumento pari a due euro per mille litri (due millesimi di euro al litro). Il costo complessivo della miscelazione della quota d’obbligo di biocarburanti sale così per ENI a 47 euro/mc</w:t>
      </w:r>
      <w:r w:rsidRPr="00F31496">
        <w:rPr>
          <w:rFonts w:ascii="Garamond" w:eastAsia="Times New Roman" w:hAnsi="Garamond" w:cs="Times New Roman"/>
          <w:color w:val="000000"/>
          <w:kern w:val="0"/>
          <w:sz w:val="30"/>
          <w:szCs w:val="30"/>
          <w:lang w:eastAsia="it-IT"/>
          <w14:ligatures w14:val="none"/>
        </w:rPr>
        <w:t>”.</w:t>
      </w:r>
    </w:p>
    <w:p w14:paraId="508912F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E, a seguire dopo una settimana (1.7.2021), è stato reso noto che “</w:t>
      </w:r>
      <w:r w:rsidRPr="00F31496">
        <w:rPr>
          <w:rFonts w:ascii="Garamond" w:eastAsia="Times New Roman" w:hAnsi="Garamond" w:cs="Times New Roman"/>
          <w:i/>
          <w:iCs/>
          <w:color w:val="000000"/>
          <w:kern w:val="0"/>
          <w:sz w:val="30"/>
          <w:szCs w:val="30"/>
          <w:lang w:eastAsia="it-IT"/>
          <w14:ligatures w14:val="none"/>
        </w:rPr>
        <w:t>anche gli altri maggiori marchi sul mercato dei carburanti aumentano il sovrapprezzo per coprire il costo di miscelazione del biodiesel, seguendo gli aumenti del costo della materia prima. A quanto apprende la Staffetta da fonti di mercato, da oggi primo luglio hanno aumentato la componente dei prezzi dei carburanti relativa al costo di miscelazione ESSO (+2 euro per mille litri), SARAS, (+3), IP (+2), Q8 (+3) e Repsol (+2)</w:t>
      </w:r>
      <w:r w:rsidRPr="00F31496">
        <w:rPr>
          <w:rFonts w:ascii="Garamond" w:eastAsia="Times New Roman" w:hAnsi="Garamond" w:cs="Times New Roman"/>
          <w:color w:val="000000"/>
          <w:kern w:val="0"/>
          <w:sz w:val="30"/>
          <w:szCs w:val="30"/>
          <w:lang w:eastAsia="it-IT"/>
          <w14:ligatures w14:val="none"/>
        </w:rPr>
        <w:t>”.</w:t>
      </w:r>
    </w:p>
    <w:p w14:paraId="35A8E32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 fine estate (22.9.2021) è stato reso noto che “</w:t>
      </w:r>
      <w:r w:rsidRPr="00F31496">
        <w:rPr>
          <w:rFonts w:ascii="Garamond" w:eastAsia="Times New Roman" w:hAnsi="Garamond" w:cs="Times New Roman"/>
          <w:i/>
          <w:iCs/>
          <w:color w:val="000000"/>
          <w:kern w:val="0"/>
          <w:sz w:val="30"/>
          <w:szCs w:val="30"/>
          <w:lang w:eastAsia="it-IT"/>
          <w14:ligatures w14:val="none"/>
        </w:rPr>
        <w:t>dal primo ottobre, a quanto si apprende da fonti di mercato, ENI applicherà ai prezzi un aumento pari a tre euro per mille litri (tre millesimi di euro al litro). Il costo complessivo della miscelazione della quota d'obbligo di biocarburanti sale così per ENI a 50 euro/ mc</w:t>
      </w:r>
      <w:r w:rsidRPr="00F31496">
        <w:rPr>
          <w:rFonts w:ascii="Garamond" w:eastAsia="Times New Roman" w:hAnsi="Garamond" w:cs="Times New Roman"/>
          <w:color w:val="000000"/>
          <w:kern w:val="0"/>
          <w:sz w:val="30"/>
          <w:szCs w:val="30"/>
          <w:lang w:eastAsia="it-IT"/>
          <w14:ligatures w14:val="none"/>
        </w:rPr>
        <w:t>”.</w:t>
      </w:r>
    </w:p>
    <w:p w14:paraId="2B1FE23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data 15.12.2021 è stato reso noto che “</w:t>
      </w:r>
      <w:r w:rsidRPr="00F31496">
        <w:rPr>
          <w:rFonts w:ascii="Garamond" w:eastAsia="Times New Roman" w:hAnsi="Garamond" w:cs="Times New Roman"/>
          <w:i/>
          <w:iCs/>
          <w:color w:val="000000"/>
          <w:kern w:val="0"/>
          <w:sz w:val="30"/>
          <w:szCs w:val="30"/>
          <w:lang w:eastAsia="it-IT"/>
          <w14:ligatures w14:val="none"/>
        </w:rPr>
        <w:t>ENI applicherà ai prezzi un aumento pari a 5 euro per mille litri (cinque millesimi di euro al litro). Il costo complessivo della miscelazione della quota d'obbligo di biocarburanti sale così per ENI a 55 euro/mc</w:t>
      </w:r>
      <w:r w:rsidRPr="00F31496">
        <w:rPr>
          <w:rFonts w:ascii="Garamond" w:eastAsia="Times New Roman" w:hAnsi="Garamond" w:cs="Times New Roman"/>
          <w:color w:val="000000"/>
          <w:kern w:val="0"/>
          <w:sz w:val="30"/>
          <w:szCs w:val="30"/>
          <w:lang w:eastAsia="it-IT"/>
          <w14:ligatures w14:val="none"/>
        </w:rPr>
        <w:t>”.</w:t>
      </w:r>
    </w:p>
    <w:p w14:paraId="0136C3B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 tale regolazione è seguito un intero anno (2022) di sostanziale fermo degli aumenti.</w:t>
      </w:r>
    </w:p>
    <w:p w14:paraId="2CFEBB2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Con riguardo, invece, all’anno 2023, in data 22.12.2022 è stato reso noto che a partire dall’1.1.2023 “</w:t>
      </w:r>
      <w:r w:rsidRPr="00F31496">
        <w:rPr>
          <w:rFonts w:ascii="Garamond" w:eastAsia="Times New Roman" w:hAnsi="Garamond" w:cs="Times New Roman"/>
          <w:i/>
          <w:iCs/>
          <w:color w:val="000000"/>
          <w:kern w:val="0"/>
          <w:sz w:val="30"/>
          <w:szCs w:val="30"/>
          <w:lang w:eastAsia="it-IT"/>
          <w14:ligatures w14:val="none"/>
        </w:rPr>
        <w:t xml:space="preserve">ENI ed ESSO applicheranno l’aumento, portando il costo complessivo della </w:t>
      </w:r>
      <w:r w:rsidRPr="00F31496">
        <w:rPr>
          <w:rFonts w:ascii="Garamond" w:eastAsia="Times New Roman" w:hAnsi="Garamond" w:cs="Times New Roman"/>
          <w:i/>
          <w:iCs/>
          <w:color w:val="000000"/>
          <w:kern w:val="0"/>
          <w:sz w:val="30"/>
          <w:szCs w:val="30"/>
          <w:lang w:eastAsia="it-IT"/>
          <w14:ligatures w14:val="none"/>
        </w:rPr>
        <w:lastRenderedPageBreak/>
        <w:t>miscelazione della quota d’obbligo di biocarburanti a circa 60 euro/mc, ma anche altre compagnie potrebbero accodarsi con tempistiche diverse</w:t>
      </w:r>
      <w:r w:rsidRPr="00F31496">
        <w:rPr>
          <w:rFonts w:ascii="Garamond" w:eastAsia="Times New Roman" w:hAnsi="Garamond" w:cs="Times New Roman"/>
          <w:color w:val="000000"/>
          <w:kern w:val="0"/>
          <w:sz w:val="30"/>
          <w:szCs w:val="30"/>
          <w:lang w:eastAsia="it-IT"/>
          <w14:ligatures w14:val="none"/>
        </w:rPr>
        <w:t>”.</w:t>
      </w:r>
    </w:p>
    <w:p w14:paraId="435F0DE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Dopo un semestre di assestamento, in data 30.6.2023 è stato reso noto che “</w:t>
      </w:r>
      <w:r w:rsidRPr="00F31496">
        <w:rPr>
          <w:rFonts w:ascii="Garamond" w:eastAsia="Times New Roman" w:hAnsi="Garamond" w:cs="Times New Roman"/>
          <w:i/>
          <w:iCs/>
          <w:color w:val="000000"/>
          <w:kern w:val="0"/>
          <w:sz w:val="30"/>
          <w:szCs w:val="30"/>
          <w:lang w:eastAsia="it-IT"/>
          <w14:ligatures w14:val="none"/>
        </w:rPr>
        <w:t>dal 1° luglio il costo di miscelazione dei biocarburanti nei carburanti “fossili” scenderà. A quanto appreso dalla Staffetta da fonti di mercato, infatti, da domani ENI taglierà il costo complessivo di 4 euro per mille litri (quattro millesimi di euro al litro), portandolo da 58 a 56 euro per mille litri. A gennaio era salito a 60, ma nel corso del mese era sceso a 58. Viene segnalato lo stesso ribasso anche per IP ed ESSO. Anche altre compagnie potrebbero accodarsi con tempistiche diverse</w:t>
      </w:r>
      <w:r w:rsidRPr="00F31496">
        <w:rPr>
          <w:rFonts w:ascii="Garamond" w:eastAsia="Times New Roman" w:hAnsi="Garamond" w:cs="Times New Roman"/>
          <w:color w:val="000000"/>
          <w:kern w:val="0"/>
          <w:sz w:val="30"/>
          <w:szCs w:val="30"/>
          <w:lang w:eastAsia="it-IT"/>
          <w14:ligatures w14:val="none"/>
        </w:rPr>
        <w:t>”.</w:t>
      </w:r>
    </w:p>
    <w:p w14:paraId="30A44AF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20.4. Si è detto che l’intento attuatosi in intesa restrittiva della concorrenza è stato contestato mediante il richiamo a una serie di elementi, sia “endogeni” (l’AGCM ha dato conto che “</w:t>
      </w:r>
      <w:r w:rsidRPr="00F31496">
        <w:rPr>
          <w:rFonts w:ascii="Garamond" w:eastAsia="Times New Roman" w:hAnsi="Garamond" w:cs="Times New Roman"/>
          <w:i/>
          <w:iCs/>
          <w:color w:val="000000"/>
          <w:kern w:val="0"/>
          <w:sz w:val="30"/>
          <w:szCs w:val="30"/>
          <w:lang w:eastAsia="it-IT"/>
          <w14:ligatures w14:val="none"/>
        </w:rPr>
        <w:t>sono state svolte numerose analisi basate sulle informazioni fornite dalle Parti e sui documenti acquisiti in ispezione, con particolare riferimento alle comunicazioni effettuate alla clientela in merito ai valori e agli aumenti della componente bio dal 2019 al 2023, il cui esito viene illustrato nel seguito, distinguendo, per ciascuna delle parti, tra il canale rete e il canale extra-ret</w:t>
      </w:r>
      <w:r w:rsidRPr="00F31496">
        <w:rPr>
          <w:rFonts w:ascii="Garamond" w:eastAsia="Times New Roman" w:hAnsi="Garamond" w:cs="Times New Roman"/>
          <w:color w:val="000000"/>
          <w:kern w:val="0"/>
          <w:sz w:val="30"/>
          <w:szCs w:val="30"/>
          <w:lang w:eastAsia="it-IT"/>
          <w14:ligatures w14:val="none"/>
        </w:rPr>
        <w:t>e”, cfr. pag. 18 della delibera), sia “esogeni”, ossia, principalmente, le mail interne ad ENI, a SARAS, a KUWAIT e ad ESSO, il cui contenuto è stato meglio circostanziato a pagg. 36 – 42 della deliberazione impugnata; per l’Autorità si sarebbe trattato di “</w:t>
      </w:r>
      <w:r w:rsidRPr="00F31496">
        <w:rPr>
          <w:rFonts w:ascii="Garamond" w:eastAsia="Times New Roman" w:hAnsi="Garamond" w:cs="Times New Roman"/>
          <w:i/>
          <w:iCs/>
          <w:color w:val="000000"/>
          <w:kern w:val="0"/>
          <w:sz w:val="30"/>
          <w:szCs w:val="30"/>
          <w:lang w:eastAsia="it-IT"/>
          <w14:ligatures w14:val="none"/>
        </w:rPr>
        <w:t>contatti sistematici tra le imprese e scambi di informazioni. Come è noto, in presenza di elementi esogeni, l’anticompetitività del comportamento parallelo delle imprese è presunta</w:t>
      </w:r>
      <w:r w:rsidRPr="00F31496">
        <w:rPr>
          <w:rFonts w:ascii="Garamond" w:eastAsia="Times New Roman" w:hAnsi="Garamond" w:cs="Times New Roman"/>
          <w:color w:val="000000"/>
          <w:kern w:val="0"/>
          <w:sz w:val="30"/>
          <w:szCs w:val="30"/>
          <w:lang w:eastAsia="it-IT"/>
          <w14:ligatures w14:val="none"/>
        </w:rPr>
        <w:t>” (cfr. pag. 143 della deliberazione).</w:t>
      </w:r>
    </w:p>
    <w:p w14:paraId="29DDB0C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20.5. Reputa, nondimeno, il Collegio che, ai fini di una corretta perimetrazione di una condotta potenzialmente rilevante ai sensi dell’art. 101 TFUE, occorre sondare la distinzione tra accordi estranei all’applicazione della disciplina antitrust, trasparenza informativa consentita e comunicazione collusiva (ostativa alla concorrenza).</w:t>
      </w:r>
    </w:p>
    <w:p w14:paraId="38D3156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A tal fine, la giurisprudenza comunitaria (cfr. Corte di Giustizia UE, 21 settembre 1999, n. C 67/96, c.d. Albany) ha osservato che i contratti stipulati nell’ambito della </w:t>
      </w:r>
      <w:r w:rsidRPr="00F31496">
        <w:rPr>
          <w:rFonts w:ascii="Garamond" w:eastAsia="Times New Roman" w:hAnsi="Garamond" w:cs="Times New Roman"/>
          <w:color w:val="000000"/>
          <w:kern w:val="0"/>
          <w:sz w:val="30"/>
          <w:szCs w:val="30"/>
          <w:lang w:eastAsia="it-IT"/>
          <w14:ligatures w14:val="none"/>
        </w:rPr>
        <w:lastRenderedPageBreak/>
        <w:t>contrattazione collettiva tra datori di lavoro e lavoratori diretti a migliorare le condizioni d’impiego e di lavoro sono esclusi dall’ambito di applicazione dell’art. 101, paragrafo 1, TFUE.</w:t>
      </w:r>
    </w:p>
    <w:p w14:paraId="14E93E8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Nella specie, risulta, però, incontestato che:</w:t>
      </w:r>
    </w:p>
    <w:p w14:paraId="5311862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 non vi è stata alcuna mediazione di natura governativa;</w:t>
      </w:r>
    </w:p>
    <w:p w14:paraId="62548BB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b) non si è trattato di accordi risultanti da trattative collettive per conseguire obiettivi di politica sociale;</w:t>
      </w:r>
    </w:p>
    <w:p w14:paraId="607FD30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 la determinazione degli aumenti è conseguita a dinamiche assistite da copertura normativa ai sensi del d.lgs. 32/1998 (“</w:t>
      </w:r>
      <w:r w:rsidRPr="00F31496">
        <w:rPr>
          <w:rFonts w:ascii="Garamond" w:eastAsia="Times New Roman" w:hAnsi="Garamond" w:cs="Times New Roman"/>
          <w:i/>
          <w:iCs/>
          <w:color w:val="000000"/>
          <w:kern w:val="0"/>
          <w:sz w:val="30"/>
          <w:szCs w:val="30"/>
          <w:lang w:eastAsia="it-IT"/>
          <w14:ligatures w14:val="none"/>
        </w:rPr>
        <w:t>razionalizzazione del sistema di distribuzione dei carburanti, a norma dell'articolo 4, comma 4, lettera c), della legge 15 marzo 1997, n. 59</w:t>
      </w:r>
      <w:r w:rsidRPr="00F31496">
        <w:rPr>
          <w:rFonts w:ascii="Garamond" w:eastAsia="Times New Roman" w:hAnsi="Garamond" w:cs="Times New Roman"/>
          <w:color w:val="000000"/>
          <w:kern w:val="0"/>
          <w:sz w:val="30"/>
          <w:szCs w:val="30"/>
          <w:lang w:eastAsia="it-IT"/>
          <w14:ligatures w14:val="none"/>
        </w:rPr>
        <w:t>”), cioè della normativa volta a promuovere la competitività delle imprese nel mercato globale e la razionalizzazione della rete commerciale, anche in relazione all'obiettivo del contenimento dei prezzi e dell’efficienza della distribuzione.</w:t>
      </w:r>
    </w:p>
    <w:p w14:paraId="22CE8EB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Pertanto, essendo pienamente ascritta alla disciplina dell’art. 101, la determinazione del prezzo dei carburanti – di cui la componente bio è complemento percentualmente rilevante – costituisce uno degli aspetti più importanti della concorrenza tra imprese e ciò, pertanto, pienamente giustifica l’analisi condotta dall’Autorità, mossasi nel solco della predetta disposizione (“</w:t>
      </w:r>
      <w:r w:rsidRPr="00F31496">
        <w:rPr>
          <w:rFonts w:ascii="Garamond" w:eastAsia="Times New Roman" w:hAnsi="Garamond" w:cs="Times New Roman"/>
          <w:i/>
          <w:iCs/>
          <w:color w:val="000000"/>
          <w:kern w:val="0"/>
          <w:sz w:val="30"/>
          <w:szCs w:val="30"/>
          <w:lang w:eastAsia="it-IT"/>
          <w14:ligatures w14:val="none"/>
        </w:rPr>
        <w:t>sono incompatibili con il mercato interno e vietati tutti gli accordi tra imprese, tutte le decisioni di associazioni di imprese e tutte le pratiche concordate che possano pregiudicare il commercio tra Stati membri e che abbiano per oggetto o per effetto di impedire, restringere o falsare il gioco della concorrenza all'interno del mercato interno ed in particolare quelli consistenti nel: a) fissare direttamente o indirettamente i prezzi d'acquisto o di vendita ovvero altre condizioni di transazione</w:t>
      </w:r>
      <w:r w:rsidRPr="00F31496">
        <w:rPr>
          <w:rFonts w:ascii="Garamond" w:eastAsia="Times New Roman" w:hAnsi="Garamond" w:cs="Times New Roman"/>
          <w:color w:val="000000"/>
          <w:kern w:val="0"/>
          <w:sz w:val="30"/>
          <w:szCs w:val="30"/>
          <w:lang w:eastAsia="it-IT"/>
          <w14:ligatures w14:val="none"/>
        </w:rPr>
        <w:t>”).</w:t>
      </w:r>
    </w:p>
    <w:p w14:paraId="694551D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Invero, l’esame delle condotte evidenzia ad avviso del Collegio una palese violazione dei principi che l’ordinamento comunitario ha, recentemente, trasfuso nelle “</w:t>
      </w:r>
      <w:r w:rsidRPr="00F31496">
        <w:rPr>
          <w:rFonts w:ascii="Garamond" w:eastAsia="Times New Roman" w:hAnsi="Garamond" w:cs="Times New Roman"/>
          <w:i/>
          <w:iCs/>
          <w:color w:val="000000"/>
          <w:kern w:val="0"/>
          <w:sz w:val="30"/>
          <w:szCs w:val="30"/>
          <w:lang w:eastAsia="it-IT"/>
          <w14:ligatures w14:val="none"/>
        </w:rPr>
        <w:t>Linee direttrici sull'applicabilità dell'articolo 101 del trattato sul funzionamento dell'Unione europea agli accordi di cooperazione orizzontale</w:t>
      </w:r>
      <w:r w:rsidRPr="00F31496">
        <w:rPr>
          <w:rFonts w:ascii="Garamond" w:eastAsia="Times New Roman" w:hAnsi="Garamond" w:cs="Times New Roman"/>
          <w:color w:val="000000"/>
          <w:kern w:val="0"/>
          <w:sz w:val="30"/>
          <w:szCs w:val="30"/>
          <w:lang w:eastAsia="it-IT"/>
          <w14:ligatures w14:val="none"/>
        </w:rPr>
        <w:t xml:space="preserve">”, di cui alla Comunicazione della Commissione UE </w:t>
      </w:r>
      <w:r w:rsidRPr="00F31496">
        <w:rPr>
          <w:rFonts w:ascii="Garamond" w:eastAsia="Times New Roman" w:hAnsi="Garamond" w:cs="Times New Roman"/>
          <w:color w:val="000000"/>
          <w:kern w:val="0"/>
          <w:sz w:val="30"/>
          <w:szCs w:val="30"/>
          <w:lang w:eastAsia="it-IT"/>
          <w14:ligatures w14:val="none"/>
        </w:rPr>
        <w:lastRenderedPageBreak/>
        <w:t>del 17.7.2023 (C (2023) 4752 final): direttrici finalizzate a “</w:t>
      </w:r>
      <w:r w:rsidRPr="00F31496">
        <w:rPr>
          <w:rFonts w:ascii="Garamond" w:eastAsia="Times New Roman" w:hAnsi="Garamond" w:cs="Times New Roman"/>
          <w:i/>
          <w:iCs/>
          <w:color w:val="000000"/>
          <w:kern w:val="0"/>
          <w:sz w:val="30"/>
          <w:szCs w:val="30"/>
          <w:lang w:eastAsia="it-IT"/>
          <w14:ligatures w14:val="none"/>
        </w:rPr>
        <w:t>garantire la certezza del diritto fornendo assistenza alle imprese nella valutazione della compatibilità dei loro accordi di cooperazione orizzontale rispetto alle norme dell'Unione in materia di concorrenza, garantendo nel contempo un'efficace tutela della concorrenza</w:t>
      </w:r>
      <w:r w:rsidRPr="00F31496">
        <w:rPr>
          <w:rFonts w:ascii="Garamond" w:eastAsia="Times New Roman" w:hAnsi="Garamond" w:cs="Times New Roman"/>
          <w:color w:val="000000"/>
          <w:kern w:val="0"/>
          <w:sz w:val="30"/>
          <w:szCs w:val="30"/>
          <w:lang w:eastAsia="it-IT"/>
          <w14:ligatures w14:val="none"/>
        </w:rPr>
        <w:t>”.</w:t>
      </w:r>
    </w:p>
    <w:p w14:paraId="2361F67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Principi che, per inciso, costituiscono il riflesso della giurisprudenza formatasi in epoca ben successiva alle pregresse vicende – giurisdizionali (2001) e amministrative (2007) – cui si è fatto cenno in premessa.</w:t>
      </w:r>
    </w:p>
    <w:p w14:paraId="0038AD5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Le Linee hanno evidenziato che “</w:t>
      </w:r>
      <w:r w:rsidRPr="00F31496">
        <w:rPr>
          <w:rFonts w:ascii="Garamond" w:eastAsia="Times New Roman" w:hAnsi="Garamond" w:cs="Times New Roman"/>
          <w:i/>
          <w:iCs/>
          <w:color w:val="000000"/>
          <w:kern w:val="0"/>
          <w:sz w:val="30"/>
          <w:szCs w:val="30"/>
          <w:lang w:eastAsia="it-IT"/>
          <w14:ligatures w14:val="none"/>
        </w:rPr>
        <w:t>la cooperazione orizzontale tra imprese può costituire uno strumento idoneo a condividere i rischi, ridurre i costi, aumentare gli investimenti, mettere in comune il know-how, aumentare la qualità e la varietà dei prodotti e lanciare più rapidamente le innovazioni sul mercato</w:t>
      </w:r>
      <w:r w:rsidRPr="00F31496">
        <w:rPr>
          <w:rFonts w:ascii="Garamond" w:eastAsia="Times New Roman" w:hAnsi="Garamond" w:cs="Times New Roman"/>
          <w:color w:val="000000"/>
          <w:kern w:val="0"/>
          <w:sz w:val="30"/>
          <w:szCs w:val="30"/>
          <w:lang w:eastAsia="it-IT"/>
          <w14:ligatures w14:val="none"/>
        </w:rPr>
        <w:t>”; ma che, oltre ai vantaggi, nella cooperazione si annidano riserve esplicitate dalla Commissione UE nella considerazione che “</w:t>
      </w:r>
      <w:r w:rsidRPr="00F31496">
        <w:rPr>
          <w:rFonts w:ascii="Garamond" w:eastAsia="Times New Roman" w:hAnsi="Garamond" w:cs="Times New Roman"/>
          <w:i/>
          <w:iCs/>
          <w:color w:val="000000"/>
          <w:kern w:val="0"/>
          <w:sz w:val="30"/>
          <w:szCs w:val="30"/>
          <w:lang w:eastAsia="it-IT"/>
          <w14:ligatures w14:val="none"/>
        </w:rPr>
        <w:t>un accordo di cooperazione orizzontale può ridurre l'indipendenza decisionale delle parti, aumentando di conseguenza la probabilità che le imprese coordinino il loro comportamento per arrivare ad un esito collusivo. Esso può anche rendere il coordinamento più semplice, più stabile o più efficace per le imprese che si coordinavano tra loro già prima, rendendo il coordinamento più solido o permettendo loro di praticare prezzi più elevati. La cooperazione orizzontale può determinare, ad esempio, la divulgazione di informazioni sensibili dal punto di vista commerciale, aumentando dunque la probabilità di coordinamento fra le parti all'interno o al di fuori dell'ambito della cooperazione. Inoltre, le parti possono realizzare una significativa comunanza dei costi (ossia la quota di costi variabili che le parti hanno in comune), il che consente loro di coordinare più facilmente prezzi di mercato e produzione. Una perdita di concorrenza può avere altresì conseguenze negative sulla qualità o sulla varietà dei prodotti, sull'innovazione e su altri parametri della concorrenza</w:t>
      </w:r>
      <w:r w:rsidRPr="00F31496">
        <w:rPr>
          <w:rFonts w:ascii="Garamond" w:eastAsia="Times New Roman" w:hAnsi="Garamond" w:cs="Times New Roman"/>
          <w:color w:val="000000"/>
          <w:kern w:val="0"/>
          <w:sz w:val="30"/>
          <w:szCs w:val="30"/>
          <w:lang w:eastAsia="it-IT"/>
          <w14:ligatures w14:val="none"/>
        </w:rPr>
        <w:t>” (cfr. punto 21).</w:t>
      </w:r>
    </w:p>
    <w:p w14:paraId="195DA27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Si è, inoltre, precisato in chiave ampliativa che “</w:t>
      </w:r>
      <w:r w:rsidRPr="00F31496">
        <w:rPr>
          <w:rFonts w:ascii="Garamond" w:eastAsia="Times New Roman" w:hAnsi="Garamond" w:cs="Times New Roman"/>
          <w:i/>
          <w:iCs/>
          <w:color w:val="000000"/>
          <w:kern w:val="0"/>
          <w:sz w:val="30"/>
          <w:szCs w:val="30"/>
          <w:lang w:eastAsia="it-IT"/>
          <w14:ligatures w14:val="none"/>
        </w:rPr>
        <w:t xml:space="preserve">l’articolo 101, paragrafo 1, si applica agli scambi in cui i concorrenti si scambiano informazioni sensibili dal punto di vista commerciale a livello bilaterale o multilaterale. Tali scambi comprendono accordi di condivisione dei dati, in base </w:t>
      </w:r>
      <w:r w:rsidRPr="00F31496">
        <w:rPr>
          <w:rFonts w:ascii="Garamond" w:eastAsia="Times New Roman" w:hAnsi="Garamond" w:cs="Times New Roman"/>
          <w:i/>
          <w:iCs/>
          <w:color w:val="000000"/>
          <w:kern w:val="0"/>
          <w:sz w:val="30"/>
          <w:szCs w:val="30"/>
          <w:lang w:eastAsia="it-IT"/>
          <w14:ligatures w14:val="none"/>
        </w:rPr>
        <w:lastRenderedPageBreak/>
        <w:t>ai quali due o più concorrenti forniscono dati a una banca dati comune e ottengono l'accesso ad alcuni o a tutti i dati forniti da altri concorrenti. Quando due o più concorrenti partecipano ad uno scambio, può non essere necessario qualificare con precisione lo scambio come un accordo tra imprese, una decisione di associazione di imprese o una pratica concordata. Inoltre, in determinate circostanze, anche una divulgazione unilaterale o uno scambio indiretto di informazioni può costituire una pratica concordata rientrante nel campo di applicazione dell'articolo 101, paragrafo 1</w:t>
      </w:r>
      <w:r w:rsidRPr="00F31496">
        <w:rPr>
          <w:rFonts w:ascii="Garamond" w:eastAsia="Times New Roman" w:hAnsi="Garamond" w:cs="Times New Roman"/>
          <w:color w:val="000000"/>
          <w:kern w:val="0"/>
          <w:sz w:val="30"/>
          <w:szCs w:val="30"/>
          <w:lang w:eastAsia="it-IT"/>
          <w14:ligatures w14:val="none"/>
        </w:rPr>
        <w:t>” (cfr. punto 396).</w:t>
      </w:r>
    </w:p>
    <w:p w14:paraId="382F79B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21. Nella specie si controverte intorno alla rilevanza, in chiave collusiva, di uno scambio di informazioni.</w:t>
      </w:r>
    </w:p>
    <w:p w14:paraId="105E383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Le Linee hanno, anzitutto, precisato che “</w:t>
      </w:r>
      <w:r w:rsidRPr="00F31496">
        <w:rPr>
          <w:rFonts w:ascii="Garamond" w:eastAsia="Times New Roman" w:hAnsi="Garamond" w:cs="Times New Roman"/>
          <w:i/>
          <w:iCs/>
          <w:color w:val="000000"/>
          <w:kern w:val="0"/>
          <w:sz w:val="30"/>
          <w:szCs w:val="30"/>
          <w:lang w:eastAsia="it-IT"/>
          <w14:ligatures w14:val="none"/>
        </w:rPr>
        <w:t>lo scambio di informazioni comprende lo scambio di: i) contenuti digitali grezzi e non organizzati che potrebbero richiedere un trattamento per renderli usufruibili (dati grezzi); ii) dati pretrattati che sono già stati preparati e convalidati; iii) dati che sono stati manipolati al fine di produrre informazioni significative di qualsiasi forma; nonché iv) qualsiasi altro tipo di informazione, comprese le informazioni non digitali. Comprende la condivisione fisica di informazioni e la condivisione digitale di dati tra concorrenti effettivi o potenziali</w:t>
      </w:r>
      <w:r w:rsidRPr="00F31496">
        <w:rPr>
          <w:rFonts w:ascii="Garamond" w:eastAsia="Times New Roman" w:hAnsi="Garamond" w:cs="Times New Roman"/>
          <w:color w:val="000000"/>
          <w:kern w:val="0"/>
          <w:sz w:val="30"/>
          <w:szCs w:val="30"/>
          <w:lang w:eastAsia="it-IT"/>
          <w14:ligatures w14:val="none"/>
        </w:rPr>
        <w:t>” (cfr. punto 367).</w:t>
      </w:r>
    </w:p>
    <w:p w14:paraId="099E3E0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Si tratta, pertanto, di un contenuto variegato e che non richiede la preventiva dimostrazione di una concorrenza effettiva tra operatori.</w:t>
      </w:r>
    </w:p>
    <w:p w14:paraId="16BECCB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Proseguono le Linee precisando che “</w:t>
      </w:r>
      <w:r w:rsidRPr="00F31496">
        <w:rPr>
          <w:rFonts w:ascii="Garamond" w:eastAsia="Times New Roman" w:hAnsi="Garamond" w:cs="Times New Roman"/>
          <w:i/>
          <w:iCs/>
          <w:color w:val="000000"/>
          <w:kern w:val="0"/>
          <w:sz w:val="30"/>
          <w:szCs w:val="30"/>
          <w:lang w:eastAsia="it-IT"/>
          <w14:ligatures w14:val="none"/>
        </w:rPr>
        <w:t>le informazioni possono essere scambiate direttamente tra concorrenti (sotto forma di divulgazione unilaterale o nell'ambito di uno scambio bilaterale o multilaterale) oppure indirettamente da o tramite terzi (quale un fornitore di servizi, una piattaforma, uno strumento online o un algoritmo), attraverso un'agenzia comune (ad esempio un'associazione di categoria), mediante un organismo di ricerca di mercato, tramite fornitori o clienti delle parti dello scambio oppure tramite un sito web o un comunicato stampa</w:t>
      </w:r>
      <w:r w:rsidRPr="00F31496">
        <w:rPr>
          <w:rFonts w:ascii="Garamond" w:eastAsia="Times New Roman" w:hAnsi="Garamond" w:cs="Times New Roman"/>
          <w:color w:val="000000"/>
          <w:kern w:val="0"/>
          <w:sz w:val="30"/>
          <w:szCs w:val="30"/>
          <w:lang w:eastAsia="it-IT"/>
          <w14:ligatures w14:val="none"/>
        </w:rPr>
        <w:t>” (cfr. punto 368).</w:t>
      </w:r>
    </w:p>
    <w:p w14:paraId="30C156F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ruolo di “Staffetta Quotidiana”, giornale sul quale già in passato e da molti anni vengono pubblicati i dati relativi ai prezzi consigliati dalle compagnie, costituisce un mezzo di scambio delle informazioni da ritenere pienamente idoneo.</w:t>
      </w:r>
    </w:p>
    <w:p w14:paraId="0431EF3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Ad ogni modo, “</w:t>
      </w:r>
      <w:r w:rsidRPr="00F31496">
        <w:rPr>
          <w:rFonts w:ascii="Garamond" w:eastAsia="Times New Roman" w:hAnsi="Garamond" w:cs="Times New Roman"/>
          <w:i/>
          <w:iCs/>
          <w:color w:val="000000"/>
          <w:kern w:val="0"/>
          <w:sz w:val="30"/>
          <w:szCs w:val="30"/>
          <w:lang w:eastAsia="it-IT"/>
          <w14:ligatures w14:val="none"/>
        </w:rPr>
        <w:t>uno scambio di informazioni rientra nel campo di applicazione dell'articolo 101, paragrafo 1, soltanto se costituisce (o fa parte di) un accordo tra imprese, una pratica concordata o una decisione di un'associazione di imprese</w:t>
      </w:r>
      <w:r w:rsidRPr="00F31496">
        <w:rPr>
          <w:rFonts w:ascii="Garamond" w:eastAsia="Times New Roman" w:hAnsi="Garamond" w:cs="Times New Roman"/>
          <w:color w:val="000000"/>
          <w:kern w:val="0"/>
          <w:sz w:val="30"/>
          <w:szCs w:val="30"/>
          <w:lang w:eastAsia="it-IT"/>
          <w14:ligatures w14:val="none"/>
        </w:rPr>
        <w:t>”; e “</w:t>
      </w:r>
      <w:r w:rsidRPr="00F31496">
        <w:rPr>
          <w:rFonts w:ascii="Garamond" w:eastAsia="Times New Roman" w:hAnsi="Garamond" w:cs="Times New Roman"/>
          <w:i/>
          <w:iCs/>
          <w:color w:val="000000"/>
          <w:kern w:val="0"/>
          <w:sz w:val="30"/>
          <w:szCs w:val="30"/>
          <w:lang w:eastAsia="it-IT"/>
          <w14:ligatures w14:val="none"/>
        </w:rPr>
        <w:t>se lo scambio di informazioni sensibili dal punto di vista commerciale tra concorrenti avviene in preparazione di un accordo anticoncorrenziale, ciò è sufficiente a dimostrare l'esistenza di una pratica concordata ai sensi dell'articolo 101, paragrafo 1. A tal riguardo non è necessario dimostrare che tali concorrenti si sono formalmente impegnati ad adottare un determinato comportamento o che i concorrenti hanno adottato pratiche collusive in relazione al loro comportamento futuro sul mercato o che i concorrenti avessero un interesse commerciale nello scambio in questione. Inoltre, al fine di stabilire il rapporto di causa-effetto di cui sopra, esiste una presunzione relativa secondo la quale le imprese partecipanti a una pratica concordata e che restano attive sul mercato tengono conto delle informazioni scambiate con i loro concorrenti nel determinare il proprio comportamento sul mercato</w:t>
      </w:r>
      <w:r w:rsidRPr="00F31496">
        <w:rPr>
          <w:rFonts w:ascii="Garamond" w:eastAsia="Times New Roman" w:hAnsi="Garamond" w:cs="Times New Roman"/>
          <w:color w:val="000000"/>
          <w:kern w:val="0"/>
          <w:sz w:val="30"/>
          <w:szCs w:val="30"/>
          <w:lang w:eastAsia="it-IT"/>
          <w14:ligatures w14:val="none"/>
        </w:rPr>
        <w:t>” (cfr. punto 375).</w:t>
      </w:r>
    </w:p>
    <w:p w14:paraId="0AB2CE4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22. Il principio di presunzione è il risultato di una precisa elaborazione giurisprudenziale.</w:t>
      </w:r>
    </w:p>
    <w:p w14:paraId="08A01D3D"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Corte di Giustizia UE, nella sentenza 4 giugno 2009, C-0/08, si è pronunciata su rinvio pregiudiziale disposto dal giudice olandese.</w:t>
      </w:r>
    </w:p>
    <w:p w14:paraId="018E5D6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fattispecie oggetto di giudizio aveva interessato gli operatori che offrono servizi di telecomunicazioni mobili, i quali, nel corso di una riunione, avevano discusso sulla riduzione dei compensi standard per i rivenditori degli abbonamenti telefonici, nell’occasione discutendo, altresì, “</w:t>
      </w:r>
      <w:r w:rsidRPr="00F31496">
        <w:rPr>
          <w:rFonts w:ascii="Garamond" w:eastAsia="Times New Roman" w:hAnsi="Garamond" w:cs="Times New Roman"/>
          <w:i/>
          <w:iCs/>
          <w:color w:val="000000"/>
          <w:kern w:val="0"/>
          <w:sz w:val="30"/>
          <w:szCs w:val="30"/>
          <w:lang w:eastAsia="it-IT"/>
          <w14:ligatures w14:val="none"/>
        </w:rPr>
        <w:t>anche su un certo numero di informazioni riservate</w:t>
      </w:r>
      <w:r w:rsidRPr="00F31496">
        <w:rPr>
          <w:rFonts w:ascii="Garamond" w:eastAsia="Times New Roman" w:hAnsi="Garamond" w:cs="Times New Roman"/>
          <w:color w:val="000000"/>
          <w:kern w:val="0"/>
          <w:sz w:val="30"/>
          <w:szCs w:val="30"/>
          <w:lang w:eastAsia="it-IT"/>
          <w14:ligatures w14:val="none"/>
        </w:rPr>
        <w:t>”: il che aveva innescato il potere sanzionatorio dell’autorità di regolazione, persuasa che fosse intervenuto tra i detti operatori un accordo oppure che avessero “</w:t>
      </w:r>
      <w:r w:rsidRPr="00F31496">
        <w:rPr>
          <w:rFonts w:ascii="Garamond" w:eastAsia="Times New Roman" w:hAnsi="Garamond" w:cs="Times New Roman"/>
          <w:i/>
          <w:iCs/>
          <w:color w:val="000000"/>
          <w:kern w:val="0"/>
          <w:sz w:val="30"/>
          <w:szCs w:val="30"/>
          <w:lang w:eastAsia="it-IT"/>
          <w14:ligatures w14:val="none"/>
        </w:rPr>
        <w:t>concordato le rispettive pratiche</w:t>
      </w:r>
      <w:r w:rsidRPr="00F31496">
        <w:rPr>
          <w:rFonts w:ascii="Garamond" w:eastAsia="Times New Roman" w:hAnsi="Garamond" w:cs="Times New Roman"/>
          <w:color w:val="000000"/>
          <w:kern w:val="0"/>
          <w:sz w:val="30"/>
          <w:szCs w:val="30"/>
          <w:lang w:eastAsia="it-IT"/>
          <w14:ligatures w14:val="none"/>
        </w:rPr>
        <w:t>”, perciò irrogando le conseguenziali ammende.</w:t>
      </w:r>
    </w:p>
    <w:p w14:paraId="4DA2847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giudizio di primo grado si era concluso con il sostanziale rigetto del ricorso delle società, avendo il Tribunale olandese accolto soltanto in parte il gravame, riducendo le sanzioni ma statuendo – questa la sostanza decisoria – la violazione dell’art. 81 del Trattato CE.</w:t>
      </w:r>
    </w:p>
    <w:p w14:paraId="6EBFFA8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Nell’ambito delle impugnazioni sono state, pertanto, devolute al vaglio della CGUE le seguenti questioni: “</w:t>
      </w:r>
      <w:r w:rsidRPr="00F31496">
        <w:rPr>
          <w:rFonts w:ascii="Garamond" w:eastAsia="Times New Roman" w:hAnsi="Garamond" w:cs="Times New Roman"/>
          <w:i/>
          <w:iCs/>
          <w:color w:val="000000"/>
          <w:kern w:val="0"/>
          <w:sz w:val="30"/>
          <w:szCs w:val="30"/>
          <w:lang w:eastAsia="it-IT"/>
          <w14:ligatures w14:val="none"/>
        </w:rPr>
        <w:t>1) A quali criteri si debba far ricorso nell’applicazione dell’art. 81, n. 1, CE, per valutare se una pratica concordata abbia per oggetto di impedire, restringere o falsare il gioco della concorrenza all’interno del mercato comune; 2) Se l’art. 81 CE debba essere interpretato nel senso che, nell’applicazione del detto articolo da parte del giudice nazionale, la prova del nesso causale tra concertazione e comportamento sul mercato deve essere fornita e valutata ai sensi delle norme di diritto nazionale, sempre che siffatte norme non siano meno favorevoli di quelle che riguardano ricorsi analoghi di natura interna e non rendano praticamente impossibile o eccessivamente difficile l’esercizio dei diritti conferiti dall’ordinamento giuridico comunitario; 3) Se, nell’applicazione della nozione di pratica concordata ai sensi dell’art. 81 CE, la presunzione di un nesso causale tra la concertazione e il comportamento sul mercato valga sempre, anche qualora la concertazione avvenga una tantum e l’operatore che vi partecipa resti attivo sul mercato, oppure solo nei casi in cui la concertazione abbia luogo nel corso di un lungo periodo e su base regolare</w:t>
      </w:r>
      <w:r w:rsidRPr="00F31496">
        <w:rPr>
          <w:rFonts w:ascii="Garamond" w:eastAsia="Times New Roman" w:hAnsi="Garamond" w:cs="Times New Roman"/>
          <w:color w:val="000000"/>
          <w:kern w:val="0"/>
          <w:sz w:val="30"/>
          <w:szCs w:val="30"/>
          <w:lang w:eastAsia="it-IT"/>
          <w14:ligatures w14:val="none"/>
        </w:rPr>
        <w:t>”.</w:t>
      </w:r>
    </w:p>
    <w:p w14:paraId="55FC098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 corso del giudizio era stato dedotto che “</w:t>
      </w:r>
      <w:r w:rsidRPr="00F31496">
        <w:rPr>
          <w:rFonts w:ascii="Garamond" w:eastAsia="Times New Roman" w:hAnsi="Garamond" w:cs="Times New Roman"/>
          <w:i/>
          <w:iCs/>
          <w:color w:val="000000"/>
          <w:kern w:val="0"/>
          <w:sz w:val="30"/>
          <w:szCs w:val="30"/>
          <w:lang w:eastAsia="it-IT"/>
          <w14:ligatures w14:val="none"/>
        </w:rPr>
        <w:t>sarebbe irragionevole ritenere che un’impresa possa basare il suo comportamento sul mercato su informazioni scambiate nel corso di un’unica riunione, tanto più laddove la riunione abbia perseguito uno scopo lecito, come avvenuto nella fattispecie oggetto della causa principale</w:t>
      </w:r>
      <w:r w:rsidRPr="00F31496">
        <w:rPr>
          <w:rFonts w:ascii="Garamond" w:eastAsia="Times New Roman" w:hAnsi="Garamond" w:cs="Times New Roman"/>
          <w:color w:val="000000"/>
          <w:kern w:val="0"/>
          <w:sz w:val="30"/>
          <w:szCs w:val="30"/>
          <w:lang w:eastAsia="it-IT"/>
          <w14:ligatures w14:val="none"/>
        </w:rPr>
        <w:t>”.</w:t>
      </w:r>
    </w:p>
    <w:p w14:paraId="4106684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altri termini, era stata contestata l’insufficienza e l’inidoneità delle modalità di scambio informativo in rapporto alla consistenza e gravità delle sanzioni irrogate: rilievo di tenore analogo a quello agitato dalla ricorrente.</w:t>
      </w:r>
    </w:p>
    <w:p w14:paraId="2DDAEBF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risposta del giudice comunitario è stata, però, perentoria:</w:t>
      </w:r>
    </w:p>
    <w:p w14:paraId="429A645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w:t>
      </w:r>
      <w:r w:rsidRPr="00F31496">
        <w:rPr>
          <w:rFonts w:ascii="Garamond" w:eastAsia="Times New Roman" w:hAnsi="Garamond" w:cs="Times New Roman"/>
          <w:i/>
          <w:iCs/>
          <w:color w:val="000000"/>
          <w:kern w:val="0"/>
          <w:sz w:val="30"/>
          <w:szCs w:val="30"/>
          <w:lang w:eastAsia="it-IT"/>
          <w14:ligatures w14:val="none"/>
        </w:rPr>
        <w:t xml:space="preserve">una pratica concordata ha un oggetto anticoncorrenziale ai sensi dell’art. 81, n. 1, CE qualora, in ragione del suo tenore nonché delle sue finalità, e tenuto conto del contesto economico e giuridico nel quale si inserisce, sia concretamente idonea ad impedire, restringere o falsare il gioco della concorrenza nel mercato comune. Non è necessario che la concorrenza sia effettivamente impedita, ristretta o falsata, né che sussista un nesso diretto fra tale pratica concordata e i prezzi al dettaglio. </w:t>
      </w:r>
      <w:r w:rsidRPr="00F31496">
        <w:rPr>
          <w:rFonts w:ascii="Garamond" w:eastAsia="Times New Roman" w:hAnsi="Garamond" w:cs="Times New Roman"/>
          <w:i/>
          <w:iCs/>
          <w:color w:val="000000"/>
          <w:kern w:val="0"/>
          <w:sz w:val="30"/>
          <w:szCs w:val="30"/>
          <w:lang w:eastAsia="it-IT"/>
          <w14:ligatures w14:val="none"/>
        </w:rPr>
        <w:lastRenderedPageBreak/>
        <w:t>Lo scambio di informazioni tra concorrenti ha oggetto anticoncorrenziale qualora sia idoneo ad eliminare le incertezze in relazione al comportamento previsto dagli operatori interessati.</w:t>
      </w:r>
    </w:p>
    <w:p w14:paraId="3807B3F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i/>
          <w:iCs/>
          <w:color w:val="000000"/>
          <w:kern w:val="0"/>
          <w:sz w:val="30"/>
          <w:szCs w:val="30"/>
          <w:lang w:eastAsia="it-IT"/>
          <w14:ligatures w14:val="none"/>
        </w:rPr>
        <w:t>Nell’ambito dell’esame del nesso causale tra la concertazione ed il comportamento sul mercato degli operatori ad essa partecipanti, nesso che è necessario perché sia dichiarata la sussistenza di una pratica concordata ai sensi dell’art. 81, n. 1, CE, il giudice nazionale è tenuto ad applicare, salvo prova contraria che spetta agli operatori interessati fornire, la presunzione di causalità enunciata dalla giurisprudenza della Corte, secondo cui tali operatori, allorché restano attivi sul mercato, tengono conto delle informazioni scambiate con i loro concorrenti.</w:t>
      </w:r>
    </w:p>
    <w:p w14:paraId="1A8F250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i/>
          <w:iCs/>
          <w:color w:val="000000"/>
          <w:kern w:val="0"/>
          <w:sz w:val="30"/>
          <w:szCs w:val="30"/>
          <w:lang w:eastAsia="it-IT"/>
          <w14:ligatures w14:val="none"/>
        </w:rPr>
        <w:t>La presunzione di un nesso causale tra la concertazione e il comportamento sul mercato di cui trattasi vale sempre, anche qualora la concertazione sia basata unicamente su una sola riunione tra gli operatori interessati, sempre che l’operatore partecipante alla concertazione sia rimasto attivo su tale mercato</w:t>
      </w:r>
      <w:r w:rsidRPr="00F31496">
        <w:rPr>
          <w:rFonts w:ascii="Garamond" w:eastAsia="Times New Roman" w:hAnsi="Garamond" w:cs="Times New Roman"/>
          <w:color w:val="000000"/>
          <w:kern w:val="0"/>
          <w:sz w:val="30"/>
          <w:szCs w:val="30"/>
          <w:lang w:eastAsia="it-IT"/>
          <w14:ligatures w14:val="none"/>
        </w:rPr>
        <w:t>”.</w:t>
      </w:r>
    </w:p>
    <w:p w14:paraId="008D514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E, per inciso, nella medesima sentenza si è statuito che “</w:t>
      </w:r>
      <w:r w:rsidRPr="00F31496">
        <w:rPr>
          <w:rFonts w:ascii="Garamond" w:eastAsia="Times New Roman" w:hAnsi="Garamond" w:cs="Times New Roman"/>
          <w:i/>
          <w:iCs/>
          <w:color w:val="000000"/>
          <w:kern w:val="0"/>
          <w:sz w:val="30"/>
          <w:szCs w:val="30"/>
          <w:lang w:eastAsia="it-IT"/>
          <w14:ligatures w14:val="none"/>
        </w:rPr>
        <w:t>in ordine alla presunzione di causalità formulata dalla Corte nell’ambito dell’interpretazione dell’art. 81, n. 1, CE, si deve preliminarmente ricordare che la Corte ha dichiarato che, come risulta dalla lettera stessa di tale disposizione, la nozione di pratica concordata implica, oltre alla concertazione tra le imprese interessate, un comportamento sul mercato che dia seguito a tale concertazione e un nesso causale tra questi due elementi. La Corte ha poi considerato che, tuttavia, si deve presumere, salvo prova contraria che spetta agli operatori interessati fornire, che le imprese partecipanti alla concertazione e che restano attive sul mercato tengano conto delle informazioni scambiate con i loro concorrenti per determinare il proprio comportamento su tale mercato. Ciò vale, a maggior ragione, quando la concertazione ha luogo su base regolare nel corso di un lungo periodo. Infine, la Corte ha concluso che una pratica concordata quale innanzi definita rientra nell’ambito dell’art. 81, n. 1, CE, anche in assenza di effetti anticoncorrenziali sul mercato (v. sentenza Hüls/Commissione, cit., punti 161-163)</w:t>
      </w:r>
      <w:r w:rsidRPr="00F31496">
        <w:rPr>
          <w:rFonts w:ascii="Garamond" w:eastAsia="Times New Roman" w:hAnsi="Garamond" w:cs="Times New Roman"/>
          <w:color w:val="000000"/>
          <w:kern w:val="0"/>
          <w:sz w:val="30"/>
          <w:szCs w:val="30"/>
          <w:lang w:eastAsia="it-IT"/>
          <w14:ligatures w14:val="none"/>
        </w:rPr>
        <w:t>”: con la conseguenza che affinché “</w:t>
      </w:r>
      <w:r w:rsidRPr="00F31496">
        <w:rPr>
          <w:rFonts w:ascii="Garamond" w:eastAsia="Times New Roman" w:hAnsi="Garamond" w:cs="Times New Roman"/>
          <w:i/>
          <w:iCs/>
          <w:color w:val="000000"/>
          <w:kern w:val="0"/>
          <w:sz w:val="30"/>
          <w:szCs w:val="30"/>
          <w:lang w:eastAsia="it-IT"/>
          <w14:ligatures w14:val="none"/>
        </w:rPr>
        <w:t xml:space="preserve">sia dichiarata la sussistenza di una pratica concordata ai sensi dell’art. 81, n. 1, CE, il giudice nazionale è tenuto ad applicare, salvo prova contraria che spetta agli operatori interessati fornire, la presunzione di causalità enunciata dalla </w:t>
      </w:r>
      <w:r w:rsidRPr="00F31496">
        <w:rPr>
          <w:rFonts w:ascii="Garamond" w:eastAsia="Times New Roman" w:hAnsi="Garamond" w:cs="Times New Roman"/>
          <w:i/>
          <w:iCs/>
          <w:color w:val="000000"/>
          <w:kern w:val="0"/>
          <w:sz w:val="30"/>
          <w:szCs w:val="30"/>
          <w:lang w:eastAsia="it-IT"/>
          <w14:ligatures w14:val="none"/>
        </w:rPr>
        <w:lastRenderedPageBreak/>
        <w:t>giurisprudenza della Corte, secondo cui tali operatori, allorché restano attivi sul mercato, tengono conto delle informazioni scambiate con i loro concorrenti</w:t>
      </w:r>
      <w:r w:rsidRPr="00F31496">
        <w:rPr>
          <w:rFonts w:ascii="Garamond" w:eastAsia="Times New Roman" w:hAnsi="Garamond" w:cs="Times New Roman"/>
          <w:color w:val="000000"/>
          <w:kern w:val="0"/>
          <w:sz w:val="30"/>
          <w:szCs w:val="30"/>
          <w:lang w:eastAsia="it-IT"/>
          <w14:ligatures w14:val="none"/>
        </w:rPr>
        <w:t>”.</w:t>
      </w:r>
    </w:p>
    <w:p w14:paraId="48738CF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Pertanto, la presunzione di causalità tra una concertazione e il comportamento sul mercato delle imprese partecipanti a quest’ultima – in base alla quale dette imprese, allorché restino attive in tale mercato, tengono conto delle informazioni scambiate con i propri concorrenti per determinare il loro comportamento sul suddetto mercato – discende dall’art. 101, paragrafo 1, TFUE ed è, di conseguenza, parte integrante del diritto dell’Unione che il giudice nazionale è tenuto ad applicare.</w:t>
      </w:r>
    </w:p>
    <w:p w14:paraId="13F3FC2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Rispetto a tale quadro, la ricorrente ha dedotto, con richiami giurisprudenziali, che “</w:t>
      </w:r>
      <w:r w:rsidRPr="00F31496">
        <w:rPr>
          <w:rFonts w:ascii="Garamond" w:eastAsia="Times New Roman" w:hAnsi="Garamond" w:cs="Times New Roman"/>
          <w:i/>
          <w:iCs/>
          <w:color w:val="000000"/>
          <w:kern w:val="0"/>
          <w:sz w:val="30"/>
          <w:szCs w:val="30"/>
          <w:lang w:eastAsia="it-IT"/>
          <w14:ligatures w14:val="none"/>
        </w:rPr>
        <w:t>l’impostazione seguita nel provvedimento non rispetta il fondamentale principio alla base dell’accertamento della violazione dell’art. 101 TFUE secondo cui gli elementi di prova prodotti devono suffragare la “ferma convinzione” che la violazione contestata abbia avuto luogo</w:t>
      </w:r>
      <w:r w:rsidRPr="00F31496">
        <w:rPr>
          <w:rFonts w:ascii="Garamond" w:eastAsia="Times New Roman" w:hAnsi="Garamond" w:cs="Times New Roman"/>
          <w:color w:val="000000"/>
          <w:kern w:val="0"/>
          <w:sz w:val="30"/>
          <w:szCs w:val="30"/>
          <w:lang w:eastAsia="it-IT"/>
          <w14:ligatures w14:val="none"/>
        </w:rPr>
        <w:t>” (cfr. pag. 37).</w:t>
      </w:r>
    </w:p>
    <w:p w14:paraId="121E603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Si tratta di una posizione che esprime l’adesione alla tesi secondo cui non dovrebbe essere il soggetto sottoposto al procedimento sanzionatorio ad essere gravato, nel relativo giudizio d’impugnazione, dell’onere di dimostrare l’insussistenza del presupposto di una misura di prevenzione, quanto piuttosto dovrebbe essere l’Autorità onerata di dimostrare la sussistenza di tale presupposto, esaminando, con cura e imparzialità, gli elementi pertinenti della fattispecie.</w:t>
      </w:r>
    </w:p>
    <w:p w14:paraId="325D8F8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Si è detto sopra, nondimeno, che la giurisprudenza ha già pienamente avallato il ricorso alle presunzioni e ad un compendio di carattere indiziario, e ciò nel segno della garanzia dell’effetto utile del diritto della concorrenza.</w:t>
      </w:r>
    </w:p>
    <w:p w14:paraId="4A57B8F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corredo probatorio posto a base del provvedimento oggetto della presente controversia rende opportuna una breve ricognizione della struttura del ragionamento indiziario, efficacemente esplicitata dal Consiglio di Stato nella sentenza, sez. VI, 9 maggio 2022, n. 3570.</w:t>
      </w:r>
    </w:p>
    <w:p w14:paraId="226062F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 xml:space="preserve">In tale pronuncia si è osservato come l’indizio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ovvero il fatto noto da cui si parte per argomentare l</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esistenza di un altro fatto ignoto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fornisce, a differenza della prova diretta, solo una probabilit</w:t>
      </w:r>
      <w:r w:rsidRPr="00F31496">
        <w:rPr>
          <w:rFonts w:ascii="Garamond" w:eastAsia="Times New Roman" w:hAnsi="Garamond" w:cs="Garamond"/>
          <w:color w:val="000000"/>
          <w:kern w:val="0"/>
          <w:sz w:val="30"/>
          <w:szCs w:val="30"/>
          <w:lang w:eastAsia="it-IT"/>
          <w14:ligatures w14:val="none"/>
        </w:rPr>
        <w:t>à</w:t>
      </w:r>
      <w:r w:rsidRPr="00F31496">
        <w:rPr>
          <w:rFonts w:ascii="Garamond" w:eastAsia="Times New Roman" w:hAnsi="Garamond" w:cs="Times New Roman"/>
          <w:color w:val="000000"/>
          <w:kern w:val="0"/>
          <w:sz w:val="30"/>
          <w:szCs w:val="30"/>
          <w:lang w:eastAsia="it-IT"/>
          <w14:ligatures w14:val="none"/>
        </w:rPr>
        <w:t xml:space="preserve"> della sussistenza del fatto da provare. Il livello di conoscenza scaturente dalla sola valutazione del fatto noto indiziante </w:t>
      </w:r>
      <w:r w:rsidRPr="00F31496">
        <w:rPr>
          <w:rFonts w:ascii="Garamond" w:eastAsia="Times New Roman" w:hAnsi="Garamond" w:cs="Garamond"/>
          <w:color w:val="000000"/>
          <w:kern w:val="0"/>
          <w:sz w:val="30"/>
          <w:szCs w:val="30"/>
          <w:lang w:eastAsia="it-IT"/>
          <w14:ligatures w14:val="none"/>
        </w:rPr>
        <w:t>è</w:t>
      </w:r>
      <w:r w:rsidRPr="00F31496">
        <w:rPr>
          <w:rFonts w:ascii="Garamond" w:eastAsia="Times New Roman" w:hAnsi="Garamond" w:cs="Times New Roman"/>
          <w:color w:val="000000"/>
          <w:kern w:val="0"/>
          <w:sz w:val="30"/>
          <w:szCs w:val="30"/>
          <w:lang w:eastAsia="it-IT"/>
          <w14:ligatures w14:val="none"/>
        </w:rPr>
        <w:t xml:space="preserve"> variabile, potendo risultare, a seconda dei casi, assai cospicuo ovvero trascurabile.</w:t>
      </w:r>
    </w:p>
    <w:p w14:paraId="66C1087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valutazione della prova indiziaria va scomposta in due stadi.</w:t>
      </w:r>
    </w:p>
    <w:p w14:paraId="166E0D8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primo è diretto ad apprezzare la valenza qualitativa del singolo indizio, ovvero la forza di necessità logica con la quale esso è in grado di dimostrare il fatto rilevante, al fine di eliminare gli elementi che appaiono semplici illazioni o supposizioni arbitrarie, stante l’estrema varietà e molteplicità degli accadimenti che se ne possono desumere secondo le regole di esperienza, così vanno espunte le presunzioni di secondo grado (non è consentito trarre da una presunzione una ulteriore presunzione).</w:t>
      </w:r>
    </w:p>
    <w:p w14:paraId="1708CCA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secondo è costituito dall’esame globale degli indizi così raccolti, al fine di accertare se gli stessi, una volta integrati gli uni con gli altri, siano in grado di dissolvere la loro intrinseca ambiguità. In questa fase, vanno utilizzati i canoni (codificati all’art. 2729 codice civile) della gravità (la capacità dimostrativa e di resistenza agli argomenti contrapposti), precisione (l’univocità che rende assai inverosimili le interpretazioni alternativi) e concordanza (la coerenza narrativa, dovuta alla circostanza che gli elementi raccolti non si pongono in contraddizione tra loro).</w:t>
      </w:r>
    </w:p>
    <w:p w14:paraId="47A004C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23. I prodromi del quadro d’insieme sono stati, inoltre, puntellati dalla Commissione europea.</w:t>
      </w:r>
    </w:p>
    <w:p w14:paraId="60E30AA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Quanto ai mezzi di scambio delle informazioni, nelle Linee si è sottolineato che “</w:t>
      </w:r>
      <w:r w:rsidRPr="00F31496">
        <w:rPr>
          <w:rFonts w:ascii="Garamond" w:eastAsia="Times New Roman" w:hAnsi="Garamond" w:cs="Times New Roman"/>
          <w:i/>
          <w:iCs/>
          <w:color w:val="000000"/>
          <w:kern w:val="0"/>
          <w:sz w:val="30"/>
          <w:szCs w:val="30"/>
          <w:lang w:eastAsia="it-IT"/>
          <w14:ligatures w14:val="none"/>
        </w:rPr>
        <w:t xml:space="preserve">un annuncio pubblico unilaterale che faccia riferimento a intenzioni relative a future politiche di fissazione dei prezzi (in contrapposizione a una comunicazione in merito a una decisione effettiva di modificare i prezzi a decorrere da una certa data nel prossimo futuro) non vincolerà l'impresa che effettua tale annuncio nei confronti dei suoi clienti, ma può fornire ai suoi concorrenti segnali in </w:t>
      </w:r>
      <w:r w:rsidRPr="00F31496">
        <w:rPr>
          <w:rFonts w:ascii="Garamond" w:eastAsia="Times New Roman" w:hAnsi="Garamond" w:cs="Times New Roman"/>
          <w:i/>
          <w:iCs/>
          <w:color w:val="000000"/>
          <w:kern w:val="0"/>
          <w:sz w:val="30"/>
          <w:szCs w:val="30"/>
          <w:lang w:eastAsia="it-IT"/>
          <w14:ligatures w14:val="none"/>
        </w:rPr>
        <w:lastRenderedPageBreak/>
        <w:t>merito alla strategia che intende adottare sul mercato. Ciò vale in particolare se le informazioni sono sufficientemente specifiche. Di conseguenza tali annunci non creano in genere vantaggi per i consumatori e possono facilitare la collusione</w:t>
      </w:r>
      <w:r w:rsidRPr="00F31496">
        <w:rPr>
          <w:rFonts w:ascii="Garamond" w:eastAsia="Times New Roman" w:hAnsi="Garamond" w:cs="Times New Roman"/>
          <w:color w:val="000000"/>
          <w:kern w:val="0"/>
          <w:sz w:val="30"/>
          <w:szCs w:val="30"/>
          <w:lang w:eastAsia="it-IT"/>
          <w14:ligatures w14:val="none"/>
        </w:rPr>
        <w:t>” (cfr. punto 400).</w:t>
      </w:r>
    </w:p>
    <w:p w14:paraId="011D48E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Tale rilievo trae sostanza dalla considerazione che “</w:t>
      </w:r>
      <w:r w:rsidRPr="00F31496">
        <w:rPr>
          <w:rFonts w:ascii="Garamond" w:eastAsia="Times New Roman" w:hAnsi="Garamond" w:cs="Times New Roman"/>
          <w:i/>
          <w:iCs/>
          <w:color w:val="000000"/>
          <w:kern w:val="0"/>
          <w:sz w:val="30"/>
          <w:szCs w:val="30"/>
          <w:lang w:eastAsia="it-IT"/>
          <w14:ligatures w14:val="none"/>
        </w:rPr>
        <w:t>gli annunci pubblici unilaterali possono essere indicativi di un accordo o di una pratica concordata anticoncorrenziale sottostante. Ad esempio in un mercato in cui sono presenti solo pochi concorrenti ed esistono forti barriere all'ingresso, le imprese che pubblicizzano costantemente informazioni che non comportano un evidente vantaggio per i consumatori (ad esempio, informazioni sui costi di ricerca e sviluppo, sui costi di adeguamento ai requisiti ambientali, ecc.) possono essere coinvolte in pratiche che restringono la concorrenza ai sensi dell'articolo 101, paragrafo 1. Gli annunci pubblici unilaterali possono essere utilizzati per attuare o monitorare i loro accordi collusivi. L'accertamento di una tale restrizione dipenderà da tutti i fatti del caso specifico</w:t>
      </w:r>
      <w:r w:rsidRPr="00F31496">
        <w:rPr>
          <w:rFonts w:ascii="Garamond" w:eastAsia="Times New Roman" w:hAnsi="Garamond" w:cs="Times New Roman"/>
          <w:color w:val="000000"/>
          <w:kern w:val="0"/>
          <w:sz w:val="30"/>
          <w:szCs w:val="30"/>
          <w:lang w:eastAsia="it-IT"/>
          <w14:ligatures w14:val="none"/>
        </w:rPr>
        <w:t>” (cfr., ancora, punto 400).</w:t>
      </w:r>
    </w:p>
    <w:p w14:paraId="5B83307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Non solo.</w:t>
      </w:r>
    </w:p>
    <w:p w14:paraId="52E64D6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Quando informazioni sensibili dal punto di vista commerciale “</w:t>
      </w:r>
      <w:r w:rsidRPr="00F31496">
        <w:rPr>
          <w:rFonts w:ascii="Garamond" w:eastAsia="Times New Roman" w:hAnsi="Garamond" w:cs="Times New Roman"/>
          <w:i/>
          <w:iCs/>
          <w:color w:val="000000"/>
          <w:kern w:val="0"/>
          <w:sz w:val="30"/>
          <w:szCs w:val="30"/>
          <w:lang w:eastAsia="it-IT"/>
          <w14:ligatures w14:val="none"/>
        </w:rPr>
        <w:t>vengono scambiate in modo indiretto, è necessaria un'analisi caso per caso del ruolo di ciascun partecipante al fine di stabilire se lo scambio costituisce un accordo o una pratica concordata anticoncorrenziale e chi è responsabile della collusione. Tale valutazione dovrà tener conto in particolare del livello di consapevolezza che hanno i fornitori o i destinatari delle informazioni rispetto agli scambi di informazioni tra altri fornitori o destinatari di informazioni e il terzo</w:t>
      </w:r>
      <w:r w:rsidRPr="00F31496">
        <w:rPr>
          <w:rFonts w:ascii="Garamond" w:eastAsia="Times New Roman" w:hAnsi="Garamond" w:cs="Times New Roman"/>
          <w:color w:val="000000"/>
          <w:kern w:val="0"/>
          <w:sz w:val="30"/>
          <w:szCs w:val="30"/>
          <w:lang w:eastAsia="it-IT"/>
          <w14:ligatures w14:val="none"/>
        </w:rPr>
        <w:t>” (cfr. punto 402).</w:t>
      </w:r>
    </w:p>
    <w:p w14:paraId="6834FC8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24. Alla luce di quanto illustrato, l’istruttoria procedimentale dell’Autorità, quanto alla contestazione della condotta collusiva, si rivela attendibile e la conseguente deliberazione è, pertanto, da ritenersi legittima.</w:t>
      </w:r>
    </w:p>
    <w:p w14:paraId="53C8AE2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Anzitutto, circa la consapevolezza della rilevanza della componente bio depone l’impegno (rigettato) prestato dalla ricorrente ai sensi dell’art. 14 ter della legge 287/1990 (“</w:t>
      </w:r>
      <w:r w:rsidRPr="00F31496">
        <w:rPr>
          <w:rFonts w:ascii="Garamond" w:eastAsia="Times New Roman" w:hAnsi="Garamond" w:cs="Times New Roman"/>
          <w:i/>
          <w:iCs/>
          <w:color w:val="000000"/>
          <w:kern w:val="0"/>
          <w:sz w:val="30"/>
          <w:szCs w:val="30"/>
          <w:lang w:eastAsia="it-IT"/>
          <w14:ligatures w14:val="none"/>
        </w:rPr>
        <w:t>non includere in alcun contratto di fornitura di carburante per autotrazione stipulato da Esso con grossisti branded e/o unbranded una specifica voce di prezzo corrispondente alla Componente Mandati BIO</w:t>
      </w:r>
      <w:r w:rsidRPr="00F31496">
        <w:rPr>
          <w:rFonts w:ascii="Garamond" w:eastAsia="Times New Roman" w:hAnsi="Garamond" w:cs="Times New Roman"/>
          <w:color w:val="000000"/>
          <w:kern w:val="0"/>
          <w:sz w:val="30"/>
          <w:szCs w:val="30"/>
          <w:lang w:eastAsia="it-IT"/>
          <w14:ligatures w14:val="none"/>
        </w:rPr>
        <w:t xml:space="preserve">”): il che certo non contraddice, quanto, piuttosto, conferma </w:t>
      </w:r>
      <w:r w:rsidRPr="00F31496">
        <w:rPr>
          <w:rFonts w:ascii="Garamond" w:eastAsia="Times New Roman" w:hAnsi="Garamond" w:cs="Times New Roman"/>
          <w:color w:val="000000"/>
          <w:kern w:val="0"/>
          <w:sz w:val="30"/>
          <w:szCs w:val="30"/>
          <w:lang w:eastAsia="it-IT"/>
          <w14:ligatures w14:val="none"/>
        </w:rPr>
        <w:lastRenderedPageBreak/>
        <w:t>quanto già evidenziato nella CRI (“</w:t>
      </w:r>
      <w:r w:rsidRPr="00F31496">
        <w:rPr>
          <w:rFonts w:ascii="Garamond" w:eastAsia="Times New Roman" w:hAnsi="Garamond" w:cs="Times New Roman"/>
          <w:i/>
          <w:iCs/>
          <w:color w:val="000000"/>
          <w:kern w:val="0"/>
          <w:sz w:val="30"/>
          <w:szCs w:val="30"/>
          <w:lang w:eastAsia="it-IT"/>
          <w14:ligatures w14:val="none"/>
        </w:rPr>
        <w:t>non era indicata separatamente la componente di costo del bio (al pari delle altre componenti di costo) e il prezzo era riferito al prodotto finale già miscelato</w:t>
      </w:r>
      <w:r w:rsidRPr="00F31496">
        <w:rPr>
          <w:rFonts w:ascii="Garamond" w:eastAsia="Times New Roman" w:hAnsi="Garamond" w:cs="Times New Roman"/>
          <w:color w:val="000000"/>
          <w:kern w:val="0"/>
          <w:sz w:val="30"/>
          <w:szCs w:val="30"/>
          <w:lang w:eastAsia="it-IT"/>
          <w14:ligatures w14:val="none"/>
        </w:rPr>
        <w:t>”).</w:t>
      </w:r>
    </w:p>
    <w:p w14:paraId="54CD98E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Conseguenzialmente, deve ritenersi attendibile la conclusione tratta nella stessa CRI (“</w:t>
      </w:r>
      <w:r w:rsidRPr="00F31496">
        <w:rPr>
          <w:rFonts w:ascii="Garamond" w:eastAsia="Times New Roman" w:hAnsi="Garamond" w:cs="Times New Roman"/>
          <w:i/>
          <w:iCs/>
          <w:color w:val="000000"/>
          <w:kern w:val="0"/>
          <w:sz w:val="30"/>
          <w:szCs w:val="30"/>
          <w:lang w:eastAsia="it-IT"/>
          <w14:ligatures w14:val="none"/>
        </w:rPr>
        <w:t>deve tuttavia segnalarsi che sono state reperite in ispezione e fornite da ESSO numerose comunicazioni in cui la tariffa finale viene aumentata in ragione dell’aumento dei costi della componente</w:t>
      </w:r>
      <w:r w:rsidRPr="00F31496">
        <w:rPr>
          <w:rFonts w:ascii="Garamond" w:eastAsia="Times New Roman" w:hAnsi="Garamond" w:cs="Times New Roman"/>
          <w:color w:val="000000"/>
          <w:kern w:val="0"/>
          <w:sz w:val="30"/>
          <w:szCs w:val="30"/>
          <w:lang w:eastAsia="it-IT"/>
          <w14:ligatures w14:val="none"/>
        </w:rPr>
        <w:t>”) e avallata nel provvedimento finale.</w:t>
      </w:r>
    </w:p>
    <w:p w14:paraId="6E6EEEF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Occorre osservare che nel contesto di un “</w:t>
      </w:r>
      <w:r w:rsidRPr="00F31496">
        <w:rPr>
          <w:rFonts w:ascii="Garamond" w:eastAsia="Times New Roman" w:hAnsi="Garamond" w:cs="Times New Roman"/>
          <w:i/>
          <w:iCs/>
          <w:color w:val="000000"/>
          <w:kern w:val="0"/>
          <w:sz w:val="30"/>
          <w:szCs w:val="30"/>
          <w:lang w:eastAsia="it-IT"/>
          <w14:ligatures w14:val="none"/>
        </w:rPr>
        <w:t>allineamento (…) pressoché perfetto per ENI, IP, TAMOIL e SARAS: le società praticano il prezzo identico di 55€/mc per tutti i primi tre trimestri dell’anno e diminuiscono il prezzo a 53€/mc nell’ultimo trimestre (TAMOIL adotta questa riduzione solo nell’extra-rete)</w:t>
      </w:r>
      <w:r w:rsidRPr="00F31496">
        <w:rPr>
          <w:rFonts w:ascii="Garamond" w:eastAsia="Times New Roman" w:hAnsi="Garamond" w:cs="Times New Roman"/>
          <w:color w:val="000000"/>
          <w:kern w:val="0"/>
          <w:sz w:val="30"/>
          <w:szCs w:val="30"/>
          <w:lang w:eastAsia="it-IT"/>
          <w14:ligatures w14:val="none"/>
        </w:rPr>
        <w:t>”, la verifica sulla ricorrente ha posto in rilievo un andamento parzialmente diverso, pure ricondotto al medesimo intento collusivo, ossia:</w:t>
      </w:r>
    </w:p>
    <w:p w14:paraId="30D263E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nel 1Q del 2020 la ricorrente ha fissato il valore della componente bio richiesto ai clienti quale parte del prezzo del prodotto finito in 26€/mc, al pari di ENI e delle altre parti del procedimento;</w:t>
      </w:r>
    </w:p>
    <w:p w14:paraId="124F7D9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per il canale rete, a partire dal 2Q 2020 e fino alla fine di tale anno, ha attuato aumenti trimestrali complessivamente della stessa entità di quelli annunciati da ENI (14€/mc);</w:t>
      </w:r>
    </w:p>
    <w:p w14:paraId="0E92008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sempre per il canale rete, nel 3Q e 4Q dell’anno 2021 ha attuato aumenti coincidenti con quelli di ENI: l’assunto secondo cui la rilevazione del parallelismo, da parte di AGCM, sarebbe a “</w:t>
      </w:r>
      <w:r w:rsidRPr="00F31496">
        <w:rPr>
          <w:rFonts w:ascii="Garamond" w:eastAsia="Times New Roman" w:hAnsi="Garamond" w:cs="Times New Roman"/>
          <w:i/>
          <w:iCs/>
          <w:color w:val="000000"/>
          <w:kern w:val="0"/>
          <w:sz w:val="30"/>
          <w:szCs w:val="30"/>
          <w:lang w:eastAsia="it-IT"/>
          <w14:ligatures w14:val="none"/>
        </w:rPr>
        <w:t>geometria variabile</w:t>
      </w:r>
      <w:r w:rsidRPr="00F31496">
        <w:rPr>
          <w:rFonts w:ascii="Garamond" w:eastAsia="Times New Roman" w:hAnsi="Garamond" w:cs="Times New Roman"/>
          <w:color w:val="000000"/>
          <w:kern w:val="0"/>
          <w:sz w:val="30"/>
          <w:szCs w:val="30"/>
          <w:lang w:eastAsia="it-IT"/>
          <w14:ligatures w14:val="none"/>
        </w:rPr>
        <w:t>” (cfr. pag. 25 del ricorso) non mina l’attendibilità del quadro indiziario, tenuto conto che gli scostamenti (ossia l’assenza di parallelismo del primo trimestre; la diversa decorrenza nel terzo trimestre) non possono essere sottratti all’obiezione dell’Autorità secondo cui “</w:t>
      </w:r>
      <w:r w:rsidRPr="00F31496">
        <w:rPr>
          <w:rFonts w:ascii="Garamond" w:eastAsia="Times New Roman" w:hAnsi="Garamond" w:cs="Times New Roman"/>
          <w:i/>
          <w:iCs/>
          <w:color w:val="000000"/>
          <w:kern w:val="0"/>
          <w:sz w:val="30"/>
          <w:szCs w:val="30"/>
          <w:lang w:eastAsia="it-IT"/>
          <w14:ligatures w14:val="none"/>
        </w:rPr>
        <w:t xml:space="preserve">avendo fornito la società un numero limitato di comunicazioni ai clienti riconducibili all’incremento della componente bio, l’attendibilità dell’analisi di tali aumenti può essere limitata a causa di una loro ricostruzione che </w:t>
      </w:r>
      <w:r w:rsidRPr="00F31496">
        <w:rPr>
          <w:rFonts w:ascii="Garamond" w:eastAsia="Times New Roman" w:hAnsi="Garamond" w:cs="Times New Roman"/>
          <w:i/>
          <w:iCs/>
          <w:color w:val="000000"/>
          <w:kern w:val="0"/>
          <w:sz w:val="30"/>
          <w:szCs w:val="30"/>
          <w:lang w:eastAsia="it-IT"/>
          <w14:ligatures w14:val="none"/>
        </w:rPr>
        <w:lastRenderedPageBreak/>
        <w:t>risulta dunque incompleta</w:t>
      </w:r>
      <w:r w:rsidRPr="00F31496">
        <w:rPr>
          <w:rFonts w:ascii="Garamond" w:eastAsia="Times New Roman" w:hAnsi="Garamond" w:cs="Times New Roman"/>
          <w:color w:val="000000"/>
          <w:kern w:val="0"/>
          <w:sz w:val="30"/>
          <w:szCs w:val="30"/>
          <w:lang w:eastAsia="it-IT"/>
          <w14:ligatures w14:val="none"/>
        </w:rPr>
        <w:t>”; e che, in aggiunta, nella deliberazione si è dato conto che la stessa ricorrente “</w:t>
      </w:r>
      <w:r w:rsidRPr="00F31496">
        <w:rPr>
          <w:rFonts w:ascii="Garamond" w:eastAsia="Times New Roman" w:hAnsi="Garamond" w:cs="Times New Roman"/>
          <w:i/>
          <w:iCs/>
          <w:color w:val="000000"/>
          <w:kern w:val="0"/>
          <w:sz w:val="30"/>
          <w:szCs w:val="30"/>
          <w:lang w:eastAsia="it-IT"/>
          <w14:ligatures w14:val="none"/>
        </w:rPr>
        <w:t>ha venduto ad EG Italia S.r.l oltre la metà della propria rete</w:t>
      </w:r>
      <w:r w:rsidRPr="00F31496">
        <w:rPr>
          <w:rFonts w:ascii="Garamond" w:eastAsia="Times New Roman" w:hAnsi="Garamond" w:cs="Times New Roman"/>
          <w:color w:val="000000"/>
          <w:kern w:val="0"/>
          <w:sz w:val="30"/>
          <w:szCs w:val="30"/>
          <w:lang w:eastAsia="it-IT"/>
          <w14:ligatures w14:val="none"/>
        </w:rPr>
        <w:t>”;</w:t>
      </w:r>
    </w:p>
    <w:p w14:paraId="122BA38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nel 2022 sono proseguiti, al pari di quanto operato dagli altri operatori coinvolti nel procedimento, aumenti sia nel canale rete che nel canale extra-rete, sebbene limitati al 1Q 2022 (si è detto della stasi registratasi per il seguente periodo del medesimo anno).</w:t>
      </w:r>
    </w:p>
    <w:p w14:paraId="2F2DFD8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Per l’anno 2023, invece, l’Autorità ha rilevato e contestato che “</w:t>
      </w:r>
      <w:r w:rsidRPr="00F31496">
        <w:rPr>
          <w:rFonts w:ascii="Garamond" w:eastAsia="Times New Roman" w:hAnsi="Garamond" w:cs="Times New Roman"/>
          <w:i/>
          <w:iCs/>
          <w:color w:val="000000"/>
          <w:kern w:val="0"/>
          <w:sz w:val="30"/>
          <w:szCs w:val="30"/>
          <w:lang w:eastAsia="it-IT"/>
          <w14:ligatures w14:val="none"/>
        </w:rPr>
        <w:t>ESSO mantiene, nella rete, il trend di aumenti nel 1Q applicando aumenti significativi, per poi effettuare delle diminuzioni nel 3Q. Con riferimento al canale extra-rete, invece, ESSO, nel 1Q, effettua dei decrementi consistenti, in ragione di decisioni strategiche rispetto agli obblighi di vendita di biocarburante in purezza. Nel 3Q 2023, effettua ulteriori diminuzioni allineate a quelle annunciate da ENI</w:t>
      </w:r>
      <w:r w:rsidRPr="00F31496">
        <w:rPr>
          <w:rFonts w:ascii="Garamond" w:eastAsia="Times New Roman" w:hAnsi="Garamond" w:cs="Times New Roman"/>
          <w:color w:val="000000"/>
          <w:kern w:val="0"/>
          <w:sz w:val="30"/>
          <w:szCs w:val="30"/>
          <w:lang w:eastAsia="it-IT"/>
          <w14:ligatures w14:val="none"/>
        </w:rPr>
        <w:t>” (cfr. pag. 156 della delibera).</w:t>
      </w:r>
    </w:p>
    <w:p w14:paraId="12645C2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Tutto quanto sopra conferma quanto la ricorrente, ancorché in ottica impugnatoria, ha, comunque, indirettamente ammesso, ossia che “</w:t>
      </w:r>
      <w:r w:rsidRPr="00F31496">
        <w:rPr>
          <w:rFonts w:ascii="Garamond" w:eastAsia="Times New Roman" w:hAnsi="Garamond" w:cs="Times New Roman"/>
          <w:i/>
          <w:iCs/>
          <w:color w:val="000000"/>
          <w:kern w:val="0"/>
          <w:sz w:val="30"/>
          <w:szCs w:val="30"/>
          <w:lang w:eastAsia="it-IT"/>
          <w14:ligatures w14:val="none"/>
        </w:rPr>
        <w:t>gli aumenti di ESSO sono spesso diversi e solo in 8 dei 15 trimestri (rete) e in 6 dei 16 trimestri (extra-rete) del periodo interessato risultano “in linea” (e peraltro non necessariamente identici) con quelli di ENI</w:t>
      </w:r>
      <w:r w:rsidRPr="00F31496">
        <w:rPr>
          <w:rFonts w:ascii="Garamond" w:eastAsia="Times New Roman" w:hAnsi="Garamond" w:cs="Times New Roman"/>
          <w:color w:val="000000"/>
          <w:kern w:val="0"/>
          <w:sz w:val="30"/>
          <w:szCs w:val="30"/>
          <w:lang w:eastAsia="it-IT"/>
          <w14:ligatures w14:val="none"/>
        </w:rPr>
        <w:t>” (cfr. pag. 25 del ricorso).</w:t>
      </w:r>
    </w:p>
    <w:p w14:paraId="2F2FB61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Nella specie, il Collegio ritiene che il quadro indiziario sia solido e motivato, mettendo in luce la continuità dell’adesione all’accordo collusivo, fatta parziale eccezione per l’anno 2023.</w:t>
      </w:r>
    </w:p>
    <w:p w14:paraId="546917C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Si tratta, dunque, di delibare sulla consistenza del compendio probatorio a fini giustificativi della sanzione irrogata, ciò implicando di comparare la tutela delle ragioni di difesa del soggetto passivo e l’interesse generale dell’ordinamento.</w:t>
      </w:r>
    </w:p>
    <w:p w14:paraId="5EC1E01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Negli ultimi anni si è affermato da parte della giurisprudenza che “</w:t>
      </w:r>
      <w:r w:rsidRPr="00F31496">
        <w:rPr>
          <w:rFonts w:ascii="Garamond" w:eastAsia="Times New Roman" w:hAnsi="Garamond" w:cs="Times New Roman"/>
          <w:i/>
          <w:iCs/>
          <w:color w:val="000000"/>
          <w:kern w:val="0"/>
          <w:sz w:val="30"/>
          <w:szCs w:val="30"/>
          <w:lang w:eastAsia="it-IT"/>
          <w14:ligatures w14:val="none"/>
        </w:rPr>
        <w:t xml:space="preserve">all’esito della predetta attività conoscitiva, l’ipotesi accusatoria, attentamente verificata nel contraddittorio delle parti, può ritenersi avere attinto la “certezza processuale” soltanto quando essa risulti l’unica in grado di giustificare i vari elementi probatori raccolti, ovvero la più attendibile rispetto alle altre ipotesi </w:t>
      </w:r>
      <w:r w:rsidRPr="00F31496">
        <w:rPr>
          <w:rFonts w:ascii="Garamond" w:eastAsia="Times New Roman" w:hAnsi="Garamond" w:cs="Times New Roman"/>
          <w:i/>
          <w:iCs/>
          <w:color w:val="000000"/>
          <w:kern w:val="0"/>
          <w:sz w:val="30"/>
          <w:szCs w:val="30"/>
          <w:lang w:eastAsia="it-IT"/>
          <w14:ligatures w14:val="none"/>
        </w:rPr>
        <w:lastRenderedPageBreak/>
        <w:t>alternative, pure astrattamente prospettabili, ma la cui realizzazione storica, in quanto priva di riscontri significativi nelle emergenze istruttorie, appaia soltanto una eventualità remota</w:t>
      </w:r>
      <w:r w:rsidRPr="00F31496">
        <w:rPr>
          <w:rFonts w:ascii="Garamond" w:eastAsia="Times New Roman" w:hAnsi="Garamond" w:cs="Times New Roman"/>
          <w:color w:val="000000"/>
          <w:kern w:val="0"/>
          <w:sz w:val="30"/>
          <w:szCs w:val="30"/>
          <w:lang w:eastAsia="it-IT"/>
          <w14:ligatures w14:val="none"/>
        </w:rPr>
        <w:t>” (cfr. Consiglio di Stato, sez. VI, 9 maggio 2022, n. 3570): un canone valutativo esteso, altresì, agli “</w:t>
      </w:r>
      <w:r w:rsidRPr="00F31496">
        <w:rPr>
          <w:rFonts w:ascii="Garamond" w:eastAsia="Times New Roman" w:hAnsi="Garamond" w:cs="Times New Roman"/>
          <w:i/>
          <w:iCs/>
          <w:color w:val="000000"/>
          <w:kern w:val="0"/>
          <w:sz w:val="30"/>
          <w:szCs w:val="30"/>
          <w:lang w:eastAsia="it-IT"/>
          <w14:ligatures w14:val="none"/>
        </w:rPr>
        <w:t>elementi indiziari</w:t>
      </w:r>
      <w:r w:rsidRPr="00F31496">
        <w:rPr>
          <w:rFonts w:ascii="Garamond" w:eastAsia="Times New Roman" w:hAnsi="Garamond" w:cs="Times New Roman"/>
          <w:color w:val="000000"/>
          <w:kern w:val="0"/>
          <w:sz w:val="30"/>
          <w:szCs w:val="30"/>
          <w:lang w:eastAsia="it-IT"/>
          <w14:ligatures w14:val="none"/>
        </w:rPr>
        <w:t>”.</w:t>
      </w:r>
    </w:p>
    <w:p w14:paraId="4EBED86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Nella traccia di tale solco si sono, però, successivamente registrate ulteriori posizioni, favorevoli al riconoscimento della sufficienza del livello indiziario.</w:t>
      </w:r>
    </w:p>
    <w:p w14:paraId="0A80BF8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Si è, anzitutto, precisato che “</w:t>
      </w:r>
      <w:r w:rsidRPr="00F31496">
        <w:rPr>
          <w:rFonts w:ascii="Garamond" w:eastAsia="Times New Roman" w:hAnsi="Garamond" w:cs="Times New Roman"/>
          <w:i/>
          <w:iCs/>
          <w:color w:val="000000"/>
          <w:kern w:val="0"/>
          <w:sz w:val="30"/>
          <w:szCs w:val="30"/>
          <w:lang w:eastAsia="it-IT"/>
          <w14:ligatures w14:val="none"/>
        </w:rPr>
        <w:t>alla luce dei richiamati orientamenti della Sezione</w:t>
      </w:r>
      <w:r w:rsidRPr="00F31496">
        <w:rPr>
          <w:rFonts w:ascii="Garamond" w:eastAsia="Times New Roman" w:hAnsi="Garamond" w:cs="Times New Roman"/>
          <w:color w:val="000000"/>
          <w:kern w:val="0"/>
          <w:sz w:val="30"/>
          <w:szCs w:val="30"/>
          <w:lang w:eastAsia="it-IT"/>
          <w14:ligatures w14:val="none"/>
        </w:rPr>
        <w:t>”, debba accertarsi se “</w:t>
      </w:r>
      <w:r w:rsidRPr="00F31496">
        <w:rPr>
          <w:rFonts w:ascii="Garamond" w:eastAsia="Times New Roman" w:hAnsi="Garamond" w:cs="Times New Roman"/>
          <w:i/>
          <w:iCs/>
          <w:color w:val="000000"/>
          <w:kern w:val="0"/>
          <w:sz w:val="30"/>
          <w:szCs w:val="30"/>
          <w:lang w:eastAsia="it-IT"/>
          <w14:ligatures w14:val="none"/>
        </w:rPr>
        <w:t>esistono indizi gravi, precisi e concordanti della partecipazione (…) all’intesa</w:t>
      </w:r>
      <w:r w:rsidRPr="00F31496">
        <w:rPr>
          <w:rFonts w:ascii="Garamond" w:eastAsia="Times New Roman" w:hAnsi="Garamond" w:cs="Times New Roman"/>
          <w:color w:val="000000"/>
          <w:kern w:val="0"/>
          <w:sz w:val="30"/>
          <w:szCs w:val="30"/>
          <w:lang w:eastAsia="it-IT"/>
          <w14:ligatures w14:val="none"/>
        </w:rPr>
        <w:t>”, e ciò “</w:t>
      </w:r>
      <w:r w:rsidRPr="00F31496">
        <w:rPr>
          <w:rFonts w:ascii="Garamond" w:eastAsia="Times New Roman" w:hAnsi="Garamond" w:cs="Times New Roman"/>
          <w:i/>
          <w:iCs/>
          <w:color w:val="000000"/>
          <w:kern w:val="0"/>
          <w:sz w:val="30"/>
          <w:szCs w:val="30"/>
          <w:lang w:eastAsia="it-IT"/>
          <w14:ligatures w14:val="none"/>
        </w:rPr>
        <w:t>guardando all'intero assetto dei rapporti intercorrenti tra le imprese e tenendo conto di tutti gli elementi di prova acquisiti nella loro interezza e nella correlazione reciproca che lega gli uni agli altri, senza che sia necessaria la prova della partecipazione ad ogni singolo episodio</w:t>
      </w:r>
      <w:r w:rsidRPr="00F31496">
        <w:rPr>
          <w:rFonts w:ascii="Garamond" w:eastAsia="Times New Roman" w:hAnsi="Garamond" w:cs="Times New Roman"/>
          <w:color w:val="000000"/>
          <w:kern w:val="0"/>
          <w:sz w:val="30"/>
          <w:szCs w:val="30"/>
          <w:lang w:eastAsia="it-IT"/>
          <w14:ligatures w14:val="none"/>
        </w:rPr>
        <w:t>”; si deve, inoltre, verificare se il soggetto interessato abbia “</w:t>
      </w:r>
      <w:r w:rsidRPr="00F31496">
        <w:rPr>
          <w:rFonts w:ascii="Garamond" w:eastAsia="Times New Roman" w:hAnsi="Garamond" w:cs="Times New Roman"/>
          <w:i/>
          <w:iCs/>
          <w:color w:val="000000"/>
          <w:kern w:val="0"/>
          <w:sz w:val="30"/>
          <w:szCs w:val="30"/>
          <w:lang w:eastAsia="it-IT"/>
          <w14:ligatures w14:val="none"/>
        </w:rPr>
        <w:t>fornito una diversa spiegazione plausibile delle proprie condotte</w:t>
      </w:r>
      <w:r w:rsidRPr="00F31496">
        <w:rPr>
          <w:rFonts w:ascii="Garamond" w:eastAsia="Times New Roman" w:hAnsi="Garamond" w:cs="Times New Roman"/>
          <w:color w:val="000000"/>
          <w:kern w:val="0"/>
          <w:sz w:val="30"/>
          <w:szCs w:val="30"/>
          <w:lang w:eastAsia="it-IT"/>
          <w14:ligatures w14:val="none"/>
        </w:rPr>
        <w:t>” e se abbia, altresì, fornito “</w:t>
      </w:r>
      <w:r w:rsidRPr="00F31496">
        <w:rPr>
          <w:rFonts w:ascii="Garamond" w:eastAsia="Times New Roman" w:hAnsi="Garamond" w:cs="Times New Roman"/>
          <w:i/>
          <w:iCs/>
          <w:color w:val="000000"/>
          <w:kern w:val="0"/>
          <w:sz w:val="30"/>
          <w:szCs w:val="30"/>
          <w:lang w:eastAsia="it-IT"/>
          <w14:ligatures w14:val="none"/>
        </w:rPr>
        <w:t>un principio di prova circa l’essersi opposta alla pratica che si andava in modo evidente delineando</w:t>
      </w:r>
      <w:r w:rsidRPr="00F31496">
        <w:rPr>
          <w:rFonts w:ascii="Garamond" w:eastAsia="Times New Roman" w:hAnsi="Garamond" w:cs="Times New Roman"/>
          <w:color w:val="000000"/>
          <w:kern w:val="0"/>
          <w:sz w:val="30"/>
          <w:szCs w:val="30"/>
          <w:lang w:eastAsia="it-IT"/>
          <w14:ligatures w14:val="none"/>
        </w:rPr>
        <w:t>”; ovvero “</w:t>
      </w:r>
      <w:r w:rsidRPr="00F31496">
        <w:rPr>
          <w:rFonts w:ascii="Garamond" w:eastAsia="Times New Roman" w:hAnsi="Garamond" w:cs="Times New Roman"/>
          <w:i/>
          <w:iCs/>
          <w:color w:val="000000"/>
          <w:kern w:val="0"/>
          <w:sz w:val="30"/>
          <w:szCs w:val="30"/>
          <w:lang w:eastAsia="it-IT"/>
          <w14:ligatures w14:val="none"/>
        </w:rPr>
        <w:t>un principio di prova circa il fatto che l’intesa non abbia influenzato in nessun modo il suo personale comportamento sul mercato</w:t>
      </w:r>
      <w:r w:rsidRPr="00F31496">
        <w:rPr>
          <w:rFonts w:ascii="Garamond" w:eastAsia="Times New Roman" w:hAnsi="Garamond" w:cs="Times New Roman"/>
          <w:color w:val="000000"/>
          <w:kern w:val="0"/>
          <w:sz w:val="30"/>
          <w:szCs w:val="30"/>
          <w:lang w:eastAsia="it-IT"/>
          <w14:ligatures w14:val="none"/>
        </w:rPr>
        <w:t>”; ciò in quanto “</w:t>
      </w:r>
      <w:r w:rsidRPr="00F31496">
        <w:rPr>
          <w:rFonts w:ascii="Garamond" w:eastAsia="Times New Roman" w:hAnsi="Garamond" w:cs="Times New Roman"/>
          <w:i/>
          <w:iCs/>
          <w:color w:val="000000"/>
          <w:kern w:val="0"/>
          <w:sz w:val="30"/>
          <w:szCs w:val="30"/>
          <w:lang w:eastAsia="it-IT"/>
          <w14:ligatures w14:val="none"/>
        </w:rPr>
        <w:t>ai fini dell'an della responsabilità non è rilevante indagare se il singolo partecipante all'intesa vietata abbia avuto un ruolo maggiore o minore, attivo o meramente passivo</w:t>
      </w:r>
      <w:r w:rsidRPr="00F31496">
        <w:rPr>
          <w:rFonts w:ascii="Garamond" w:eastAsia="Times New Roman" w:hAnsi="Garamond" w:cs="Times New Roman"/>
          <w:color w:val="000000"/>
          <w:kern w:val="0"/>
          <w:sz w:val="30"/>
          <w:szCs w:val="30"/>
          <w:lang w:eastAsia="it-IT"/>
          <w14:ligatures w14:val="none"/>
        </w:rPr>
        <w:t>” (cfr. Consiglio di Stato, sez. VI, 20 gennaio 2023, n. 688).</w:t>
      </w:r>
    </w:p>
    <w:p w14:paraId="0840B5A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Un approdo che, peraltro, non può ritenersi inedito, tenuto conto che, per quanto riguarda la valutazione del materiale probatorio, già il giudice comunitario ha in tempi non lontani statuito che “</w:t>
      </w:r>
      <w:r w:rsidRPr="00F31496">
        <w:rPr>
          <w:rFonts w:ascii="Garamond" w:eastAsia="Times New Roman" w:hAnsi="Garamond" w:cs="Times New Roman"/>
          <w:i/>
          <w:iCs/>
          <w:color w:val="000000"/>
          <w:kern w:val="0"/>
          <w:sz w:val="30"/>
          <w:szCs w:val="30"/>
          <w:lang w:eastAsia="it-IT"/>
          <w14:ligatures w14:val="none"/>
        </w:rPr>
        <w:t xml:space="preserve">nella maggior parte dei casi, l’esistenza di una pratica o di un accordo anticoncorrenziale deve essere dedotta da un certo numero di coincidenze e di indizi i quali, considerati nel loro insieme, possono rappresentare, in mancanza di un’altra spiegazione coerente, la prova di una violazione delle norme sulla concorrenza (sentenza del 6 dicembre 2012, Commissione/Verhuizingen Coppens, T 441/11 P, EU:C:2012:778, punto 70 e giurisprudenza ivi citata). Simili indizi e coincidenze consentono, se valutati globalmente, di rivelare non soltanto l’esistenza di comportamenti o accordi anticoncorrenziali, ma anche la durata di un </w:t>
      </w:r>
      <w:r w:rsidRPr="00F31496">
        <w:rPr>
          <w:rFonts w:ascii="Garamond" w:eastAsia="Times New Roman" w:hAnsi="Garamond" w:cs="Times New Roman"/>
          <w:i/>
          <w:iCs/>
          <w:color w:val="000000"/>
          <w:kern w:val="0"/>
          <w:sz w:val="30"/>
          <w:szCs w:val="30"/>
          <w:lang w:eastAsia="it-IT"/>
          <w14:ligatures w14:val="none"/>
        </w:rPr>
        <w:lastRenderedPageBreak/>
        <w:t>comportamento anticoncorrenziale continuato e il periodo di applicazione di un accordo concluso in violazione delle regole di concorrenza (sentenza del 6 dicembre 2012, Commissione/Verhuizingen Coppens, T 441/11 P, EU:C:2012:778, punto 71 e giurisprudenza ivi citata)</w:t>
      </w:r>
      <w:r w:rsidRPr="00F31496">
        <w:rPr>
          <w:rFonts w:ascii="Garamond" w:eastAsia="Times New Roman" w:hAnsi="Garamond" w:cs="Times New Roman"/>
          <w:color w:val="000000"/>
          <w:kern w:val="0"/>
          <w:sz w:val="30"/>
          <w:szCs w:val="30"/>
          <w:lang w:eastAsia="it-IT"/>
          <w14:ligatures w14:val="none"/>
        </w:rPr>
        <w:t>” (cfr. Corte di Giustizia dell’Unione Europea, 18 marzo 2021, C440/19P, parr. 110 e 111).</w:t>
      </w:r>
    </w:p>
    <w:p w14:paraId="3584803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In apparenza, l’adesione al principio ora cennato potrebbe indurre a ritenere che in materia probatoria la posizione dell’Autorità sia (ingiustificatamente) privilegiata rispetto a quella della parte sanzionata: non a caso la ricorrente ha lamentato che “</w:t>
      </w:r>
      <w:r w:rsidRPr="00F31496">
        <w:rPr>
          <w:rFonts w:ascii="Garamond" w:eastAsia="Times New Roman" w:hAnsi="Garamond" w:cs="Times New Roman"/>
          <w:i/>
          <w:iCs/>
          <w:color w:val="000000"/>
          <w:kern w:val="0"/>
          <w:sz w:val="30"/>
          <w:szCs w:val="30"/>
          <w:lang w:eastAsia="it-IT"/>
          <w14:ligatures w14:val="none"/>
        </w:rPr>
        <w:t>la discrezionalità dell’AGCM nell’esaminare le prove non può spingersi fino al punto di ignorare completamente l'interpretazione dei documenti asseritamente incriminanti fornita dalle parti stesse, senza fornire un'adeguata giustificazione</w:t>
      </w:r>
      <w:r w:rsidRPr="00F31496">
        <w:rPr>
          <w:rFonts w:ascii="Garamond" w:eastAsia="Times New Roman" w:hAnsi="Garamond" w:cs="Times New Roman"/>
          <w:color w:val="000000"/>
          <w:kern w:val="0"/>
          <w:sz w:val="30"/>
          <w:szCs w:val="30"/>
          <w:lang w:eastAsia="it-IT"/>
          <w14:ligatures w14:val="none"/>
        </w:rPr>
        <w:t>” (cfr. pag. 37 del ricorso).</w:t>
      </w:r>
    </w:p>
    <w:p w14:paraId="37375D3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È questo un rilievo che, invero, sottende una suggestione smentita dalla stessa giurisprudenza.</w:t>
      </w:r>
    </w:p>
    <w:p w14:paraId="62004A1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Consiglio di Stato (sez. VI, 25 luglio 2023, n. 7273) ha ricostruito il quadro d’insieme, osservando che “</w:t>
      </w:r>
      <w:r w:rsidRPr="00F31496">
        <w:rPr>
          <w:rFonts w:ascii="Garamond" w:eastAsia="Times New Roman" w:hAnsi="Garamond" w:cs="Times New Roman"/>
          <w:i/>
          <w:iCs/>
          <w:color w:val="000000"/>
          <w:kern w:val="0"/>
          <w:sz w:val="30"/>
          <w:szCs w:val="30"/>
          <w:lang w:eastAsia="it-IT"/>
          <w14:ligatures w14:val="none"/>
        </w:rPr>
        <w:t xml:space="preserve">per consolidata giurisprudenza, alcune forme di coordinamento tra imprese rivelano un grado di dannosità per la concorrenza sufficiente perché si possa ritenere che l'esame dei loro effetti non sia necessario, e tra tali ipotesi vanno incluse, secondo la medesima giurisprudenza, le forme di coordinamento tra imprese c.d. "per oggetto"- come la fissazione di prezzi o il coordinamento nella partecipazione alle gare d'appalto (c.d. “bid rigging”), o a procedure consimili – che possono essere considerate, per loro stessa natura, dannose per il buon funzionamento del normale gioco della concorrenza, perché la probabilità di effetti negativi è talmente alta da rendere inutile la dimostrazione degli effetti concreti sul mercato, ai fini dell'applicazione dell'articolo 81, paragrafo 1, CE (Cons. Stato, Sez. VI, 15 luglio 2019, n. 4990). In particolare, la giurisprudenza di questo Consiglio (cfr, ex plurimis, Cons. St., Sez. VI, 2 settembre 2019, n. 6030) ha chiarito che vanno distinte le "intese per oggetto" dalle "intese per effetto". Le prime si caratterizzano per il fatto che hanno un oggetto di per sé vietato e, quindi, sono, per loro stessa natura, dannose per il buon funzionamento del normale gioco della concorrenza, con la conseguenza che è inutile dimostrare in concreto la sussistenza di effetti dannosi sul mercato. Le seconde, invece, </w:t>
      </w:r>
      <w:r w:rsidRPr="00F31496">
        <w:rPr>
          <w:rFonts w:ascii="Garamond" w:eastAsia="Times New Roman" w:hAnsi="Garamond" w:cs="Times New Roman"/>
          <w:i/>
          <w:iCs/>
          <w:color w:val="000000"/>
          <w:kern w:val="0"/>
          <w:sz w:val="30"/>
          <w:szCs w:val="30"/>
          <w:lang w:eastAsia="it-IT"/>
          <w14:ligatures w14:val="none"/>
        </w:rPr>
        <w:lastRenderedPageBreak/>
        <w:t>ricorrono quando non sussistono i presupposti per configurare la sussistenza di una intesa “per oggetto", con la conseguenza che, in tale caso, è necessario verificare in concreto quali siano gli effetti che causano nel mercato. Ne deriva, quindi, che in questo secondo caso devono sussistere tutti gli elementi comprovanti che il gioco della concorrenza è stato, di fatto, impedito, ristretto o falsato in modo significativo; viceversa, ove ricorra una intesa “per oggetto” si prescinde dalla dimostrazione degli effetti anticoncorrenziali poiché si tratta di illeciti di pericolo, cioè di illeciti in cui la soglia di tutela è anticipata, sicché la assenza o la marginalità degli effetti anticoncorrenziali può, al più, rilevare ai fini della determinazione della sanzione, ma non sull’an della medesima</w:t>
      </w:r>
      <w:r w:rsidRPr="00F31496">
        <w:rPr>
          <w:rFonts w:ascii="Garamond" w:eastAsia="Times New Roman" w:hAnsi="Garamond" w:cs="Times New Roman"/>
          <w:color w:val="000000"/>
          <w:kern w:val="0"/>
          <w:sz w:val="30"/>
          <w:szCs w:val="30"/>
          <w:lang w:eastAsia="it-IT"/>
          <w14:ligatures w14:val="none"/>
        </w:rPr>
        <w:t>”.</w:t>
      </w:r>
    </w:p>
    <w:p w14:paraId="4027544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Appare agevole avvedersi che tale posizione riflette quella della Corte di Giustizia UE (26 settembre 2018, C-99/17), la quale ha chiarito che “</w:t>
      </w:r>
      <w:r w:rsidRPr="00F31496">
        <w:rPr>
          <w:rFonts w:ascii="Garamond" w:eastAsia="Times New Roman" w:hAnsi="Garamond" w:cs="Times New Roman"/>
          <w:i/>
          <w:iCs/>
          <w:color w:val="000000"/>
          <w:kern w:val="0"/>
          <w:sz w:val="30"/>
          <w:szCs w:val="30"/>
          <w:lang w:eastAsia="it-IT"/>
          <w14:ligatures w14:val="none"/>
        </w:rPr>
        <w:t>il criterio giuridico fondamentale per determinare se un accordo o una pratica concordata comporti una restrizione della concorrenza "per oggetto", ai sensi dell'articolo 101, paragrafo 1, TFUE, risiede nel rilievo che un siffatto accordo o una siffatta pratica concordata presenta, di per sé, un grado di dannosità per la concorrenza sufficiente per ritenere che non sia necessario individuarne gli effetti. Per valutare se un tipo di coordinamento tra imprese presenti un grado sufficiente di dannosità per essere considerato come restrizione della concorrenza «per oggetto», occorre riferirsi segnatamente alla sua portata, agli obiettivi che esso mira a raggiungere, nonché al contesto economico e giuridico nel quale esso si colloca. Nell'ambito della valutazione di detto contesto, occorre altresì considerare la natura dei beni o dei servizi interessati nonché le condizioni reali del funzionamento e della struttura del mercato o dei mercati in questione</w:t>
      </w:r>
      <w:r w:rsidRPr="00F31496">
        <w:rPr>
          <w:rFonts w:ascii="Garamond" w:eastAsia="Times New Roman" w:hAnsi="Garamond" w:cs="Times New Roman"/>
          <w:color w:val="000000"/>
          <w:kern w:val="0"/>
          <w:sz w:val="30"/>
          <w:szCs w:val="30"/>
          <w:lang w:eastAsia="it-IT"/>
          <w14:ligatures w14:val="none"/>
        </w:rPr>
        <w:t>”.</w:t>
      </w:r>
    </w:p>
    <w:p w14:paraId="3FD8442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Un orientamento che, proprio nella fattispecie oggetto di giudizio – la ricorrente ha partecipato ad una “</w:t>
      </w:r>
      <w:r w:rsidRPr="00F31496">
        <w:rPr>
          <w:rFonts w:ascii="Garamond" w:eastAsia="Times New Roman" w:hAnsi="Garamond" w:cs="Times New Roman"/>
          <w:i/>
          <w:iCs/>
          <w:color w:val="000000"/>
          <w:kern w:val="0"/>
          <w:sz w:val="30"/>
          <w:szCs w:val="30"/>
          <w:lang w:eastAsia="it-IT"/>
          <w14:ligatures w14:val="none"/>
        </w:rPr>
        <w:t>pratica concordata che ha avuto a oggetto l’applicazione di aumenti simultanei e coordinati del valore della componente bio a partire dal 1°gennaio 2020</w:t>
      </w:r>
      <w:r w:rsidRPr="00F31496">
        <w:rPr>
          <w:rFonts w:ascii="Garamond" w:eastAsia="Times New Roman" w:hAnsi="Garamond" w:cs="Times New Roman"/>
          <w:color w:val="000000"/>
          <w:kern w:val="0"/>
          <w:sz w:val="30"/>
          <w:szCs w:val="30"/>
          <w:lang w:eastAsia="it-IT"/>
          <w14:ligatures w14:val="none"/>
        </w:rPr>
        <w:t>” – , deve trovare ad avviso del Collegio un pieno riscontro applicativo.</w:t>
      </w:r>
    </w:p>
    <w:p w14:paraId="66BADC9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Diversamente opinando, se cioè si intendesse postulare che l’intesa restrittiva della concorrenza, tradottasi nell’attuazione di aumenti concordati di una componente industriale che incide sul prezzo dei carburanti, possa essere contestata e soprattutto </w:t>
      </w:r>
      <w:r w:rsidRPr="00F31496">
        <w:rPr>
          <w:rFonts w:ascii="Garamond" w:eastAsia="Times New Roman" w:hAnsi="Garamond" w:cs="Times New Roman"/>
          <w:color w:val="000000"/>
          <w:kern w:val="0"/>
          <w:sz w:val="30"/>
          <w:szCs w:val="30"/>
          <w:lang w:eastAsia="it-IT"/>
          <w14:ligatures w14:val="none"/>
        </w:rPr>
        <w:lastRenderedPageBreak/>
        <w:t>punita soltanto in presenza del raggiungimento di una certezza fattuale che si traduca in una certezza processuale (e non, piuttosto, nella prova di un contesto coerente di circostanze ed elementi, come nella specie deve ritenersi), si finirebbe per ratificare l’impossibilità oggettiva di porre freno a pratiche palesemente dannose per il settore e per i consumatori.</w:t>
      </w:r>
    </w:p>
    <w:p w14:paraId="29AD599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25. Nella specie, l’analisi esplicitata nelle tabelle di cui a pag. 34 della delibera (cfr. tabella 9 - rete: aumenti praticati ai clienti e frequenza % aumenti, 2019-2023) e alla successiva pag. 35 (cfr. tabella 10 - extra-rete: aumenti praticati ai clienti e frequenza % aumenti, 2019-2023) pone in evidenza elementi di carattere incontrovertibile, dando, in tal modo, piena conferma di una circostanza di rilievo eccezionale che in giudizio non è stata superata.</w:t>
      </w:r>
    </w:p>
    <w:p w14:paraId="7A5282F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Ci si riferisce al simultaneo allineamento dei prezzi delle diverse società al valore di 26€/mc all’inizio del 2020, sia per la rete che per l’extra-rete: ben più, ad avviso del Collegio, di ciò che l’Autorità ha indicato essere una “</w:t>
      </w:r>
      <w:r w:rsidRPr="00F31496">
        <w:rPr>
          <w:rFonts w:ascii="Garamond" w:eastAsia="Times New Roman" w:hAnsi="Garamond" w:cs="Times New Roman"/>
          <w:i/>
          <w:iCs/>
          <w:color w:val="000000"/>
          <w:kern w:val="0"/>
          <w:sz w:val="30"/>
          <w:szCs w:val="30"/>
          <w:lang w:eastAsia="it-IT"/>
          <w14:ligatures w14:val="none"/>
        </w:rPr>
        <w:t>decisa anomalìa</w:t>
      </w:r>
      <w:r w:rsidRPr="00F31496">
        <w:rPr>
          <w:rFonts w:ascii="Garamond" w:eastAsia="Times New Roman" w:hAnsi="Garamond" w:cs="Times New Roman"/>
          <w:color w:val="000000"/>
          <w:kern w:val="0"/>
          <w:sz w:val="30"/>
          <w:szCs w:val="30"/>
          <w:lang w:eastAsia="it-IT"/>
          <w14:ligatures w14:val="none"/>
        </w:rPr>
        <w:t>”, ma che invero costituisce una evidenza di consistenza straordinaria.</w:t>
      </w:r>
    </w:p>
    <w:p w14:paraId="4A7735C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L’analisi delle tabelle n. 2 (Andamento della moda dei prezzi: rete) e 3 (Andamento della moda dei prezzi: extra rete) lascia trasparire in chiara luce l’ingiustificabilità insita nella contraddizione tra l’asserzione della ricorrente (così come di tutte le altre compagnie sanzionate) di una gestione imprenditoriale autonoma e peculiare e la condotta materiale di carattere massificato.</w:t>
      </w:r>
    </w:p>
    <w:p w14:paraId="5A5679B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Fatta eccezione, nondimeno, per le società REPSOL (nei cui confronti non è stato ravvisato alcun parallelismo comportamentale) e IPLOM (il cui business non comporta l’indicazione separata della componente bio).</w:t>
      </w:r>
    </w:p>
    <w:p w14:paraId="42894A2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quadro ora illustrato ha assunto una consistenza ed un grado di condivisione tra tutti gli operatori – compresa la ricorrente – tale da determinare una condotta commerciale condivisa.</w:t>
      </w:r>
    </w:p>
    <w:p w14:paraId="27EFD6F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Non è, poi, secondario considerare che le Linee hanno definito pure le condizioni di contesto di una possibile intesa anticoncorrenziale, precisando che “</w:t>
      </w:r>
      <w:r w:rsidRPr="00F31496">
        <w:rPr>
          <w:rFonts w:ascii="Garamond" w:eastAsia="Times New Roman" w:hAnsi="Garamond" w:cs="Times New Roman"/>
          <w:i/>
          <w:iCs/>
          <w:color w:val="000000"/>
          <w:kern w:val="0"/>
          <w:sz w:val="30"/>
          <w:szCs w:val="30"/>
          <w:lang w:eastAsia="it-IT"/>
          <w14:ligatures w14:val="none"/>
        </w:rPr>
        <w:t>la probabilità che uno scambio di informazioni dia luogo a collusione o preclusione dipende dalle caratteristiche del mercato. Inoltre anche lo scambio di informazioni in sé può incidere su tali caratteristiche del mercato. Tra le caratteristiche pertinenti del mercato figurano, tra l'altro, il livello di trasparenza in un mercato, il numero di imprese attive nel mercato (concentrazione del mercato), l'esistenza di barriere all'ingresso, la natura omogenea o meno del prodotto o del servizio interessato dallo scambio, la somiglianza o meno delle imprese coinvolte (la complessità del mercato), nonché la stabilità delle condizioni di domanda e offerta sul mercato</w:t>
      </w:r>
      <w:r w:rsidRPr="00F31496">
        <w:rPr>
          <w:rFonts w:ascii="Garamond" w:eastAsia="Times New Roman" w:hAnsi="Garamond" w:cs="Times New Roman"/>
          <w:color w:val="000000"/>
          <w:kern w:val="0"/>
          <w:sz w:val="30"/>
          <w:szCs w:val="30"/>
          <w:lang w:eastAsia="it-IT"/>
          <w14:ligatures w14:val="none"/>
        </w:rPr>
        <w:t>” (cfr. punto 412).</w:t>
      </w:r>
    </w:p>
    <w:p w14:paraId="3715F50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Ciò detto, nelle Linee è ben spiegato che “</w:t>
      </w:r>
      <w:r w:rsidRPr="00F31496">
        <w:rPr>
          <w:rFonts w:ascii="Garamond" w:eastAsia="Times New Roman" w:hAnsi="Garamond" w:cs="Times New Roman"/>
          <w:i/>
          <w:iCs/>
          <w:color w:val="000000"/>
          <w:kern w:val="0"/>
          <w:sz w:val="30"/>
          <w:szCs w:val="30"/>
          <w:lang w:eastAsia="it-IT"/>
          <w14:ligatures w14:val="none"/>
        </w:rPr>
        <w:t>nel caso in cui imprese che costituiscono parte di un oligopolio molto rigido e stabile si scambiano informazioni aggregate sui prezzi, la rilevazione di un prezzo di mercato inferiore a un certo livello può consentire loro di dedurre che una di loro abbia deviato dalla situazione collusiva e di compiere una ritorsione che interessi tutto il mercato. In altri termini, per mantenere stabile la collusione, le imprese coinvolte in un oligopolio molto rigido e stabile non hanno sempre bisogno di sapere quale impresa è responsabile della deviazione; talvolta può essere sufficiente sapere che "qualcuno" si è discostato dalla condotta concordata</w:t>
      </w:r>
      <w:r w:rsidRPr="00F31496">
        <w:rPr>
          <w:rFonts w:ascii="Garamond" w:eastAsia="Times New Roman" w:hAnsi="Garamond" w:cs="Times New Roman"/>
          <w:color w:val="000000"/>
          <w:kern w:val="0"/>
          <w:sz w:val="30"/>
          <w:szCs w:val="30"/>
          <w:lang w:eastAsia="it-IT"/>
          <w14:ligatures w14:val="none"/>
        </w:rPr>
        <w:t>” (cfr. punto 391).</w:t>
      </w:r>
    </w:p>
    <w:p w14:paraId="6065013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Sotto tale profilo, la pubblicazione di annunci su “Staffetta Quotidiana” – a mò di “formalizzazione” di una decisione “centralizzata” da parte di ENI – non può che aver consolidato l’assenza di qualsiasi possibile “deviazione” degli operatori interessati da una strategia condivisa.</w:t>
      </w:r>
    </w:p>
    <w:p w14:paraId="1DEBF99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Del resto, uno scambio di informazioni che contribuisce poco alla trasparenza di un mercato ha meno probabilità di avere effetti restrittivi sulla concorrenza rispetto ad uno scambio di informazioni che aumenta significativamente la trasparenza. Come sottolineano le Linee, “</w:t>
      </w:r>
      <w:r w:rsidRPr="00F31496">
        <w:rPr>
          <w:rFonts w:ascii="Garamond" w:eastAsia="Times New Roman" w:hAnsi="Garamond" w:cs="Times New Roman"/>
          <w:i/>
          <w:iCs/>
          <w:color w:val="000000"/>
          <w:kern w:val="0"/>
          <w:sz w:val="30"/>
          <w:szCs w:val="30"/>
          <w:lang w:eastAsia="it-IT"/>
          <w14:ligatures w14:val="none"/>
        </w:rPr>
        <w:t xml:space="preserve">la combinazione del livello preesistente di trasparenza e del modo in cui lo scambio modifica tale livello determina pertanto il grado di probabilità che lo scambio di informazioni abbia effetti restrittivi sulla concorrenza. Gli scambi di informazioni all'interno di </w:t>
      </w:r>
      <w:r w:rsidRPr="00F31496">
        <w:rPr>
          <w:rFonts w:ascii="Garamond" w:eastAsia="Times New Roman" w:hAnsi="Garamond" w:cs="Times New Roman"/>
          <w:i/>
          <w:iCs/>
          <w:color w:val="000000"/>
          <w:kern w:val="0"/>
          <w:sz w:val="30"/>
          <w:szCs w:val="30"/>
          <w:lang w:eastAsia="it-IT"/>
          <w14:ligatures w14:val="none"/>
        </w:rPr>
        <w:lastRenderedPageBreak/>
        <w:t>oligopoli rigidi presentano maggiori probabilità di generare effetti restrittivi sulla concorrenza, mentre è meno probabile che gli scambi producano tali effetti restrittivi nel contesto di mercati molto frammentati</w:t>
      </w:r>
      <w:r w:rsidRPr="00F31496">
        <w:rPr>
          <w:rFonts w:ascii="Garamond" w:eastAsia="Times New Roman" w:hAnsi="Garamond" w:cs="Times New Roman"/>
          <w:color w:val="000000"/>
          <w:kern w:val="0"/>
          <w:sz w:val="30"/>
          <w:szCs w:val="30"/>
          <w:lang w:eastAsia="it-IT"/>
          <w14:ligatures w14:val="none"/>
        </w:rPr>
        <w:t>” (cfr. punto 424).</w:t>
      </w:r>
    </w:p>
    <w:p w14:paraId="00D1E2B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Se le informazioni scambiate non rivelano di per sé un grado sufficiente di dannosità per la concorrenza poiché non eliminano incertezze circa il comportamento individuale dei partecipanti sul mercato, occorre valutarne gli effetti sul mercato. A causa della struttura del mercato, dell'ampia quota di mercato detenuta dai partecipanti allo scambio di informazioni, del fatto che le informazioni scambiate riguardano una parte sostanziale dei costi variabili delle imprese, e in particolare se i dati vengono scambiati in forma individualizzata, è probabile che lo scambio di informazioni in questione faciliti un esito collusivo.</w:t>
      </w:r>
    </w:p>
    <w:p w14:paraId="0EF2E19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Nelle Linee si è, preliminarmente, rimarcato che la valutazione del fatto che uno specifico comportamento costituisca o meno una restrizione della concorrenza per oggetto o per effetto è correlata all’individuazione di un “</w:t>
      </w:r>
      <w:r w:rsidRPr="00F31496">
        <w:rPr>
          <w:rFonts w:ascii="Garamond" w:eastAsia="Times New Roman" w:hAnsi="Garamond" w:cs="Times New Roman"/>
          <w:i/>
          <w:iCs/>
          <w:color w:val="000000"/>
          <w:kern w:val="0"/>
          <w:sz w:val="30"/>
          <w:szCs w:val="30"/>
          <w:lang w:eastAsia="it-IT"/>
          <w14:ligatures w14:val="none"/>
        </w:rPr>
        <w:t>centro di gravità</w:t>
      </w:r>
      <w:r w:rsidRPr="00F31496">
        <w:rPr>
          <w:rFonts w:ascii="Garamond" w:eastAsia="Times New Roman" w:hAnsi="Garamond" w:cs="Times New Roman"/>
          <w:color w:val="000000"/>
          <w:kern w:val="0"/>
          <w:sz w:val="30"/>
          <w:szCs w:val="30"/>
          <w:lang w:eastAsia="it-IT"/>
          <w14:ligatures w14:val="none"/>
        </w:rPr>
        <w:t>” che giustifichi ciò che costituisca (o, al limite, appaia costituire) una forma di “</w:t>
      </w:r>
      <w:r w:rsidRPr="00F31496">
        <w:rPr>
          <w:rFonts w:ascii="Garamond" w:eastAsia="Times New Roman" w:hAnsi="Garamond" w:cs="Times New Roman"/>
          <w:i/>
          <w:iCs/>
          <w:color w:val="000000"/>
          <w:kern w:val="0"/>
          <w:sz w:val="30"/>
          <w:szCs w:val="30"/>
          <w:lang w:eastAsia="it-IT"/>
          <w14:ligatures w14:val="none"/>
        </w:rPr>
        <w:t>cooperazione</w:t>
      </w:r>
      <w:r w:rsidRPr="00F31496">
        <w:rPr>
          <w:rFonts w:ascii="Garamond" w:eastAsia="Times New Roman" w:hAnsi="Garamond" w:cs="Times New Roman"/>
          <w:color w:val="000000"/>
          <w:kern w:val="0"/>
          <w:sz w:val="30"/>
          <w:szCs w:val="30"/>
          <w:lang w:eastAsia="it-IT"/>
          <w14:ligatures w14:val="none"/>
        </w:rPr>
        <w:t>”.</w:t>
      </w:r>
    </w:p>
    <w:p w14:paraId="16C6362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Sono state, a tal fine, indicate puntuali finalità cooperative: ricerca e sviluppo; produzione comune o distribuzione comune; specializzazione nella produzione o commercializzazione in comune dei prodotti.</w:t>
      </w:r>
    </w:p>
    <w:p w14:paraId="4D184DA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Tutte finalità, nella specie, insussistenti.</w:t>
      </w:r>
    </w:p>
    <w:p w14:paraId="3867A27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L’Autorità non ha sanzionato un trend percentuale, avendo, si direbbe più banalmente, contestato l’applicazione coordinata di aumenti simultanei e di valore sostanzialmente corrispondente della componente bio, posta in essere quantomeno dal 1° gennaio 2020 al 30 giugno 2023; ed ha, soprattutto, evidenziato che “</w:t>
      </w:r>
      <w:r w:rsidRPr="00F31496">
        <w:rPr>
          <w:rFonts w:ascii="Garamond" w:eastAsia="Times New Roman" w:hAnsi="Garamond" w:cs="Times New Roman"/>
          <w:i/>
          <w:iCs/>
          <w:color w:val="000000"/>
          <w:kern w:val="0"/>
          <w:sz w:val="30"/>
          <w:szCs w:val="30"/>
          <w:lang w:eastAsia="it-IT"/>
          <w14:ligatures w14:val="none"/>
        </w:rPr>
        <w:t>l’intesa realizzata negli anni 2020-2023 si sia sviluppata in un contesto radicalmente diverso rispetto a quello degli anni precedenti</w:t>
      </w:r>
      <w:r w:rsidRPr="00F31496">
        <w:rPr>
          <w:rFonts w:ascii="Garamond" w:eastAsia="Times New Roman" w:hAnsi="Garamond" w:cs="Times New Roman"/>
          <w:color w:val="000000"/>
          <w:kern w:val="0"/>
          <w:sz w:val="30"/>
          <w:szCs w:val="30"/>
          <w:lang w:eastAsia="it-IT"/>
          <w14:ligatures w14:val="none"/>
        </w:rPr>
        <w:t>”, e ciò per via di accadimenti come l’epidemia COVID e la guerra russo-ucraina (cfr. pag. 15 della deliberazione).</w:t>
      </w:r>
    </w:p>
    <w:p w14:paraId="7AD0D0E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Va, perciò, richiamata la specificazione eletta nelle Linee, ossia che “</w:t>
      </w:r>
      <w:r w:rsidRPr="00F31496">
        <w:rPr>
          <w:rFonts w:ascii="Garamond" w:eastAsia="Times New Roman" w:hAnsi="Garamond" w:cs="Times New Roman"/>
          <w:i/>
          <w:iCs/>
          <w:color w:val="000000"/>
          <w:kern w:val="0"/>
          <w:sz w:val="30"/>
          <w:szCs w:val="30"/>
          <w:lang w:eastAsia="it-IT"/>
          <w14:ligatures w14:val="none"/>
        </w:rPr>
        <w:t>quando le imprese presentano costi, clienti, quote di mercato, gamma dei prodotti, capacità, ecc., analoghi, è più probabile che raggiungano un'intesa comune sulle condizioni del coordinamento, in quanto i loro incentivi sono maggiormente allineati. Analogamente, può essere più facile conseguire un esito collusivo in relazione al prezzo di un unico prodotto omogeneo rispetto a numerosi prezzi in un mercato con numerosi prodotti differenziati, anche se gli sviluppi tecnici, quali l'uso di strumenti di monitoraggio dei prezzi, possono facilitare la collusione anche in relazione a prodotti differenziati</w:t>
      </w:r>
      <w:r w:rsidRPr="00F31496">
        <w:rPr>
          <w:rFonts w:ascii="Garamond" w:eastAsia="Times New Roman" w:hAnsi="Garamond" w:cs="Times New Roman"/>
          <w:color w:val="000000"/>
          <w:kern w:val="0"/>
          <w:sz w:val="30"/>
          <w:szCs w:val="30"/>
          <w:lang w:eastAsia="it-IT"/>
          <w14:ligatures w14:val="none"/>
        </w:rPr>
        <w:t>” (cfr. punto 412).</w:t>
      </w:r>
    </w:p>
    <w:p w14:paraId="37EBED3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Nella specie, l’Autorità ha concluso che “</w:t>
      </w:r>
      <w:r w:rsidRPr="00F31496">
        <w:rPr>
          <w:rFonts w:ascii="Garamond" w:eastAsia="Times New Roman" w:hAnsi="Garamond" w:cs="Times New Roman"/>
          <w:i/>
          <w:iCs/>
          <w:color w:val="000000"/>
          <w:kern w:val="0"/>
          <w:sz w:val="30"/>
          <w:szCs w:val="30"/>
          <w:lang w:eastAsia="it-IT"/>
          <w14:ligatures w14:val="none"/>
        </w:rPr>
        <w:t>ENI, KUWAIT, ESSO, TAMOIL, IP e SARAS hanno preso parte a una pratica concordata che ha avuto a oggetto l’applicazione di aumenti simultanei e coordinati del valore della componente bio a partire dal 1°gennaio 2020. La condotta è stata pienamente attuata ed ha coinvolto tutte le transazioni avvenute tra le compagnie e i loro clienti a valle, con esclusione, quindi, dei soli rapporti tra compagnie c.d. “supply”</w:t>
      </w:r>
      <w:r w:rsidRPr="00F31496">
        <w:rPr>
          <w:rFonts w:ascii="Garamond" w:eastAsia="Times New Roman" w:hAnsi="Garamond" w:cs="Times New Roman"/>
          <w:color w:val="000000"/>
          <w:kern w:val="0"/>
          <w:sz w:val="30"/>
          <w:szCs w:val="30"/>
          <w:lang w:eastAsia="it-IT"/>
          <w14:ligatures w14:val="none"/>
        </w:rPr>
        <w:t>”.</w:t>
      </w:r>
    </w:p>
    <w:p w14:paraId="70F7233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Sulla scorta della giurisprudenza sopra richiamata, lo scambio di informazioni ha potuto facilitare la collusione contribuendo alla comprensione reciproca di un sistema di ricompensa/punizione caratteristico degli accordi collusivi.</w:t>
      </w:r>
    </w:p>
    <w:p w14:paraId="540F4B4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Ed anche la trasparenza valorizzata in chiave giustificativa è stata dall’Autorità stigmatizzata come “</w:t>
      </w:r>
      <w:r w:rsidRPr="00F31496">
        <w:rPr>
          <w:rFonts w:ascii="Garamond" w:eastAsia="Times New Roman" w:hAnsi="Garamond" w:cs="Times New Roman"/>
          <w:i/>
          <w:iCs/>
          <w:color w:val="000000"/>
          <w:kern w:val="0"/>
          <w:sz w:val="30"/>
          <w:szCs w:val="30"/>
          <w:lang w:eastAsia="it-IT"/>
          <w14:ligatures w14:val="none"/>
        </w:rPr>
        <w:t>artificiosa</w:t>
      </w:r>
      <w:r w:rsidRPr="00F31496">
        <w:rPr>
          <w:rFonts w:ascii="Garamond" w:eastAsia="Times New Roman" w:hAnsi="Garamond" w:cs="Times New Roman"/>
          <w:color w:val="000000"/>
          <w:kern w:val="0"/>
          <w:sz w:val="30"/>
          <w:szCs w:val="30"/>
          <w:lang w:eastAsia="it-IT"/>
          <w14:ligatures w14:val="none"/>
        </w:rPr>
        <w:t>”.</w:t>
      </w:r>
    </w:p>
    <w:p w14:paraId="69C7A92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Ciò, anzitutto, poiché per la giurisprudenza comunitaria anche il comportamento passivo dell’impresa che si limiti a partecipare ad una riunione in cui vengono scambiate informazioni sulla condotta di mercato dei propri concorrenti senza prendere pubblicamente posizione contro tale atteggiamento, può integrare una pratica concertata rilevante ai fini antitrust (cfr. Corte di Giustizia UE, 12 luglio 2001, T-202/98, T-204/98, Tate &amp; Lyle and others v. Commission). Non è, pertanto, decisivo un accordo esplicito, o meno, all’intesa anticoncorrenziale.</w:t>
      </w:r>
    </w:p>
    <w:p w14:paraId="2BB1062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In seconda battuta, sebbene attuatasi in una forma “pubblicizzata”, cioè mediante la pubblicazione sul giornale “Staffetta Quotidiana”, nella complessiva valutazione </w:t>
      </w:r>
      <w:r w:rsidRPr="00F31496">
        <w:rPr>
          <w:rFonts w:ascii="Garamond" w:eastAsia="Times New Roman" w:hAnsi="Garamond" w:cs="Times New Roman"/>
          <w:color w:val="000000"/>
          <w:kern w:val="0"/>
          <w:sz w:val="30"/>
          <w:szCs w:val="30"/>
          <w:lang w:eastAsia="it-IT"/>
          <w14:ligatures w14:val="none"/>
        </w:rPr>
        <w:lastRenderedPageBreak/>
        <w:t>della vicenda controversa non muta l’effetto anticoncorrenziale dato dalla cristallizzazione di una situazione di vantaggio, quest’ultimo specificato dall’Autorità nell’impugnato provvedimento (“</w:t>
      </w:r>
      <w:r w:rsidRPr="00F31496">
        <w:rPr>
          <w:rFonts w:ascii="Garamond" w:eastAsia="Times New Roman" w:hAnsi="Garamond" w:cs="Times New Roman"/>
          <w:i/>
          <w:iCs/>
          <w:color w:val="000000"/>
          <w:kern w:val="0"/>
          <w:sz w:val="30"/>
          <w:szCs w:val="30"/>
          <w:lang w:eastAsia="it-IT"/>
          <w14:ligatures w14:val="none"/>
        </w:rPr>
        <w:t>la concertazione sul valore della componente bio ha garantito un’agevole attuazione del cartello grazie alla possibilità di verificarne l’adesione, contrariamente a quanto sarebbe accaduto con un’intesa sul prezzo finale del carburante, di più complessa implementazione anche alla luce delle oscillazioni giornaliere che avrebbero potuto ostacolarne il monitoraggio</w:t>
      </w:r>
      <w:r w:rsidRPr="00F31496">
        <w:rPr>
          <w:rFonts w:ascii="Garamond" w:eastAsia="Times New Roman" w:hAnsi="Garamond" w:cs="Times New Roman"/>
          <w:color w:val="000000"/>
          <w:kern w:val="0"/>
          <w:sz w:val="30"/>
          <w:szCs w:val="30"/>
          <w:lang w:eastAsia="it-IT"/>
          <w14:ligatures w14:val="none"/>
        </w:rPr>
        <w:t>”).</w:t>
      </w:r>
    </w:p>
    <w:p w14:paraId="4145B67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Un parallelismo qualificato (tradottosi nella “</w:t>
      </w:r>
      <w:r w:rsidRPr="00F31496">
        <w:rPr>
          <w:rFonts w:ascii="Garamond" w:eastAsia="Times New Roman" w:hAnsi="Garamond" w:cs="Times New Roman"/>
          <w:i/>
          <w:iCs/>
          <w:color w:val="000000"/>
          <w:kern w:val="0"/>
          <w:sz w:val="30"/>
          <w:szCs w:val="30"/>
          <w:lang w:eastAsia="it-IT"/>
          <w14:ligatures w14:val="none"/>
        </w:rPr>
        <w:t>applicazione coordinata di aumenti simultanei e di valore sostanzialmente corrispondente della componente bio, posta in essere quantomeno dal 1° gennaio 2020 al 30 giugno 2023</w:t>
      </w:r>
      <w:r w:rsidRPr="00F31496">
        <w:rPr>
          <w:rFonts w:ascii="Garamond" w:eastAsia="Times New Roman" w:hAnsi="Garamond" w:cs="Times New Roman"/>
          <w:color w:val="000000"/>
          <w:kern w:val="0"/>
          <w:sz w:val="30"/>
          <w:szCs w:val="30"/>
          <w:lang w:eastAsia="it-IT"/>
          <w14:ligatures w14:val="none"/>
        </w:rPr>
        <w:t>”, cfr. pag. 136 della deliberazione), che ha condotto a condizioni di concorrenza non corrispondenti a quelle che si sarebbero potute generare per effetto di libere dinamiche del mercato, così finendo per consolidare “</w:t>
      </w:r>
      <w:r w:rsidRPr="00F31496">
        <w:rPr>
          <w:rFonts w:ascii="Garamond" w:eastAsia="Times New Roman" w:hAnsi="Garamond" w:cs="Times New Roman"/>
          <w:i/>
          <w:iCs/>
          <w:color w:val="000000"/>
          <w:kern w:val="0"/>
          <w:sz w:val="30"/>
          <w:szCs w:val="30"/>
          <w:lang w:eastAsia="it-IT"/>
          <w14:ligatures w14:val="none"/>
        </w:rPr>
        <w:t>le posizioni acquisite, a detrimento dell’effettiva libertà di circolazione delle merci nel mercato comune e della libera scelta dei fornitori da parte dei consumatori</w:t>
      </w:r>
      <w:r w:rsidRPr="00F31496">
        <w:rPr>
          <w:rFonts w:ascii="Garamond" w:eastAsia="Times New Roman" w:hAnsi="Garamond" w:cs="Times New Roman"/>
          <w:color w:val="000000"/>
          <w:kern w:val="0"/>
          <w:sz w:val="30"/>
          <w:szCs w:val="30"/>
          <w:lang w:eastAsia="it-IT"/>
          <w14:ligatures w14:val="none"/>
        </w:rPr>
        <w:t>” (cfr. Corte di Giustizia UE, 14 luglio 1972, causa 48/69).</w:t>
      </w:r>
    </w:p>
    <w:p w14:paraId="2A77060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tutto per finalità aliene dal contesto di un accordo verticale o di un processo di acquisizione: di talché, “</w:t>
      </w:r>
      <w:r w:rsidRPr="00F31496">
        <w:rPr>
          <w:rFonts w:ascii="Garamond" w:eastAsia="Times New Roman" w:hAnsi="Garamond" w:cs="Times New Roman"/>
          <w:i/>
          <w:iCs/>
          <w:color w:val="000000"/>
          <w:kern w:val="0"/>
          <w:sz w:val="30"/>
          <w:szCs w:val="30"/>
          <w:lang w:eastAsia="it-IT"/>
          <w14:ligatures w14:val="none"/>
        </w:rPr>
        <w:t>qualsiasi comportamento restrittivo della concorrenza che non sia direttamente connesso e necessario all'attuazione dell'acquisizione del controllo resta soggetto all'articolo 101 del trattato</w:t>
      </w:r>
      <w:r w:rsidRPr="00F31496">
        <w:rPr>
          <w:rFonts w:ascii="Garamond" w:eastAsia="Times New Roman" w:hAnsi="Garamond" w:cs="Times New Roman"/>
          <w:color w:val="000000"/>
          <w:kern w:val="0"/>
          <w:sz w:val="30"/>
          <w:szCs w:val="30"/>
          <w:lang w:eastAsia="it-IT"/>
          <w14:ligatures w14:val="none"/>
        </w:rPr>
        <w:t>” (cfr. punto 371). E senza contare che la natura dell’intesa restrittiva della concorrenza integra “una fattispecie di pericolo, nel senso che il </w:t>
      </w:r>
      <w:r w:rsidRPr="00F31496">
        <w:rPr>
          <w:rFonts w:ascii="Garamond" w:eastAsia="Times New Roman" w:hAnsi="Garamond" w:cs="Times New Roman"/>
          <w:i/>
          <w:iCs/>
          <w:color w:val="000000"/>
          <w:kern w:val="0"/>
          <w:sz w:val="30"/>
          <w:szCs w:val="30"/>
          <w:lang w:eastAsia="it-IT"/>
          <w14:ligatures w14:val="none"/>
        </w:rPr>
        <w:t>vulnus </w:t>
      </w:r>
      <w:r w:rsidRPr="00F31496">
        <w:rPr>
          <w:rFonts w:ascii="Garamond" w:eastAsia="Times New Roman" w:hAnsi="Garamond" w:cs="Times New Roman"/>
          <w:color w:val="000000"/>
          <w:kern w:val="0"/>
          <w:sz w:val="30"/>
          <w:szCs w:val="30"/>
          <w:lang w:eastAsia="it-IT"/>
          <w14:ligatures w14:val="none"/>
        </w:rPr>
        <w:t>al libero gioco della concorrenza può essere di natura soltanto potenziale e non deve necessariamente essersi già consumato (Consiglio di Stato, Sez. VI, 13 giugno 2014, n. 3032; id., 24 ottobre 2014, nn. 5274, 5275, 5276, 5277, 5278)” (cfr. Consiglio di Stato, sez. VI, 10 gennaio 2020, n. 236).</w:t>
      </w:r>
    </w:p>
    <w:p w14:paraId="332FC10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Pure rimarchevole risulta, nella specie, la frequenza degli scambi di informazioni, tale da non poter escludere il rilevato intento collusivo (sul punto, l’Autorità ha </w:t>
      </w:r>
      <w:r w:rsidRPr="00F31496">
        <w:rPr>
          <w:rFonts w:ascii="Garamond" w:eastAsia="Times New Roman" w:hAnsi="Garamond" w:cs="Times New Roman"/>
          <w:color w:val="000000"/>
          <w:kern w:val="0"/>
          <w:sz w:val="30"/>
          <w:szCs w:val="30"/>
          <w:lang w:eastAsia="it-IT"/>
          <w14:ligatures w14:val="none"/>
        </w:rPr>
        <w:lastRenderedPageBreak/>
        <w:t>contestato che si sarebbe trattato di “</w:t>
      </w:r>
      <w:r w:rsidRPr="00F31496">
        <w:rPr>
          <w:rFonts w:ascii="Garamond" w:eastAsia="Times New Roman" w:hAnsi="Garamond" w:cs="Times New Roman"/>
          <w:i/>
          <w:iCs/>
          <w:color w:val="000000"/>
          <w:kern w:val="0"/>
          <w:sz w:val="30"/>
          <w:szCs w:val="30"/>
          <w:lang w:eastAsia="it-IT"/>
          <w14:ligatures w14:val="none"/>
        </w:rPr>
        <w:t>verifiche dirette con i concorrenti</w:t>
      </w:r>
      <w:r w:rsidRPr="00F31496">
        <w:rPr>
          <w:rFonts w:ascii="Garamond" w:eastAsia="Times New Roman" w:hAnsi="Garamond" w:cs="Times New Roman"/>
          <w:color w:val="000000"/>
          <w:kern w:val="0"/>
          <w:sz w:val="30"/>
          <w:szCs w:val="30"/>
          <w:lang w:eastAsia="it-IT"/>
          <w14:ligatures w14:val="none"/>
        </w:rPr>
        <w:t>”, cfr. pag. 159 della deliberazione).</w:t>
      </w:r>
    </w:p>
    <w:p w14:paraId="4A0C9B4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Anche sotto tale aspetto, la giurisprudenza ha statuito che “</w:t>
      </w:r>
      <w:r w:rsidRPr="00F31496">
        <w:rPr>
          <w:rFonts w:ascii="Garamond" w:eastAsia="Times New Roman" w:hAnsi="Garamond" w:cs="Times New Roman"/>
          <w:i/>
          <w:iCs/>
          <w:color w:val="000000"/>
          <w:kern w:val="0"/>
          <w:sz w:val="30"/>
          <w:szCs w:val="30"/>
          <w:lang w:eastAsia="it-IT"/>
          <w14:ligatures w14:val="none"/>
        </w:rPr>
        <w:t>la frequenza, la periodicità e la forma dei contatti fra concorrenti necessari affinché abbia luogo una concertazione del loro comportamento sul mercato dipendono sia dall’oggetto della concertazione, sia dalle corrispondenti condizioni di mercato. Infatti, se gli operatori interessati istituiscono un’intesa con un sistema complesso di concertazione su una pluralità di aspetti del loro comportamento sul mercato, potranno essere necessari contatti regolari che si estendono sul lungo periodo</w:t>
      </w:r>
      <w:r w:rsidRPr="00F31496">
        <w:rPr>
          <w:rFonts w:ascii="Garamond" w:eastAsia="Times New Roman" w:hAnsi="Garamond" w:cs="Times New Roman"/>
          <w:color w:val="000000"/>
          <w:kern w:val="0"/>
          <w:sz w:val="30"/>
          <w:szCs w:val="30"/>
          <w:lang w:eastAsia="it-IT"/>
          <w14:ligatures w14:val="none"/>
        </w:rPr>
        <w:t>”; ma che nell’ipotesi in cui “</w:t>
      </w:r>
      <w:r w:rsidRPr="00F31496">
        <w:rPr>
          <w:rFonts w:ascii="Garamond" w:eastAsia="Times New Roman" w:hAnsi="Garamond" w:cs="Times New Roman"/>
          <w:i/>
          <w:iCs/>
          <w:color w:val="000000"/>
          <w:kern w:val="0"/>
          <w:sz w:val="30"/>
          <w:szCs w:val="30"/>
          <w:lang w:eastAsia="it-IT"/>
          <w14:ligatures w14:val="none"/>
        </w:rPr>
        <w:t>la concertazione è puntuale e mira ad un’armonizzazione una tantum del comportamento sul mercato in ordine a un singolo parametro concorrenziale, anche una sola presa di contatto potrà essere sufficiente a realizzare lo scopo anticoncorrenziale perseguito dagli operatori interessati</w:t>
      </w:r>
      <w:r w:rsidRPr="00F31496">
        <w:rPr>
          <w:rFonts w:ascii="Garamond" w:eastAsia="Times New Roman" w:hAnsi="Garamond" w:cs="Times New Roman"/>
          <w:color w:val="000000"/>
          <w:kern w:val="0"/>
          <w:sz w:val="30"/>
          <w:szCs w:val="30"/>
          <w:lang w:eastAsia="it-IT"/>
          <w14:ligatures w14:val="none"/>
        </w:rPr>
        <w:t>” (cfr. Corte di Giustizia UE, 4 giugno 2009, C-0/08).</w:t>
      </w:r>
    </w:p>
    <w:p w14:paraId="60AEEBE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Un ulteriore – e decisivo – avallo alla fondatezza del parallelismo, quest’ultimo fortemente contestato in sede di giudizio e ribadito in occasione dell’udienza finale, deriva dall’applicazione del coefficiente di correlazione: una metodica, conosciuta sin dall’esperienza scolastica, che nella specie consente, sulla base dei macrodati indicati dall’Autorità nelle tabelle 9 e 10, di enucleare un riscontro oggettivamente definito, oltre la fisiologica soglia del legittimo contraddittorio processuale.</w:t>
      </w:r>
    </w:p>
    <w:p w14:paraId="319D04B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L’analisi di correlazione fra due variabili (x; y) indica la tendenza delle due variabili a variare insieme: se aumenta l’una e l’altra aumenta si parla di correlazione positiva; se aumenta l’una e l’altra diminuisce si parla di correlazione negativa.</w:t>
      </w:r>
    </w:p>
    <w:p w14:paraId="6FC9B2D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correlazione può essere calcolata attraverso la formula classica (Pearson) del coefficiente di correlazione (r xy):</w:t>
      </w:r>
    </w:p>
    <w:p w14:paraId="27DFF42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r xy = nΣ[(xi - x</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)(yi - </w:t>
      </w:r>
      <w:r w:rsidRPr="00F31496">
        <w:rPr>
          <w:rFonts w:ascii="Cambria" w:eastAsia="Times New Roman" w:hAnsi="Cambria" w:cs="Cambria"/>
          <w:color w:val="000000"/>
          <w:kern w:val="0"/>
          <w:sz w:val="30"/>
          <w:szCs w:val="30"/>
          <w:lang w:eastAsia="it-IT"/>
          <w14:ligatures w14:val="none"/>
        </w:rPr>
        <w:t>ȳ</w:t>
      </w:r>
      <w:r w:rsidRPr="00F31496">
        <w:rPr>
          <w:rFonts w:ascii="Garamond" w:eastAsia="Times New Roman" w:hAnsi="Garamond" w:cs="Times New Roman"/>
          <w:color w:val="000000"/>
          <w:kern w:val="0"/>
          <w:sz w:val="30"/>
          <w:szCs w:val="30"/>
          <w:lang w:eastAsia="it-IT"/>
          <w14:ligatures w14:val="none"/>
        </w:rPr>
        <w:t xml:space="preserve">)] / </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[n</w:t>
      </w:r>
      <w:r w:rsidRPr="00F31496">
        <w:rPr>
          <w:rFonts w:ascii="Garamond" w:eastAsia="Times New Roman" w:hAnsi="Garamond" w:cs="Garamond"/>
          <w:color w:val="000000"/>
          <w:kern w:val="0"/>
          <w:sz w:val="30"/>
          <w:szCs w:val="30"/>
          <w:lang w:eastAsia="it-IT"/>
          <w14:ligatures w14:val="none"/>
        </w:rPr>
        <w:t>Σ</w:t>
      </w:r>
      <w:r w:rsidRPr="00F31496">
        <w:rPr>
          <w:rFonts w:ascii="Garamond" w:eastAsia="Times New Roman" w:hAnsi="Garamond" w:cs="Times New Roman"/>
          <w:color w:val="000000"/>
          <w:kern w:val="0"/>
          <w:sz w:val="30"/>
          <w:szCs w:val="30"/>
          <w:lang w:eastAsia="it-IT"/>
          <w14:ligatures w14:val="none"/>
        </w:rPr>
        <w:t>(xi - x</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w:t>
      </w:r>
      <w:r w:rsidRPr="00F31496">
        <w:rPr>
          <w:rFonts w:ascii="Garamond" w:eastAsia="Times New Roman" w:hAnsi="Garamond" w:cs="Garamond"/>
          <w:color w:val="000000"/>
          <w:kern w:val="0"/>
          <w:sz w:val="30"/>
          <w:szCs w:val="30"/>
          <w:lang w:eastAsia="it-IT"/>
          <w14:ligatures w14:val="none"/>
        </w:rPr>
        <w:t>²</w:t>
      </w:r>
      <w:r w:rsidRPr="00F31496">
        <w:rPr>
          <w:rFonts w:ascii="Garamond" w:eastAsia="Times New Roman" w:hAnsi="Garamond" w:cs="Times New Roman"/>
          <w:color w:val="000000"/>
          <w:kern w:val="0"/>
          <w:sz w:val="30"/>
          <w:szCs w:val="30"/>
          <w:lang w:eastAsia="it-IT"/>
          <w14:ligatures w14:val="none"/>
        </w:rPr>
        <w:t xml:space="preserve"> </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n</w:t>
      </w:r>
      <w:r w:rsidRPr="00F31496">
        <w:rPr>
          <w:rFonts w:ascii="Garamond" w:eastAsia="Times New Roman" w:hAnsi="Garamond" w:cs="Garamond"/>
          <w:color w:val="000000"/>
          <w:kern w:val="0"/>
          <w:sz w:val="30"/>
          <w:szCs w:val="30"/>
          <w:lang w:eastAsia="it-IT"/>
          <w14:ligatures w14:val="none"/>
        </w:rPr>
        <w:t>Σ</w:t>
      </w:r>
      <w:r w:rsidRPr="00F31496">
        <w:rPr>
          <w:rFonts w:ascii="Garamond" w:eastAsia="Times New Roman" w:hAnsi="Garamond" w:cs="Times New Roman"/>
          <w:color w:val="000000"/>
          <w:kern w:val="0"/>
          <w:sz w:val="30"/>
          <w:szCs w:val="30"/>
          <w:lang w:eastAsia="it-IT"/>
          <w14:ligatures w14:val="none"/>
        </w:rPr>
        <w:t xml:space="preserve">(yi - </w:t>
      </w:r>
      <w:r w:rsidRPr="00F31496">
        <w:rPr>
          <w:rFonts w:ascii="Cambria" w:eastAsia="Times New Roman" w:hAnsi="Cambria" w:cs="Cambria"/>
          <w:color w:val="000000"/>
          <w:kern w:val="0"/>
          <w:sz w:val="30"/>
          <w:szCs w:val="30"/>
          <w:lang w:eastAsia="it-IT"/>
          <w14:ligatures w14:val="none"/>
        </w:rPr>
        <w:t>ȳ</w:t>
      </w:r>
      <w:r w:rsidRPr="00F31496">
        <w:rPr>
          <w:rFonts w:ascii="Garamond" w:eastAsia="Times New Roman" w:hAnsi="Garamond" w:cs="Times New Roman"/>
          <w:color w:val="000000"/>
          <w:kern w:val="0"/>
          <w:sz w:val="30"/>
          <w:szCs w:val="30"/>
          <w:lang w:eastAsia="it-IT"/>
          <w14:ligatures w14:val="none"/>
        </w:rPr>
        <w:t>)</w:t>
      </w:r>
      <w:r w:rsidRPr="00F31496">
        <w:rPr>
          <w:rFonts w:ascii="Garamond" w:eastAsia="Times New Roman" w:hAnsi="Garamond" w:cs="Garamond"/>
          <w:color w:val="000000"/>
          <w:kern w:val="0"/>
          <w:sz w:val="30"/>
          <w:szCs w:val="30"/>
          <w:lang w:eastAsia="it-IT"/>
          <w14:ligatures w14:val="none"/>
        </w:rPr>
        <w:t>²</w:t>
      </w:r>
      <w:r w:rsidRPr="00F31496">
        <w:rPr>
          <w:rFonts w:ascii="Garamond" w:eastAsia="Times New Roman" w:hAnsi="Garamond" w:cs="Times New Roman"/>
          <w:color w:val="000000"/>
          <w:kern w:val="0"/>
          <w:sz w:val="30"/>
          <w:szCs w:val="30"/>
          <w:lang w:eastAsia="it-IT"/>
          <w14:ligatures w14:val="none"/>
        </w:rPr>
        <w:t>]</w:t>
      </w:r>
    </w:p>
    <w:p w14:paraId="55A709D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ove:</w:t>
      </w:r>
    </w:p>
    <w:p w14:paraId="0431260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 (x_i, y_i) è, nel nostro caso, la coppia dell’aumento dei prezzi all’i-esimo trimestre (esempio: x_i = aumento prezzi ENI al 1Q 2022; y_i= aumento prezzi IP al 1Q 2022)</w:t>
      </w:r>
    </w:p>
    <w:p w14:paraId="6C8C480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‘n’ è il numero dei trimestri dal 1Q 2019 al 2Q 2023;</w:t>
      </w:r>
    </w:p>
    <w:p w14:paraId="5CB4604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 xml:space="preserve">- (x,)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y </w:t>
      </w:r>
      <w:r w:rsidRPr="00F31496">
        <w:rPr>
          <w:rFonts w:ascii="Times New Roman" w:eastAsia="Times New Roman" w:hAnsi="Times New Roman" w:cs="Times New Roman"/>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le medie fra le </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n</w:t>
      </w:r>
      <w:r w:rsidRPr="00F31496">
        <w:rPr>
          <w:rFonts w:ascii="Garamond" w:eastAsia="Times New Roman" w:hAnsi="Garamond" w:cs="Garamond"/>
          <w:color w:val="000000"/>
          <w:kern w:val="0"/>
          <w:sz w:val="30"/>
          <w:szCs w:val="30"/>
          <w:lang w:eastAsia="it-IT"/>
          <w14:ligatures w14:val="none"/>
        </w:rPr>
        <w:t>’</w:t>
      </w:r>
      <w:r w:rsidRPr="00F31496">
        <w:rPr>
          <w:rFonts w:ascii="Garamond" w:eastAsia="Times New Roman" w:hAnsi="Garamond" w:cs="Times New Roman"/>
          <w:color w:val="000000"/>
          <w:kern w:val="0"/>
          <w:sz w:val="30"/>
          <w:szCs w:val="30"/>
          <w:lang w:eastAsia="it-IT"/>
          <w14:ligatures w14:val="none"/>
        </w:rPr>
        <w:t xml:space="preserve"> osservazioni (x_i, y_i).</w:t>
      </w:r>
    </w:p>
    <w:p w14:paraId="0EDE69E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coefficiente misura le relazioni lineari fra due variabili che, in generale, potrebbero essere legate da una relazione causale complessa (cioè, non lineare), non immediatamente evincibile sulla scorta di un’analisi statistica.</w:t>
      </w:r>
    </w:p>
    <w:p w14:paraId="05924C5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valore del coefficiente (r_xy), quindi l’esito dell’esame dell’intensità e direzione della correlazione fra due variabili in relazione lineare fra loro, può assumere valori compresi fra -1 e +1; quanto più r_xy si avvicina a -1 o a +1, tanto più forte è la correlazione; per r_xy=0 non c’è correlazione.</w:t>
      </w:r>
    </w:p>
    <w:p w14:paraId="5886812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È bene precisare che il coefficiente di correlazione non postula un nesso di causa -effetto, ma permette di affermare dalla osservazione dei dati se tra due variabili c’è una relazione lineare.</w:t>
      </w:r>
    </w:p>
    <w:p w14:paraId="3B15010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che, ad avviso del Collegio, assume un’importanza ricostruttiva ancora maggiore.</w:t>
      </w:r>
    </w:p>
    <w:p w14:paraId="2FD4E67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Nella specie, prendendo in esame il periodo di tempo assunto dall’Autorità, si riscontrano correlazioni positive e generalmente forti fra gli aumenti di prezzi di ENI e l’aumento dei prezzi delle altre imprese.</w:t>
      </w:r>
    </w:p>
    <w:p w14:paraId="159A78A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Si prendano, allora, i valori indicati nella tabella 9 (“</w:t>
      </w:r>
      <w:r w:rsidRPr="00F31496">
        <w:rPr>
          <w:rFonts w:ascii="Garamond" w:eastAsia="Times New Roman" w:hAnsi="Garamond" w:cs="Times New Roman"/>
          <w:i/>
          <w:iCs/>
          <w:color w:val="000000"/>
          <w:kern w:val="0"/>
          <w:sz w:val="30"/>
          <w:szCs w:val="30"/>
          <w:lang w:eastAsia="it-IT"/>
          <w14:ligatures w14:val="none"/>
        </w:rPr>
        <w:t>Rete: Aumenti praticati ai clienti e frequenza % aumenti, 2019-2023</w:t>
      </w:r>
      <w:r w:rsidRPr="00F31496">
        <w:rPr>
          <w:rFonts w:ascii="Garamond" w:eastAsia="Times New Roman" w:hAnsi="Garamond" w:cs="Times New Roman"/>
          <w:color w:val="000000"/>
          <w:kern w:val="0"/>
          <w:sz w:val="30"/>
          <w:szCs w:val="30"/>
          <w:lang w:eastAsia="it-IT"/>
          <w14:ligatures w14:val="none"/>
        </w:rPr>
        <w:t>”) di pag. 34 della delibera.</w:t>
      </w:r>
    </w:p>
    <w:p w14:paraId="6212E66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Anche, supponendo che fra gli incrementi dei prezzi di IP, KWAIT, Tamoil ed ESSO e quelli di ENI non possano essere relazioni strutturali di causa – effetto, nondimeno emergono coefficienti di correlazione di tenore inequivocabile:</w:t>
      </w:r>
    </w:p>
    <w:p w14:paraId="0A1DA116"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ENI – IP: 0,979</w:t>
      </w:r>
    </w:p>
    <w:p w14:paraId="2DB98E27"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ENI – KUWAIT: 0,792;</w:t>
      </w:r>
    </w:p>
    <w:p w14:paraId="428F3AB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ENI – TAMOIL: 0,539;</w:t>
      </w:r>
    </w:p>
    <w:p w14:paraId="0BCD7D4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ENI – ESSO: 0,969.</w:t>
      </w:r>
    </w:p>
    <w:p w14:paraId="654C59C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Tali risultanze sono da considerare perfettamente in linea con quanto rilevato dall’Autorità, ossia che “</w:t>
      </w:r>
      <w:r w:rsidRPr="00F31496">
        <w:rPr>
          <w:rFonts w:ascii="Garamond" w:eastAsia="Times New Roman" w:hAnsi="Garamond" w:cs="Times New Roman"/>
          <w:i/>
          <w:iCs/>
          <w:color w:val="000000"/>
          <w:kern w:val="0"/>
          <w:sz w:val="30"/>
          <w:szCs w:val="30"/>
          <w:lang w:eastAsia="it-IT"/>
          <w14:ligatures w14:val="none"/>
        </w:rPr>
        <w:t>nel canale rete, nel corso dell’anno, dopo il perfetto allineamento a 26€/mc, tutte le società continuano ad aumentare i prezzi in maniera allineata. In particolare, ENI, IP e KUWAIT seguono dinamiche del tutto identiche nei primi trimestri del 2020, mentre TAMOIL appare seguire i concorrenti negli adeguamenti dei prezzi con un trimestre di ritardo. Si noti che, come già rappresentato nella parte in fatto, TAMOIL aveva dei vincoli contrattuali stringenti sia per la rete che per l’extra-rete. In particolare, i contratti prevedevano spesso un tetto massimo o un prezzo fisso della componente bio, e ciò ne ha di fatto impedito il completo adeguamento (immediato) ai prezzi dei concorrenti. Alcuni contratti, inoltre, prevedevano dei conguagli a fine anno e ciò lascia presumere che ci sia stato un adeguamento tardivo che ha consentito alla società di recuperare i mancati aumenti</w:t>
      </w:r>
      <w:r w:rsidRPr="00F31496">
        <w:rPr>
          <w:rFonts w:ascii="Garamond" w:eastAsia="Times New Roman" w:hAnsi="Garamond" w:cs="Times New Roman"/>
          <w:color w:val="000000"/>
          <w:kern w:val="0"/>
          <w:sz w:val="30"/>
          <w:szCs w:val="30"/>
          <w:lang w:eastAsia="it-IT"/>
          <w14:ligatures w14:val="none"/>
        </w:rPr>
        <w:t>” (cfr. punto 389).</w:t>
      </w:r>
    </w:p>
    <w:p w14:paraId="3D1DBFC0"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Discorso analogo, con le medesime avvertenze metodologiche, va operato per i valori indicati nella tabella 10 (“</w:t>
      </w:r>
      <w:r w:rsidRPr="00F31496">
        <w:rPr>
          <w:rFonts w:ascii="Garamond" w:eastAsia="Times New Roman" w:hAnsi="Garamond" w:cs="Times New Roman"/>
          <w:i/>
          <w:iCs/>
          <w:color w:val="000000"/>
          <w:kern w:val="0"/>
          <w:sz w:val="30"/>
          <w:szCs w:val="30"/>
          <w:lang w:eastAsia="it-IT"/>
          <w14:ligatures w14:val="none"/>
        </w:rPr>
        <w:t>Extra - rete: Aumenti praticati ai clienti e frequenza % aumenti, 2019-2023</w:t>
      </w:r>
      <w:r w:rsidRPr="00F31496">
        <w:rPr>
          <w:rFonts w:ascii="Garamond" w:eastAsia="Times New Roman" w:hAnsi="Garamond" w:cs="Times New Roman"/>
          <w:color w:val="000000"/>
          <w:kern w:val="0"/>
          <w:sz w:val="30"/>
          <w:szCs w:val="30"/>
          <w:lang w:eastAsia="it-IT"/>
          <w14:ligatures w14:val="none"/>
        </w:rPr>
        <w:t>”) di pag. 35 della delibera.</w:t>
      </w:r>
    </w:p>
    <w:p w14:paraId="3951FE0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Dai dati in tabella emergono coefficienti di correlazione di tenore inequivocabile:</w:t>
      </w:r>
    </w:p>
    <w:p w14:paraId="198AD46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ENI – IP: 0,854</w:t>
      </w:r>
    </w:p>
    <w:p w14:paraId="7E03D51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ENI – KUWAIT: 0,752;</w:t>
      </w:r>
    </w:p>
    <w:p w14:paraId="7413242E"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ENI – TAMOIL: 0,722;</w:t>
      </w:r>
    </w:p>
    <w:p w14:paraId="1D5FDB8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ENI – SARAS: 0,812</w:t>
      </w:r>
    </w:p>
    <w:p w14:paraId="01762D7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ENI – ESSO: 0,938.</w:t>
      </w:r>
    </w:p>
    <w:p w14:paraId="2DBA7955"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Si deve, allora, evidenziare che i risultati dell’applicazione del coefficiente di correlazione integrano in modo decisivo (e coerente) i risultati già esposti da AGCM nelle tabelle (7; 8, cfr. pagg. 32 – 33) che riportano “</w:t>
      </w:r>
      <w:r w:rsidRPr="00F31496">
        <w:rPr>
          <w:rFonts w:ascii="Garamond" w:eastAsia="Times New Roman" w:hAnsi="Garamond" w:cs="Times New Roman"/>
          <w:i/>
          <w:iCs/>
          <w:color w:val="000000"/>
          <w:kern w:val="0"/>
          <w:sz w:val="30"/>
          <w:szCs w:val="30"/>
          <w:lang w:eastAsia="it-IT"/>
          <w14:ligatures w14:val="none"/>
        </w:rPr>
        <w:t>l’indice di convergenza relativa in percentuale relativa su base trimestrale, per Società</w:t>
      </w:r>
      <w:r w:rsidRPr="00F31496">
        <w:rPr>
          <w:rFonts w:ascii="Garamond" w:eastAsia="Times New Roman" w:hAnsi="Garamond" w:cs="Times New Roman"/>
          <w:color w:val="000000"/>
          <w:kern w:val="0"/>
          <w:sz w:val="30"/>
          <w:szCs w:val="30"/>
          <w:lang w:eastAsia="it-IT"/>
          <w14:ligatures w14:val="none"/>
        </w:rPr>
        <w:t>”, rispettivamente per la rete e per l’extrarete, e sulla base delle quali “</w:t>
      </w:r>
      <w:r w:rsidRPr="00F31496">
        <w:rPr>
          <w:rFonts w:ascii="Garamond" w:eastAsia="Times New Roman" w:hAnsi="Garamond" w:cs="Times New Roman"/>
          <w:i/>
          <w:iCs/>
          <w:color w:val="000000"/>
          <w:kern w:val="0"/>
          <w:sz w:val="30"/>
          <w:szCs w:val="30"/>
          <w:lang w:eastAsia="it-IT"/>
          <w14:ligatures w14:val="none"/>
        </w:rPr>
        <w:t xml:space="preserve">si confermano le evidenze emerse dalle analisi delle mediane: nel periodo 2020-2023, tanto nel canale rete quanto nel canale extra-rete l’indice di </w:t>
      </w:r>
      <w:r w:rsidRPr="00F31496">
        <w:rPr>
          <w:rFonts w:ascii="Garamond" w:eastAsia="Times New Roman" w:hAnsi="Garamond" w:cs="Times New Roman"/>
          <w:i/>
          <w:iCs/>
          <w:color w:val="000000"/>
          <w:kern w:val="0"/>
          <w:sz w:val="30"/>
          <w:szCs w:val="30"/>
          <w:lang w:eastAsia="it-IT"/>
          <w14:ligatures w14:val="none"/>
        </w:rPr>
        <w:lastRenderedPageBreak/>
        <w:t>convergenza relativa per IP, TAMOIL (fino a 3Q 2022) e SARAS presenta percentuali particolarmente elevate, sempre superiori al 50% ma nella maggior parte dei casi anche all’80-90%, a meno del temporaneo periodo di assestamento osservato nel corso del 2020 e con disallineamenti aggiustati nei trimestri successivi</w:t>
      </w:r>
      <w:r w:rsidRPr="00F31496">
        <w:rPr>
          <w:rFonts w:ascii="Garamond" w:eastAsia="Times New Roman" w:hAnsi="Garamond" w:cs="Times New Roman"/>
          <w:color w:val="000000"/>
          <w:kern w:val="0"/>
          <w:sz w:val="30"/>
          <w:szCs w:val="30"/>
          <w:lang w:eastAsia="it-IT"/>
          <w14:ligatures w14:val="none"/>
        </w:rPr>
        <w:t>” (cfr. punto 82).</w:t>
      </w:r>
    </w:p>
    <w:p w14:paraId="65CD8293"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26. Oltre alla frequenza e alla concordanza, milita, poi, il comportamento accondiscendente in concreto tenuto dagli operatori coinvolti: il che, ulteriormente, depone per l’intento collusivo, posto che “</w:t>
      </w:r>
      <w:r w:rsidRPr="00F31496">
        <w:rPr>
          <w:rFonts w:ascii="Garamond" w:eastAsia="Times New Roman" w:hAnsi="Garamond" w:cs="Times New Roman"/>
          <w:i/>
          <w:iCs/>
          <w:color w:val="000000"/>
          <w:kern w:val="0"/>
          <w:sz w:val="30"/>
          <w:szCs w:val="30"/>
          <w:lang w:eastAsia="it-IT"/>
          <w14:ligatures w14:val="none"/>
        </w:rPr>
        <w:t>quando un'impresa riceve informazioni sensibili dal punto di vista commerciale da un concorrente durante una riunione o un altro contatto, si presupporrà che tale impresa abbia tenuto conto di dette informazioni e abbia adattato il proprio comportamento sul mercato di conseguenza, a meno che non prenda pubblicamente le distanze (ad esempio rispondendo con una dichiarazione chiara del fatto che non desidera ricevere tali informazioni) o segnali quanto successo alle autorità amministrative</w:t>
      </w:r>
      <w:r w:rsidRPr="00F31496">
        <w:rPr>
          <w:rFonts w:ascii="Garamond" w:eastAsia="Times New Roman" w:hAnsi="Garamond" w:cs="Times New Roman"/>
          <w:color w:val="000000"/>
          <w:kern w:val="0"/>
          <w:sz w:val="30"/>
          <w:szCs w:val="30"/>
          <w:lang w:eastAsia="it-IT"/>
          <w14:ligatures w14:val="none"/>
        </w:rPr>
        <w:t>” (cfr. punto 397 delle Linee); senza contare che, quale misura rimediale posta dalla Commissione UE, “</w:t>
      </w:r>
      <w:r w:rsidRPr="00F31496">
        <w:rPr>
          <w:rFonts w:ascii="Garamond" w:eastAsia="Times New Roman" w:hAnsi="Garamond" w:cs="Times New Roman"/>
          <w:i/>
          <w:iCs/>
          <w:color w:val="000000"/>
          <w:kern w:val="0"/>
          <w:sz w:val="30"/>
          <w:szCs w:val="30"/>
          <w:lang w:eastAsia="it-IT"/>
          <w14:ligatures w14:val="none"/>
        </w:rPr>
        <w:t>durante i contatti, un'impresa può prendere pubblicamente le distanze da qualsiasi scambio anticoncorrenziale di informazioni sensibili dal punto di vista commerciale rendendo chiara la propria opposizione agli altri partecipanti allo scambio. Al fine di stabilire se un'impresa abbia effettivamente preso le distanze, ciò che conta è come gli altri partecipanti allo scambio interpretano le intenzioni dell'impresa che prende le distanze</w:t>
      </w:r>
      <w:r w:rsidRPr="00F31496">
        <w:rPr>
          <w:rFonts w:ascii="Garamond" w:eastAsia="Times New Roman" w:hAnsi="Garamond" w:cs="Times New Roman"/>
          <w:color w:val="000000"/>
          <w:kern w:val="0"/>
          <w:sz w:val="30"/>
          <w:szCs w:val="30"/>
          <w:lang w:eastAsia="it-IT"/>
          <w14:ligatures w14:val="none"/>
        </w:rPr>
        <w:t>” (cfr. punto 410).</w:t>
      </w:r>
    </w:p>
    <w:p w14:paraId="18173EC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Ciò – pacificamente – non è avvenuto, come l’Autorità ha fondatamente evidenziato (“</w:t>
      </w:r>
      <w:r w:rsidRPr="00F31496">
        <w:rPr>
          <w:rFonts w:ascii="Garamond" w:eastAsia="Times New Roman" w:hAnsi="Garamond" w:cs="Times New Roman"/>
          <w:i/>
          <w:iCs/>
          <w:color w:val="000000"/>
          <w:kern w:val="0"/>
          <w:sz w:val="30"/>
          <w:szCs w:val="30"/>
          <w:lang w:eastAsia="it-IT"/>
          <w14:ligatures w14:val="none"/>
        </w:rPr>
        <w:t>le parti avrebbero potuto chiedere a Staffetta di evitarne la pubblicazione e, se appurato che si trattava – come da esse sostenuto – di comunicazioni trasmesse dai clienti, inviare lettere di diffida ai propri clienti chiedendo di non rivelare dati di costo riservati agli organi di stampa</w:t>
      </w:r>
      <w:r w:rsidRPr="00F31496">
        <w:rPr>
          <w:rFonts w:ascii="Garamond" w:eastAsia="Times New Roman" w:hAnsi="Garamond" w:cs="Times New Roman"/>
          <w:color w:val="000000"/>
          <w:kern w:val="0"/>
          <w:sz w:val="30"/>
          <w:szCs w:val="30"/>
          <w:lang w:eastAsia="it-IT"/>
          <w14:ligatures w14:val="none"/>
        </w:rPr>
        <w:t>”, cfr. pagg. 162 – 163 della deliberazione); peraltro, nel provvedimento ha rilevato che “</w:t>
      </w:r>
      <w:r w:rsidRPr="00F31496">
        <w:rPr>
          <w:rFonts w:ascii="Garamond" w:eastAsia="Times New Roman" w:hAnsi="Garamond" w:cs="Times New Roman"/>
          <w:i/>
          <w:iCs/>
          <w:color w:val="000000"/>
          <w:kern w:val="0"/>
          <w:sz w:val="30"/>
          <w:szCs w:val="30"/>
          <w:lang w:eastAsia="it-IT"/>
          <w14:ligatures w14:val="none"/>
        </w:rPr>
        <w:t xml:space="preserve">nel fascicolo sono presenti documenti che testimoniano che le Compagnie hanno esercitato, e talvolta esercitano, poteri dissuasivi nei confronti di Staffetta Quotidiana. Si vedano, ad esempio, le lettere di diffida inviate da TAMOIL (…); la richiesta di KUWAIT a UNEM di intervenire presso Staffetta per sollecitare la rettifica di alcune informazioni; per ESSO mail del 3 luglio 2023 in </w:t>
      </w:r>
      <w:r w:rsidRPr="00F31496">
        <w:rPr>
          <w:rFonts w:ascii="Garamond" w:eastAsia="Times New Roman" w:hAnsi="Garamond" w:cs="Times New Roman"/>
          <w:i/>
          <w:iCs/>
          <w:color w:val="000000"/>
          <w:kern w:val="0"/>
          <w:sz w:val="30"/>
          <w:szCs w:val="30"/>
          <w:lang w:eastAsia="it-IT"/>
          <w14:ligatures w14:val="none"/>
        </w:rPr>
        <w:lastRenderedPageBreak/>
        <w:t>cui a fronte di un articolo di Staffetta in cui si riportano riduzioni della componente bio si commenta “Per favore vedi sotto … a parte tutte le solite considerazioni, la cosa non corrisponde a verità. Vale la pena scrivergli (o chiedergli di scrivere) qualcosa?”</w:t>
      </w:r>
      <w:r w:rsidRPr="00F31496">
        <w:rPr>
          <w:rFonts w:ascii="Garamond" w:eastAsia="Times New Roman" w:hAnsi="Garamond" w:cs="Times New Roman"/>
          <w:color w:val="000000"/>
          <w:kern w:val="0"/>
          <w:sz w:val="30"/>
          <w:szCs w:val="30"/>
          <w:lang w:eastAsia="it-IT"/>
          <w14:ligatures w14:val="none"/>
        </w:rPr>
        <w:t>”.</w:t>
      </w:r>
    </w:p>
    <w:p w14:paraId="4ED0DDCB"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Ciò vale anche per il caso della ricorrente: nella delibera si è dato conto che la società ha inviato una mail “</w:t>
      </w:r>
      <w:r w:rsidRPr="00F31496">
        <w:rPr>
          <w:rFonts w:ascii="Garamond" w:eastAsia="Times New Roman" w:hAnsi="Garamond" w:cs="Times New Roman"/>
          <w:i/>
          <w:iCs/>
          <w:color w:val="000000"/>
          <w:kern w:val="0"/>
          <w:sz w:val="30"/>
          <w:szCs w:val="30"/>
          <w:lang w:eastAsia="it-IT"/>
          <w14:ligatures w14:val="none"/>
        </w:rPr>
        <w:t>per dissociarsi e chiedere di rendere nota la fonte delle informazioni pubblicate nei suoi articoli per evitare qualsiasi fraintendimento sul fatto che potesse essere la società stessa la fonte delle informazioni pubblicate</w:t>
      </w:r>
      <w:r w:rsidRPr="00F31496">
        <w:rPr>
          <w:rFonts w:ascii="Garamond" w:eastAsia="Times New Roman" w:hAnsi="Garamond" w:cs="Times New Roman"/>
          <w:color w:val="000000"/>
          <w:kern w:val="0"/>
          <w:sz w:val="30"/>
          <w:szCs w:val="30"/>
          <w:lang w:eastAsia="it-IT"/>
          <w14:ligatures w14:val="none"/>
        </w:rPr>
        <w:t>”; in giudizio ha, invece, sostenuto di aver chiesto una rettifica al fine di precisare che i propri prezzi fossero stati desunti da fonti di mercato (cfr. pag. 6 del ricorso).</w:t>
      </w:r>
    </w:p>
    <w:p w14:paraId="3DD98BBD"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Tali rilievi, tuttavia, possono assumere rilevanza ai sensi della condotta tipizzata di tale rimedio (rettifica), cioè ai sensi della normativa che regola l’ordinamento della professione di giornalista (“</w:t>
      </w:r>
      <w:r w:rsidRPr="00F31496">
        <w:rPr>
          <w:rFonts w:ascii="Garamond" w:eastAsia="Times New Roman" w:hAnsi="Garamond" w:cs="Times New Roman"/>
          <w:i/>
          <w:iCs/>
          <w:color w:val="000000"/>
          <w:kern w:val="0"/>
          <w:sz w:val="30"/>
          <w:szCs w:val="30"/>
          <w:lang w:eastAsia="it-IT"/>
          <w14:ligatures w14:val="none"/>
        </w:rPr>
        <w:t>devono essere rettificate le notizie che risultino inesatte, e riparati gli eventuali errori</w:t>
      </w:r>
      <w:r w:rsidRPr="00F31496">
        <w:rPr>
          <w:rFonts w:ascii="Garamond" w:eastAsia="Times New Roman" w:hAnsi="Garamond" w:cs="Times New Roman"/>
          <w:color w:val="000000"/>
          <w:kern w:val="0"/>
          <w:sz w:val="30"/>
          <w:szCs w:val="30"/>
          <w:lang w:eastAsia="it-IT"/>
          <w14:ligatures w14:val="none"/>
        </w:rPr>
        <w:t>”, cfr. art. 2 della legge 69/1963): non può, pertanto, essere qualificata alla stregua di una dissociazione dall’uso del mezzo stampa e dal circuito informativo contestato dall’Autorità, a tal fine deponendo l’impegno (rigettato) della ricorrente verso la stessa AGCM di “</w:t>
      </w:r>
      <w:r w:rsidRPr="00F31496">
        <w:rPr>
          <w:rFonts w:ascii="Garamond" w:eastAsia="Times New Roman" w:hAnsi="Garamond" w:cs="Times New Roman"/>
          <w:i/>
          <w:iCs/>
          <w:color w:val="000000"/>
          <w:kern w:val="0"/>
          <w:sz w:val="30"/>
          <w:szCs w:val="30"/>
          <w:lang w:eastAsia="it-IT"/>
          <w14:ligatures w14:val="none"/>
        </w:rPr>
        <w:t>non fornire informazioni sui prezzi all’ingrosso dei carburanti per autotrazione (compresi i prezzi dei biocarburanti) a Staffetta Quotidiana o a qualsiasi altra testata italiana di settore, salvo quanto previsto dalla legge (impegno n. 1)</w:t>
      </w:r>
      <w:r w:rsidRPr="00F31496">
        <w:rPr>
          <w:rFonts w:ascii="Garamond" w:eastAsia="Times New Roman" w:hAnsi="Garamond" w:cs="Times New Roman"/>
          <w:color w:val="000000"/>
          <w:kern w:val="0"/>
          <w:sz w:val="30"/>
          <w:szCs w:val="30"/>
          <w:lang w:eastAsia="it-IT"/>
          <w14:ligatures w14:val="none"/>
        </w:rPr>
        <w:t>”.</w:t>
      </w:r>
    </w:p>
    <w:p w14:paraId="5DD2A71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27. Da ultimo, va, invece, accolto il sesto motivo, appuntato sulla dedotta proporzione della sanzione in rapporto alla rilevata gravità delle condotte contestate e, soprattutto, alla disparità di trattamento rispetto agli altri operatori sanzionati nell’ambito di un’accertata intesa collusiva.</w:t>
      </w:r>
    </w:p>
    <w:p w14:paraId="756086CD"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Con riguardo alla contestata quantificazione, l’Autorità ha disposto che in considerazione della “</w:t>
      </w:r>
      <w:r w:rsidRPr="00F31496">
        <w:rPr>
          <w:rFonts w:ascii="Garamond" w:eastAsia="Times New Roman" w:hAnsi="Garamond" w:cs="Times New Roman"/>
          <w:i/>
          <w:iCs/>
          <w:color w:val="000000"/>
          <w:kern w:val="0"/>
          <w:sz w:val="30"/>
          <w:szCs w:val="30"/>
          <w:lang w:eastAsia="it-IT"/>
          <w14:ligatures w14:val="none"/>
        </w:rPr>
        <w:t xml:space="preserve">gravità dell’infrazione contestata - come più sopra declinata avuto riguardo, in particolare, principalmente alla natura della restrizione della concorrenza e alla sua effettiva attuazione – ai fini del calcolo dell’importo base della sanzione è applicato un coefficiente di gravità del 15%. (…) Il valore risultante va poi moltiplicato per la durata di partecipazione </w:t>
      </w:r>
      <w:r w:rsidRPr="00F31496">
        <w:rPr>
          <w:rFonts w:ascii="Garamond" w:eastAsia="Times New Roman" w:hAnsi="Garamond" w:cs="Times New Roman"/>
          <w:i/>
          <w:iCs/>
          <w:color w:val="000000"/>
          <w:kern w:val="0"/>
          <w:sz w:val="30"/>
          <w:szCs w:val="30"/>
          <w:lang w:eastAsia="it-IT"/>
          <w14:ligatures w14:val="none"/>
        </w:rPr>
        <w:lastRenderedPageBreak/>
        <w:t>all’infrazione, espressa in numero di anni, computando, altresì, i mesi e i giorni effettivi di partecipazione. Nel caso di specie la durata della partecipazione all’infrazione è compresa tra il 1° gennaio 2020 ed il 30 giugno 2023</w:t>
      </w:r>
      <w:r w:rsidRPr="00F31496">
        <w:rPr>
          <w:rFonts w:ascii="Garamond" w:eastAsia="Times New Roman" w:hAnsi="Garamond" w:cs="Times New Roman"/>
          <w:color w:val="000000"/>
          <w:kern w:val="0"/>
          <w:sz w:val="30"/>
          <w:szCs w:val="30"/>
          <w:lang w:eastAsia="it-IT"/>
          <w14:ligatures w14:val="none"/>
        </w:rPr>
        <w:t>”.</w:t>
      </w:r>
    </w:p>
    <w:p w14:paraId="13204CD4"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Pertanto, “</w:t>
      </w:r>
      <w:r w:rsidRPr="00F31496">
        <w:rPr>
          <w:rFonts w:ascii="Garamond" w:eastAsia="Times New Roman" w:hAnsi="Garamond" w:cs="Times New Roman"/>
          <w:i/>
          <w:iCs/>
          <w:color w:val="000000"/>
          <w:kern w:val="0"/>
          <w:sz w:val="30"/>
          <w:szCs w:val="30"/>
          <w:lang w:eastAsia="it-IT"/>
          <w14:ligatures w14:val="none"/>
        </w:rPr>
        <w:t>per nessuna delle parti la sanzione supera il limite edittale di cui all’articolo 15, comma 1-bis, della l. n. 287/90, individuato nel 10% del dal fatturato totale realizzato a livello mondiale realizzato dall’impresa nell’ultimo esercizio chiuso anteriormente alla notificazione della diffida</w:t>
      </w:r>
      <w:r w:rsidRPr="00F31496">
        <w:rPr>
          <w:rFonts w:ascii="Garamond" w:eastAsia="Times New Roman" w:hAnsi="Garamond" w:cs="Times New Roman"/>
          <w:color w:val="000000"/>
          <w:kern w:val="0"/>
          <w:sz w:val="30"/>
          <w:szCs w:val="30"/>
          <w:lang w:eastAsia="it-IT"/>
          <w14:ligatures w14:val="none"/>
        </w:rPr>
        <w:t>”.</w:t>
      </w:r>
    </w:p>
    <w:p w14:paraId="5930194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Nella specie, la sanzione irrogata ad ESSO (euro 129.363.561,00) corrisponde al 6,59% del fatturato totale mondiale (“</w:t>
      </w:r>
      <w:r w:rsidRPr="00F31496">
        <w:rPr>
          <w:rFonts w:ascii="Garamond" w:eastAsia="Times New Roman" w:hAnsi="Garamond" w:cs="Times New Roman"/>
          <w:i/>
          <w:iCs/>
          <w:color w:val="000000"/>
          <w:kern w:val="0"/>
          <w:sz w:val="30"/>
          <w:szCs w:val="30"/>
          <w:lang w:eastAsia="it-IT"/>
          <w14:ligatures w14:val="none"/>
        </w:rPr>
        <w:t>pari a [1-2] miliardi di euro</w:t>
      </w:r>
      <w:r w:rsidRPr="00F31496">
        <w:rPr>
          <w:rFonts w:ascii="Garamond" w:eastAsia="Times New Roman" w:hAnsi="Garamond" w:cs="Times New Roman"/>
          <w:color w:val="000000"/>
          <w:kern w:val="0"/>
          <w:sz w:val="30"/>
          <w:szCs w:val="30"/>
          <w:lang w:eastAsia="it-IT"/>
          <w14:ligatures w14:val="none"/>
        </w:rPr>
        <w:t>”), compreso nello scaglione 5 - 10%; per ENI (cui, peraltro, è stato imputato un ruolo di regìa e l’applicazione di un’aggravante, come appresso si dirà) e per SARAS la quantificazione è stata, invece, determinata in misura inferiore all’1%; per KUWAIT nella misura dell’1,13%; per TAMOLI e IP entro uno scaglione compreso tra 1 – 5%.</w:t>
      </w:r>
    </w:p>
    <w:p w14:paraId="2546EF2C"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Stabiliscono le “</w:t>
      </w:r>
      <w:r w:rsidRPr="00F31496">
        <w:rPr>
          <w:rFonts w:ascii="Garamond" w:eastAsia="Times New Roman" w:hAnsi="Garamond" w:cs="Times New Roman"/>
          <w:i/>
          <w:iCs/>
          <w:color w:val="000000"/>
          <w:kern w:val="0"/>
          <w:sz w:val="30"/>
          <w:szCs w:val="30"/>
          <w:lang w:eastAsia="it-IT"/>
          <w14:ligatures w14:val="none"/>
        </w:rPr>
        <w:t>Linee guida sulla modalità di applicazione dei criteri di quantificazione delle sanzioni amministrative pecuniarie irrogate dall’autorità in applicazione dell’articolo 15, comma 1-bis, della legge n. 287/1990</w:t>
      </w:r>
      <w:r w:rsidRPr="00F31496">
        <w:rPr>
          <w:rFonts w:ascii="Garamond" w:eastAsia="Times New Roman" w:hAnsi="Garamond" w:cs="Times New Roman"/>
          <w:color w:val="000000"/>
          <w:kern w:val="0"/>
          <w:sz w:val="30"/>
          <w:szCs w:val="30"/>
          <w:lang w:eastAsia="it-IT"/>
          <w14:ligatures w14:val="none"/>
        </w:rPr>
        <w:t>” che “</w:t>
      </w:r>
      <w:r w:rsidRPr="00F31496">
        <w:rPr>
          <w:rFonts w:ascii="Garamond" w:eastAsia="Times New Roman" w:hAnsi="Garamond" w:cs="Times New Roman"/>
          <w:i/>
          <w:iCs/>
          <w:color w:val="000000"/>
          <w:kern w:val="0"/>
          <w:sz w:val="30"/>
          <w:szCs w:val="30"/>
          <w:lang w:eastAsia="it-IT"/>
          <w14:ligatures w14:val="none"/>
        </w:rPr>
        <w:t>l’importo di base della sanzione, determinato come descritto nei paragrafi che precedono, potrà essere incrementato per tener conto di specifiche circostanze che aggravano (circostanze aggravanti) o attenuano (circostanze attenuanti) la responsabilità dell’autore della violazione, con particolare riferimento al ruolo svolto dall’impresa nell’infrazione, alla condotta da essa tenuta nel corso dell’istruttoria, nonché all’opera svolta dall’agente per l’eliminazione o l’attenuazione delle conseguenze della violazione e alla personalità dello stesso, anche alla luce di quanto previsto dall’articolo 11 della legge n. 689/1981</w:t>
      </w:r>
      <w:r w:rsidRPr="00F31496">
        <w:rPr>
          <w:rFonts w:ascii="Garamond" w:eastAsia="Times New Roman" w:hAnsi="Garamond" w:cs="Times New Roman"/>
          <w:color w:val="000000"/>
          <w:kern w:val="0"/>
          <w:sz w:val="30"/>
          <w:szCs w:val="30"/>
          <w:lang w:eastAsia="it-IT"/>
          <w14:ligatures w14:val="none"/>
        </w:rPr>
        <w:t>” (cfr. punto 19).</w:t>
      </w:r>
    </w:p>
    <w:p w14:paraId="2D5222C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Nella specie, ad ENI è stato imputato “</w:t>
      </w:r>
      <w:r w:rsidRPr="00F31496">
        <w:rPr>
          <w:rFonts w:ascii="Garamond" w:eastAsia="Times New Roman" w:hAnsi="Garamond" w:cs="Times New Roman"/>
          <w:i/>
          <w:iCs/>
          <w:color w:val="000000"/>
          <w:kern w:val="0"/>
          <w:sz w:val="30"/>
          <w:szCs w:val="30"/>
          <w:lang w:eastAsia="it-IT"/>
          <w14:ligatures w14:val="none"/>
        </w:rPr>
        <w:t>un ruolo preminente</w:t>
      </w:r>
      <w:r w:rsidRPr="00F31496">
        <w:rPr>
          <w:rFonts w:ascii="Garamond" w:eastAsia="Times New Roman" w:hAnsi="Garamond" w:cs="Times New Roman"/>
          <w:color w:val="000000"/>
          <w:kern w:val="0"/>
          <w:sz w:val="30"/>
          <w:szCs w:val="30"/>
          <w:lang w:eastAsia="it-IT"/>
          <w14:ligatures w14:val="none"/>
        </w:rPr>
        <w:t>”, poiché, “</w:t>
      </w:r>
      <w:r w:rsidRPr="00F31496">
        <w:rPr>
          <w:rFonts w:ascii="Garamond" w:eastAsia="Times New Roman" w:hAnsi="Garamond" w:cs="Times New Roman"/>
          <w:i/>
          <w:iCs/>
          <w:color w:val="000000"/>
          <w:kern w:val="0"/>
          <w:sz w:val="30"/>
          <w:szCs w:val="30"/>
          <w:lang w:eastAsia="it-IT"/>
          <w14:ligatures w14:val="none"/>
        </w:rPr>
        <w:t>disvelando la propria strategia della tariffa unica e comunicando per prima i propri dati di prezzo a Staffetta Quotidiana, ha innescato e costantemente alimentato il sistema di supporto e monitoraggio del cartello, garantendo l’implementazione di questi aumenti nelle negoziazioni con i clienti, come confermato dalla documentazione in atti</w:t>
      </w:r>
      <w:r w:rsidRPr="00F31496">
        <w:rPr>
          <w:rFonts w:ascii="Garamond" w:eastAsia="Times New Roman" w:hAnsi="Garamond" w:cs="Times New Roman"/>
          <w:color w:val="000000"/>
          <w:kern w:val="0"/>
          <w:sz w:val="30"/>
          <w:szCs w:val="30"/>
          <w:lang w:eastAsia="it-IT"/>
          <w14:ligatures w14:val="none"/>
        </w:rPr>
        <w:t>”; e l’Autorità ha concluso che “</w:t>
      </w:r>
      <w:r w:rsidRPr="00F31496">
        <w:rPr>
          <w:rFonts w:ascii="Garamond" w:eastAsia="Times New Roman" w:hAnsi="Garamond" w:cs="Times New Roman"/>
          <w:i/>
          <w:iCs/>
          <w:color w:val="000000"/>
          <w:kern w:val="0"/>
          <w:sz w:val="30"/>
          <w:szCs w:val="30"/>
          <w:lang w:eastAsia="it-IT"/>
          <w14:ligatures w14:val="none"/>
        </w:rPr>
        <w:t xml:space="preserve">abbia svolto un ruolo </w:t>
      </w:r>
      <w:r w:rsidRPr="00F31496">
        <w:rPr>
          <w:rFonts w:ascii="Garamond" w:eastAsia="Times New Roman" w:hAnsi="Garamond" w:cs="Times New Roman"/>
          <w:i/>
          <w:iCs/>
          <w:color w:val="000000"/>
          <w:kern w:val="0"/>
          <w:sz w:val="30"/>
          <w:szCs w:val="30"/>
          <w:lang w:eastAsia="it-IT"/>
          <w14:ligatures w14:val="none"/>
        </w:rPr>
        <w:lastRenderedPageBreak/>
        <w:t>decisivo nella promozione, organizzazione e monitoraggio dell’infrazione plurisoggettiva. Nel caso di specie, infatti, si deve rilevare che la Parte, disvelando la propria strategia della tariffa unica e comunicando per prima i propri dati di prezzo a Staffetta Quotidiana, ha innescato e costantemente alimentato il sistema di supporto e monitoraggio del cartello, contribuendo significativamente al protrarsi e al successo della strategia collusiva. Per tale motivo, si ritiene congruo incrementare l’importo base della sanzione, per ENI in misura pari al 10%</w:t>
      </w:r>
      <w:r w:rsidRPr="00F31496">
        <w:rPr>
          <w:rFonts w:ascii="Garamond" w:eastAsia="Times New Roman" w:hAnsi="Garamond" w:cs="Times New Roman"/>
          <w:color w:val="000000"/>
          <w:kern w:val="0"/>
          <w:sz w:val="30"/>
          <w:szCs w:val="30"/>
          <w:lang w:eastAsia="it-IT"/>
          <w14:ligatures w14:val="none"/>
        </w:rPr>
        <w:t>” (in applicazione del punto 21 delle Linee in materia di sanzioni).</w:t>
      </w:r>
    </w:p>
    <w:p w14:paraId="430E1F0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Purtuttavia, la sanzione applicata ad ENI è stata ancorata ad una percentuale inferiore all’1%, mentre alla ricorrente ESSO nella misura del 6,59%.</w:t>
      </w:r>
    </w:p>
    <w:p w14:paraId="0FC9932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Tale disparità risulta totalmente priva di motivazione, nel senso che nella deliberazione impugnata è assente qualsiasi determinazione di specifici ed individuali vantaggi prodotti dall’accordo, viceversa circostanziati in chiave collettiva (“</w:t>
      </w:r>
      <w:r w:rsidRPr="00F31496">
        <w:rPr>
          <w:rFonts w:ascii="Garamond" w:eastAsia="Times New Roman" w:hAnsi="Garamond" w:cs="Times New Roman"/>
          <w:i/>
          <w:iCs/>
          <w:color w:val="000000"/>
          <w:kern w:val="0"/>
          <w:sz w:val="30"/>
          <w:szCs w:val="30"/>
          <w:lang w:eastAsia="it-IT"/>
          <w14:ligatures w14:val="none"/>
        </w:rPr>
        <w:t>le parti hanno tenuto conto di tali comunicazioni e scientemente le hanno utilizzate per definire la propria “tariffa bio” nei rapporti con i clienti, avvantaggiandosi addirittura della artificiosa trasparenza per riversare totalmente a valle gli aumenti dei costi. Le parti inoltre hanno tollerato, senza mai opporsi, che Staffetta Quotidiana pubblicasse i loro valori della componente bio, garantendo così la pubblicità sull’adesione al disegno collusivo e favorendo la stabilità del cartello che non si sarebbe altrimenti potuto attuare in modo così efficace</w:t>
      </w:r>
      <w:r w:rsidRPr="00F31496">
        <w:rPr>
          <w:rFonts w:ascii="Garamond" w:eastAsia="Times New Roman" w:hAnsi="Garamond" w:cs="Times New Roman"/>
          <w:color w:val="000000"/>
          <w:kern w:val="0"/>
          <w:sz w:val="30"/>
          <w:szCs w:val="30"/>
          <w:lang w:eastAsia="it-IT"/>
          <w14:ligatures w14:val="none"/>
        </w:rPr>
        <w:t>”)</w:t>
      </w:r>
    </w:p>
    <w:p w14:paraId="43202FAA"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Ne deriva che, ravvisandosi i presupposti per una riduzione giudiziale ai sensi dell’art. 134, comma 1, lett. c) c.p.a., in accoglimento di tale doglianza la sanzione dovrà essere rideterminata dall’AGCM.</w:t>
      </w:r>
    </w:p>
    <w:p w14:paraId="44D1726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28. Nei limitati termini di cui al sesto motivo, il ricorso va accolto, dovendosi, di contro, respingere, tutte le altre censure.</w:t>
      </w:r>
    </w:p>
    <w:p w14:paraId="321FF8D2"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La novità delle questioni esaminate giustifica la compensazione delle spese processuali.</w:t>
      </w:r>
    </w:p>
    <w:p w14:paraId="0F996ABB" w14:textId="77777777" w:rsidR="00F31496" w:rsidRPr="00F31496" w:rsidRDefault="00F31496" w:rsidP="00F31496">
      <w:pPr>
        <w:spacing w:after="0" w:line="540" w:lineRule="atLeast"/>
        <w:jc w:val="center"/>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P.Q.M.</w:t>
      </w:r>
    </w:p>
    <w:p w14:paraId="0BA044A1"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lastRenderedPageBreak/>
        <w:t>Il Tribunale Amministrativo Regionale per il Lazio (Sezione Prima), definitivamente pronunciando sul ricorso, come in epigrafe proposto, lo accoglie nei sensi e nei limiti espressi in motivazione.</w:t>
      </w:r>
    </w:p>
    <w:p w14:paraId="1E758CE9"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Spese compensate.</w:t>
      </w:r>
    </w:p>
    <w:p w14:paraId="1EAB97DF"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Ordina che la presente sentenza sia eseguita dall'autorità amministrativa.</w:t>
      </w:r>
    </w:p>
    <w:p w14:paraId="37EDF598" w14:textId="77777777" w:rsidR="00F31496" w:rsidRPr="00F31496" w:rsidRDefault="00F31496" w:rsidP="00F31496">
      <w:pPr>
        <w:spacing w:after="0" w:line="520" w:lineRule="atLeast"/>
        <w:jc w:val="both"/>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Così deciso in Roma nella camera di consiglio del giorno 15 aprile 2026 con l'intervento dei magistrati:</w:t>
      </w:r>
    </w:p>
    <w:p w14:paraId="3EF388CF" w14:textId="77777777" w:rsidR="00F31496" w:rsidRPr="00F31496" w:rsidRDefault="00F31496" w:rsidP="00F31496">
      <w:pPr>
        <w:spacing w:after="0" w:line="520" w:lineRule="atLeast"/>
        <w:ind w:firstLine="567"/>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Roberto Politi, Presidente</w:t>
      </w:r>
    </w:p>
    <w:p w14:paraId="1FD436B5" w14:textId="77777777" w:rsidR="00F31496" w:rsidRPr="00F31496" w:rsidRDefault="00F31496" w:rsidP="00F31496">
      <w:pPr>
        <w:spacing w:after="0" w:line="520" w:lineRule="atLeast"/>
        <w:ind w:firstLine="567"/>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Angelo Fanizza, Consigliere, Estensore</w:t>
      </w:r>
    </w:p>
    <w:p w14:paraId="2B437880" w14:textId="77777777" w:rsidR="00F31496" w:rsidRPr="00F31496" w:rsidRDefault="00F31496" w:rsidP="00F31496">
      <w:pPr>
        <w:spacing w:after="0" w:line="520" w:lineRule="atLeast"/>
        <w:ind w:firstLine="567"/>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Matthias Viggiano, Primo Referendario</w:t>
      </w:r>
    </w:p>
    <w:tbl>
      <w:tblPr>
        <w:tblW w:w="5000" w:type="pct"/>
        <w:tblCellMar>
          <w:top w:w="15" w:type="dxa"/>
          <w:left w:w="15" w:type="dxa"/>
          <w:bottom w:w="15" w:type="dxa"/>
          <w:right w:w="15" w:type="dxa"/>
        </w:tblCellMar>
        <w:tblLook w:val="04A0" w:firstRow="1" w:lastRow="0" w:firstColumn="1" w:lastColumn="0" w:noHBand="0" w:noVBand="1"/>
      </w:tblPr>
      <w:tblGrid>
        <w:gridCol w:w="4536"/>
        <w:gridCol w:w="83"/>
        <w:gridCol w:w="5019"/>
      </w:tblGrid>
      <w:tr w:rsidR="00F31496" w:rsidRPr="00F31496" w14:paraId="64C417A9" w14:textId="77777777" w:rsidTr="00F31496">
        <w:tc>
          <w:tcPr>
            <w:tcW w:w="0" w:type="auto"/>
            <w:vAlign w:val="center"/>
            <w:hideMark/>
          </w:tcPr>
          <w:p w14:paraId="5672898F"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r w:rsidRPr="00F3149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03142299"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367FED6C" w14:textId="77777777" w:rsidR="00F31496" w:rsidRPr="00F31496" w:rsidRDefault="00F31496" w:rsidP="00F31496">
            <w:pPr>
              <w:spacing w:after="0" w:line="240" w:lineRule="auto"/>
              <w:jc w:val="center"/>
              <w:rPr>
                <w:rFonts w:ascii="Times New Roman" w:eastAsia="Times New Roman" w:hAnsi="Times New Roman" w:cs="Times New Roman"/>
                <w:kern w:val="0"/>
                <w:sz w:val="20"/>
                <w:szCs w:val="20"/>
                <w:lang w:eastAsia="it-IT"/>
                <w14:ligatures w14:val="none"/>
              </w:rPr>
            </w:pPr>
          </w:p>
        </w:tc>
      </w:tr>
      <w:tr w:rsidR="00F31496" w:rsidRPr="00F31496" w14:paraId="3D39032B" w14:textId="77777777" w:rsidTr="00F31496">
        <w:tc>
          <w:tcPr>
            <w:tcW w:w="0" w:type="auto"/>
            <w:vAlign w:val="center"/>
            <w:hideMark/>
          </w:tcPr>
          <w:p w14:paraId="51CC8D8D"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r w:rsidRPr="00F3149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2F5F4E4A"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764B2E38" w14:textId="77777777" w:rsidR="00F31496" w:rsidRPr="00F31496" w:rsidRDefault="00F31496" w:rsidP="00F31496">
            <w:pPr>
              <w:spacing w:after="0" w:line="240" w:lineRule="auto"/>
              <w:jc w:val="center"/>
              <w:rPr>
                <w:rFonts w:ascii="Times New Roman" w:eastAsia="Times New Roman" w:hAnsi="Times New Roman" w:cs="Times New Roman"/>
                <w:kern w:val="0"/>
                <w:sz w:val="20"/>
                <w:szCs w:val="20"/>
                <w:lang w:eastAsia="it-IT"/>
                <w14:ligatures w14:val="none"/>
              </w:rPr>
            </w:pPr>
          </w:p>
        </w:tc>
      </w:tr>
      <w:tr w:rsidR="00F31496" w:rsidRPr="00F31496" w14:paraId="3C672412" w14:textId="77777777" w:rsidTr="00F31496">
        <w:tc>
          <w:tcPr>
            <w:tcW w:w="0" w:type="auto"/>
            <w:vAlign w:val="center"/>
            <w:hideMark/>
          </w:tcPr>
          <w:p w14:paraId="4F3B66F5"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r w:rsidRPr="00F31496">
              <w:rPr>
                <w:rFonts w:ascii="Times New Roman" w:eastAsia="Times New Roman" w:hAnsi="Times New Roman" w:cs="Times New Roman"/>
                <w:b/>
                <w:bCs/>
                <w:kern w:val="0"/>
                <w:sz w:val="28"/>
                <w:szCs w:val="28"/>
                <w:lang w:eastAsia="it-IT"/>
                <w14:ligatures w14:val="none"/>
              </w:rPr>
              <w:t>L'ESTENSORE</w:t>
            </w:r>
          </w:p>
        </w:tc>
        <w:tc>
          <w:tcPr>
            <w:tcW w:w="0" w:type="auto"/>
            <w:vAlign w:val="center"/>
            <w:hideMark/>
          </w:tcPr>
          <w:p w14:paraId="34E992C8"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7FB0CAF5"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r w:rsidRPr="00F31496">
              <w:rPr>
                <w:rFonts w:ascii="Times New Roman" w:eastAsia="Times New Roman" w:hAnsi="Times New Roman" w:cs="Times New Roman"/>
                <w:b/>
                <w:bCs/>
                <w:kern w:val="0"/>
                <w:sz w:val="28"/>
                <w:szCs w:val="28"/>
                <w:lang w:eastAsia="it-IT"/>
                <w14:ligatures w14:val="none"/>
              </w:rPr>
              <w:t>IL PRESIDENTE</w:t>
            </w:r>
          </w:p>
        </w:tc>
      </w:tr>
      <w:tr w:rsidR="00F31496" w:rsidRPr="00F31496" w14:paraId="65DE3278" w14:textId="77777777" w:rsidTr="00F31496">
        <w:tc>
          <w:tcPr>
            <w:tcW w:w="0" w:type="auto"/>
            <w:vAlign w:val="center"/>
            <w:hideMark/>
          </w:tcPr>
          <w:p w14:paraId="5BDFA52C"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r w:rsidRPr="00F31496">
              <w:rPr>
                <w:rFonts w:ascii="Times New Roman" w:eastAsia="Times New Roman" w:hAnsi="Times New Roman" w:cs="Times New Roman"/>
                <w:b/>
                <w:bCs/>
                <w:kern w:val="0"/>
                <w:sz w:val="28"/>
                <w:szCs w:val="28"/>
                <w:lang w:eastAsia="it-IT"/>
                <w14:ligatures w14:val="none"/>
              </w:rPr>
              <w:t>Angelo Fanizza</w:t>
            </w:r>
          </w:p>
        </w:tc>
        <w:tc>
          <w:tcPr>
            <w:tcW w:w="0" w:type="auto"/>
            <w:vAlign w:val="center"/>
            <w:hideMark/>
          </w:tcPr>
          <w:p w14:paraId="2DD072A2"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30CA8F0A"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r w:rsidRPr="00F31496">
              <w:rPr>
                <w:rFonts w:ascii="Times New Roman" w:eastAsia="Times New Roman" w:hAnsi="Times New Roman" w:cs="Times New Roman"/>
                <w:b/>
                <w:bCs/>
                <w:kern w:val="0"/>
                <w:sz w:val="28"/>
                <w:szCs w:val="28"/>
                <w:lang w:eastAsia="it-IT"/>
                <w14:ligatures w14:val="none"/>
              </w:rPr>
              <w:t>Roberto Politi</w:t>
            </w:r>
          </w:p>
        </w:tc>
      </w:tr>
      <w:tr w:rsidR="00F31496" w:rsidRPr="00F31496" w14:paraId="63317F71" w14:textId="77777777" w:rsidTr="00F31496">
        <w:tc>
          <w:tcPr>
            <w:tcW w:w="0" w:type="auto"/>
            <w:vAlign w:val="center"/>
            <w:hideMark/>
          </w:tcPr>
          <w:p w14:paraId="18431C82"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r w:rsidRPr="00F3149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61A964D1"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3A8D8B9B" w14:textId="77777777" w:rsidR="00F31496" w:rsidRPr="00F31496" w:rsidRDefault="00F31496" w:rsidP="00F31496">
            <w:pPr>
              <w:spacing w:after="0" w:line="240" w:lineRule="auto"/>
              <w:jc w:val="center"/>
              <w:rPr>
                <w:rFonts w:ascii="Times New Roman" w:eastAsia="Times New Roman" w:hAnsi="Times New Roman" w:cs="Times New Roman"/>
                <w:kern w:val="0"/>
                <w:sz w:val="20"/>
                <w:szCs w:val="20"/>
                <w:lang w:eastAsia="it-IT"/>
                <w14:ligatures w14:val="none"/>
              </w:rPr>
            </w:pPr>
          </w:p>
        </w:tc>
      </w:tr>
      <w:tr w:rsidR="00F31496" w:rsidRPr="00F31496" w14:paraId="468A386B" w14:textId="77777777" w:rsidTr="00F31496">
        <w:tc>
          <w:tcPr>
            <w:tcW w:w="0" w:type="auto"/>
            <w:vAlign w:val="center"/>
            <w:hideMark/>
          </w:tcPr>
          <w:p w14:paraId="7CF2EC7C"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r w:rsidRPr="00F3149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0E675A78"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2E06662B" w14:textId="77777777" w:rsidR="00F31496" w:rsidRPr="00F31496" w:rsidRDefault="00F31496" w:rsidP="00F31496">
            <w:pPr>
              <w:spacing w:after="0" w:line="240" w:lineRule="auto"/>
              <w:jc w:val="center"/>
              <w:rPr>
                <w:rFonts w:ascii="Times New Roman" w:eastAsia="Times New Roman" w:hAnsi="Times New Roman" w:cs="Times New Roman"/>
                <w:kern w:val="0"/>
                <w:sz w:val="20"/>
                <w:szCs w:val="20"/>
                <w:lang w:eastAsia="it-IT"/>
                <w14:ligatures w14:val="none"/>
              </w:rPr>
            </w:pPr>
          </w:p>
        </w:tc>
      </w:tr>
      <w:tr w:rsidR="00F31496" w:rsidRPr="00F31496" w14:paraId="6FF2D061" w14:textId="77777777" w:rsidTr="00F31496">
        <w:tc>
          <w:tcPr>
            <w:tcW w:w="0" w:type="auto"/>
            <w:vAlign w:val="center"/>
            <w:hideMark/>
          </w:tcPr>
          <w:p w14:paraId="3FA32E92"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r w:rsidRPr="00F3149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723E7EBD"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6291017C" w14:textId="77777777" w:rsidR="00F31496" w:rsidRPr="00F31496" w:rsidRDefault="00F31496" w:rsidP="00F31496">
            <w:pPr>
              <w:spacing w:after="0" w:line="240" w:lineRule="auto"/>
              <w:jc w:val="center"/>
              <w:rPr>
                <w:rFonts w:ascii="Times New Roman" w:eastAsia="Times New Roman" w:hAnsi="Times New Roman" w:cs="Times New Roman"/>
                <w:kern w:val="0"/>
                <w:sz w:val="20"/>
                <w:szCs w:val="20"/>
                <w:lang w:eastAsia="it-IT"/>
                <w14:ligatures w14:val="none"/>
              </w:rPr>
            </w:pPr>
          </w:p>
        </w:tc>
      </w:tr>
      <w:tr w:rsidR="00F31496" w:rsidRPr="00F31496" w14:paraId="55B465F1" w14:textId="77777777" w:rsidTr="00F31496">
        <w:tc>
          <w:tcPr>
            <w:tcW w:w="0" w:type="auto"/>
            <w:vAlign w:val="center"/>
            <w:hideMark/>
          </w:tcPr>
          <w:p w14:paraId="51310D60"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r w:rsidRPr="00F3149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61DB0AB1"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2B361AF1" w14:textId="77777777" w:rsidR="00F31496" w:rsidRPr="00F31496" w:rsidRDefault="00F31496" w:rsidP="00F31496">
            <w:pPr>
              <w:spacing w:after="0" w:line="240" w:lineRule="auto"/>
              <w:jc w:val="center"/>
              <w:rPr>
                <w:rFonts w:ascii="Times New Roman" w:eastAsia="Times New Roman" w:hAnsi="Times New Roman" w:cs="Times New Roman"/>
                <w:kern w:val="0"/>
                <w:sz w:val="20"/>
                <w:szCs w:val="20"/>
                <w:lang w:eastAsia="it-IT"/>
                <w14:ligatures w14:val="none"/>
              </w:rPr>
            </w:pPr>
          </w:p>
        </w:tc>
      </w:tr>
      <w:tr w:rsidR="00F31496" w:rsidRPr="00F31496" w14:paraId="3C9EE25D" w14:textId="77777777" w:rsidTr="00F31496">
        <w:tc>
          <w:tcPr>
            <w:tcW w:w="0" w:type="auto"/>
            <w:vAlign w:val="center"/>
            <w:hideMark/>
          </w:tcPr>
          <w:p w14:paraId="04B7B8F4"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r w:rsidRPr="00F3149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173F196C" w14:textId="77777777" w:rsidR="00F31496" w:rsidRPr="00F31496" w:rsidRDefault="00F31496" w:rsidP="00F3149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6ABF0139" w14:textId="77777777" w:rsidR="00F31496" w:rsidRPr="00F31496" w:rsidRDefault="00F31496" w:rsidP="00F31496">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365EF0E3" w14:textId="77777777" w:rsidR="00F31496" w:rsidRPr="00F31496" w:rsidRDefault="00F31496" w:rsidP="00F31496">
      <w:pPr>
        <w:spacing w:after="0" w:line="540" w:lineRule="atLeast"/>
        <w:jc w:val="center"/>
        <w:rPr>
          <w:rFonts w:ascii="Garamond" w:eastAsia="Times New Roman" w:hAnsi="Garamond" w:cs="Times New Roman"/>
          <w:color w:val="000000"/>
          <w:kern w:val="0"/>
          <w:sz w:val="30"/>
          <w:szCs w:val="30"/>
          <w:lang w:eastAsia="it-IT"/>
          <w14:ligatures w14:val="none"/>
        </w:rPr>
      </w:pPr>
      <w:r w:rsidRPr="00F31496">
        <w:rPr>
          <w:rFonts w:ascii="Garamond" w:eastAsia="Times New Roman" w:hAnsi="Garamond" w:cs="Times New Roman"/>
          <w:color w:val="000000"/>
          <w:kern w:val="0"/>
          <w:sz w:val="30"/>
          <w:szCs w:val="30"/>
          <w:lang w:eastAsia="it-IT"/>
          <w14:ligatures w14:val="none"/>
        </w:rPr>
        <w:t>IL SEGRETARIO</w:t>
      </w:r>
    </w:p>
    <w:p w14:paraId="72FCE178" w14:textId="77777777" w:rsidR="00CF66E9" w:rsidRDefault="00CF66E9"/>
    <w:sectPr w:rsidR="00CF66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96"/>
    <w:rsid w:val="0033703E"/>
    <w:rsid w:val="00532ED8"/>
    <w:rsid w:val="009751B5"/>
    <w:rsid w:val="00CF66E9"/>
    <w:rsid w:val="00F314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8B7D"/>
  <w15:chartTrackingRefBased/>
  <w15:docId w15:val="{273D1DF6-1BD2-4FD1-911F-1DFF36CA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314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F314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F31496"/>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F31496"/>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F31496"/>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F3149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3149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3149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3149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31496"/>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F31496"/>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F31496"/>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F31496"/>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F31496"/>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F3149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3149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3149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3149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31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3149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3149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3149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3149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31496"/>
    <w:rPr>
      <w:i/>
      <w:iCs/>
      <w:color w:val="404040" w:themeColor="text1" w:themeTint="BF"/>
    </w:rPr>
  </w:style>
  <w:style w:type="paragraph" w:styleId="Paragrafoelenco">
    <w:name w:val="List Paragraph"/>
    <w:basedOn w:val="Normale"/>
    <w:uiPriority w:val="34"/>
    <w:qFormat/>
    <w:rsid w:val="00F31496"/>
    <w:pPr>
      <w:ind w:left="720"/>
      <w:contextualSpacing/>
    </w:pPr>
  </w:style>
  <w:style w:type="character" w:styleId="Enfasiintensa">
    <w:name w:val="Intense Emphasis"/>
    <w:basedOn w:val="Carpredefinitoparagrafo"/>
    <w:uiPriority w:val="21"/>
    <w:qFormat/>
    <w:rsid w:val="00F31496"/>
    <w:rPr>
      <w:i/>
      <w:iCs/>
      <w:color w:val="2E74B5" w:themeColor="accent1" w:themeShade="BF"/>
    </w:rPr>
  </w:style>
  <w:style w:type="paragraph" w:styleId="Citazioneintensa">
    <w:name w:val="Intense Quote"/>
    <w:basedOn w:val="Normale"/>
    <w:next w:val="Normale"/>
    <w:link w:val="CitazioneintensaCarattere"/>
    <w:uiPriority w:val="30"/>
    <w:qFormat/>
    <w:rsid w:val="00F314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F31496"/>
    <w:rPr>
      <w:i/>
      <w:iCs/>
      <w:color w:val="2E74B5" w:themeColor="accent1" w:themeShade="BF"/>
    </w:rPr>
  </w:style>
  <w:style w:type="character" w:styleId="Riferimentointenso">
    <w:name w:val="Intense Reference"/>
    <w:basedOn w:val="Carpredefinitoparagrafo"/>
    <w:uiPriority w:val="32"/>
    <w:qFormat/>
    <w:rsid w:val="00F3149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22419</Words>
  <Characters>127792</Characters>
  <Application>Microsoft Office Word</Application>
  <DocSecurity>0</DocSecurity>
  <Lines>1064</Lines>
  <Paragraphs>299</Paragraphs>
  <ScaleCrop>false</ScaleCrop>
  <Company/>
  <LinksUpToDate>false</LinksUpToDate>
  <CharactersWithSpaces>149912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PERNA Rosa</dc:creator>
  <cp:keywords/>
  <dc:description/>
  <cp:lastModifiedBy>PERNA Rosa</cp:lastModifiedBy>
  <cp:revision>1</cp:revision>
  <dcterms:created xsi:type="dcterms:W3CDTF">2026-06-02T16:51:00Z</dcterms:created>
  <dcterms:modified xsi:type="dcterms:W3CDTF">2026-06-02T16:52:00Z</dcterms:modified>
</cp:coreProperties>
</file>