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r>
        <w:rPr>
          <w:rFonts w:ascii="Verdana" w:hAnsi="Verdana" w:cs="Verdana"/>
          <w:sz w:val="20"/>
          <w:sz-cs w:val="20"/>
          <w:spacing w:val="0"/>
        </w:rPr>
        <w:t xml:space="preserve"/>
      </w:r>
    </w:p>
    <w:p>
      <w:pPr/>
      <w:r>
        <w:rPr>
          <w:rFonts w:ascii="Verdana" w:hAnsi="Verdana" w:cs="Verdana"/>
          <w:sz w:val="20"/>
          <w:sz-cs w:val="20"/>
          <w:b/>
          <w:spacing w:val="0"/>
          <w:color w:val="0000FF"/>
        </w:rPr>
        <w:t xml:space="preserve">Roj:</w:t>
      </w:r>
      <w:r>
        <w:rPr>
          <w:rFonts w:ascii="Verdana" w:hAnsi="Verdana" w:cs="Verdana"/>
          <w:sz w:val="20"/>
          <w:sz-cs w:val="20"/>
          <w:spacing w:val="0"/>
        </w:rPr>
        <w:t xml:space="preserve"> STS  2183/2026 - </w:t>
      </w:r>
      <w:r>
        <w:rPr>
          <w:rFonts w:ascii="Verdana" w:hAnsi="Verdana" w:cs="Verdana"/>
          <w:sz w:val="20"/>
          <w:sz-cs w:val="20"/>
          <w:b/>
          <w:spacing w:val="0"/>
          <w:color w:val="0000FF"/>
        </w:rPr>
        <w:t xml:space="preserve"> ECLI:</w:t>
      </w:r>
      <w:r>
        <w:rPr>
          <w:rFonts w:ascii="Verdana" w:hAnsi="Verdana" w:cs="Verdana"/>
          <w:sz w:val="20"/>
          <w:sz-cs w:val="20"/>
          <w:spacing w:val="0"/>
        </w:rPr>
        <w:t xml:space="preserve">ES:TS:2026:2183</w:t>
      </w:r>
    </w:p>
    <w:p>
      <w:pPr/>
      <w:r>
        <w:rPr>
          <w:rFonts w:ascii="Verdana" w:hAnsi="Verdana" w:cs="Verdana"/>
          <w:sz w:val="20"/>
          <w:sz-cs w:val="20"/>
          <w:b/>
          <w:spacing w:val="0"/>
          <w:color w:val="0000FF"/>
        </w:rPr>
        <w:t xml:space="preserve">Órgano:</w:t>
      </w:r>
      <w:r>
        <w:rPr>
          <w:rFonts w:ascii="Verdana" w:hAnsi="Verdana" w:cs="Verdana"/>
          <w:sz w:val="20"/>
          <w:sz-cs w:val="20"/>
          <w:spacing w:val="0"/>
        </w:rPr>
        <w:t xml:space="preserve"> Tribunal Supremo. Sala de lo Civil</w:t>
      </w:r>
    </w:p>
    <w:p>
      <w:pPr/>
      <w:r>
        <w:rPr>
          <w:rFonts w:ascii="Verdana" w:hAnsi="Verdana" w:cs="Verdana"/>
          <w:sz w:val="20"/>
          <w:sz-cs w:val="20"/>
          <w:b/>
          <w:spacing w:val="0"/>
          <w:color w:val="0000FF"/>
        </w:rPr>
        <w:t xml:space="preserve">Sede:</w:t>
      </w:r>
      <w:r>
        <w:rPr>
          <w:rFonts w:ascii="Verdana" w:hAnsi="Verdana" w:cs="Verdana"/>
          <w:sz w:val="20"/>
          <w:sz-cs w:val="20"/>
          <w:spacing w:val="0"/>
        </w:rPr>
        <w:t xml:space="preserve"> Madrid</w:t>
      </w:r>
    </w:p>
    <w:p>
      <w:pPr/>
      <w:r>
        <w:rPr>
          <w:rFonts w:ascii="Verdana" w:hAnsi="Verdana" w:cs="Verdana"/>
          <w:sz w:val="20"/>
          <w:sz-cs w:val="20"/>
          <w:b/>
          <w:spacing w:val="0"/>
          <w:color w:val="0000FF"/>
        </w:rPr>
        <w:t xml:space="preserve">Sección:</w:t>
      </w:r>
      <w:r>
        <w:rPr>
          <w:rFonts w:ascii="Verdana" w:hAnsi="Verdana" w:cs="Verdana"/>
          <w:sz w:val="20"/>
          <w:sz-cs w:val="20"/>
          <w:spacing w:val="0"/>
        </w:rPr>
        <w:t xml:space="preserve"> 1</w:t>
      </w:r>
    </w:p>
    <w:p>
      <w:pPr/>
      <w:r>
        <w:rPr>
          <w:rFonts w:ascii="Verdana" w:hAnsi="Verdana" w:cs="Verdana"/>
          <w:sz w:val="20"/>
          <w:sz-cs w:val="20"/>
          <w:b/>
          <w:spacing w:val="0"/>
          <w:color w:val="0000FF"/>
        </w:rPr>
        <w:t xml:space="preserve">Nº de Recurso:</w:t>
      </w:r>
      <w:r>
        <w:rPr>
          <w:rFonts w:ascii="Verdana" w:hAnsi="Verdana" w:cs="Verdana"/>
          <w:sz w:val="20"/>
          <w:sz-cs w:val="20"/>
          <w:spacing w:val="0"/>
        </w:rPr>
        <w:t xml:space="preserve"> 3344/2025</w:t>
      </w:r>
    </w:p>
    <w:p>
      <w:pPr/>
      <w:r>
        <w:rPr>
          <w:rFonts w:ascii="Verdana" w:hAnsi="Verdana" w:cs="Verdana"/>
          <w:sz w:val="20"/>
          <w:sz-cs w:val="20"/>
          <w:b/>
          <w:spacing w:val="0"/>
          <w:color w:val="0000FF"/>
        </w:rPr>
        <w:t xml:space="preserve">Nº de Resolución:</w:t>
      </w:r>
      <w:r>
        <w:rPr>
          <w:rFonts w:ascii="Verdana" w:hAnsi="Verdana" w:cs="Verdana"/>
          <w:sz w:val="20"/>
          <w:sz-cs w:val="20"/>
          <w:spacing w:val="0"/>
        </w:rPr>
        <w:t xml:space="preserve"> 769/2026</w:t>
      </w:r>
    </w:p>
    <w:p>
      <w:pPr/>
      <w:r>
        <w:rPr>
          <w:rFonts w:ascii="Verdana" w:hAnsi="Verdana" w:cs="Verdana"/>
          <w:sz w:val="20"/>
          <w:sz-cs w:val="20"/>
          <w:b/>
          <w:spacing w:val="0"/>
          <w:color w:val="0000FF"/>
        </w:rPr>
        <w:t xml:space="preserve">Fecha de Resolución:</w:t>
      </w:r>
      <w:r>
        <w:rPr>
          <w:rFonts w:ascii="Verdana" w:hAnsi="Verdana" w:cs="Verdana"/>
          <w:sz w:val="20"/>
          <w:sz-cs w:val="20"/>
          <w:spacing w:val="0"/>
        </w:rPr>
        <w:t xml:space="preserve"> 20/05/2026</w:t>
      </w:r>
    </w:p>
    <w:p>
      <w:pPr/>
      <w:r>
        <w:rPr>
          <w:rFonts w:ascii="Verdana" w:hAnsi="Verdana" w:cs="Verdana"/>
          <w:sz w:val="20"/>
          <w:sz-cs w:val="20"/>
          <w:b/>
          <w:spacing w:val="0"/>
          <w:color w:val="0000FF"/>
        </w:rPr>
        <w:t xml:space="preserve">Procedimiento:</w:t>
      </w:r>
      <w:r>
        <w:rPr>
          <w:rFonts w:ascii="Verdana" w:hAnsi="Verdana" w:cs="Verdana"/>
          <w:sz w:val="20"/>
          <w:sz-cs w:val="20"/>
          <w:spacing w:val="0"/>
        </w:rPr>
        <w:t xml:space="preserve"> Recurso de casación</w:t>
      </w:r>
    </w:p>
    <w:p>
      <w:pPr/>
      <w:r>
        <w:rPr>
          <w:rFonts w:ascii="Verdana" w:hAnsi="Verdana" w:cs="Verdana"/>
          <w:sz w:val="20"/>
          <w:sz-cs w:val="20"/>
          <w:b/>
          <w:spacing w:val="0"/>
          <w:color w:val="0000FF"/>
        </w:rPr>
        <w:t xml:space="preserve">Ponente:</w:t>
      </w:r>
      <w:r>
        <w:rPr>
          <w:rFonts w:ascii="Verdana" w:hAnsi="Verdana" w:cs="Verdana"/>
          <w:sz w:val="20"/>
          <w:sz-cs w:val="20"/>
          <w:spacing w:val="0"/>
        </w:rPr>
        <w:t xml:space="preserve"> RAFAEL SARAZA JIMENA</w:t>
      </w:r>
    </w:p>
    <w:p>
      <w:pPr/>
      <w:r>
        <w:rPr>
          <w:rFonts w:ascii="Verdana" w:hAnsi="Verdana" w:cs="Verdana"/>
          <w:sz w:val="20"/>
          <w:sz-cs w:val="20"/>
          <w:b/>
          <w:spacing w:val="0"/>
          <w:color w:val="0000FF"/>
        </w:rPr>
        <w:t xml:space="preserve">Tipo de Resolución:</w:t>
      </w:r>
      <w:r>
        <w:rPr>
          <w:rFonts w:ascii="Verdana" w:hAnsi="Verdana" w:cs="Verdana"/>
          <w:sz w:val="20"/>
          <w:sz-cs w:val="20"/>
          <w:spacing w:val="0"/>
        </w:rPr>
        <w:t xml:space="preserve"> Sentencia</w:t>
      </w:r>
    </w:p>
    <w:p>
      <w:pPr/>
      <w:r>
        <w:rPr>
          <w:rFonts w:ascii="Verdana" w:hAnsi="Verdana" w:cs="Verdana"/>
          <w:sz w:val="20"/>
          <w:sz-cs w:val="20"/>
          <w:spacing w:val="0"/>
        </w:rPr>
        <w:t xml:space="preserve"/>
      </w:r>
    </w:p>
    <w:p>
      <w:pPr/>
      <w:r>
        <w:rPr>
          <w:rFonts w:ascii="Verdana" w:hAnsi="Verdana" w:cs="Verdana"/>
          <w:sz w:val="20"/>
          <w:sz-cs w:val="20"/>
          <w:b/>
          <w:spacing w:val="0"/>
          <w:color w:val="0000FF"/>
        </w:rPr>
        <w:t xml:space="preserve">Cuestión:</w:t>
      </w:r>
      <w:r>
        <w:rPr>
          <w:rFonts w:ascii="Verdana" w:hAnsi="Verdana" w:cs="Verdana"/>
          <w:sz w:val="20"/>
          <w:sz-cs w:val="20"/>
          <w:spacing w:val="0"/>
        </w:rPr>
        <w:t xml:space="preserve"/>
      </w:r>
    </w:p>
    <w:p>
      <w:pPr/>
      <w:r>
        <w:rPr>
          <w:rFonts w:ascii="Verdana" w:hAnsi="Verdana" w:cs="Verdana"/>
          <w:sz w:val="20"/>
          <w:sz-cs w:val="20"/>
          <w:spacing w:val="0"/>
        </w:rPr>
        <w:t xml:space="preserve"/>
      </w:r>
    </w:p>
    <w:p>
      <w:pPr>
        <w:jc w:val="both"/>
      </w:pPr>
      <w:r>
        <w:rPr>
          <w:rFonts w:ascii="Verdana" w:hAnsi="Verdana" w:cs="Verdana"/>
          <w:sz w:val="20"/>
          <w:sz-cs w:val="20"/>
          <w:spacing w:val="0"/>
        </w:rPr>
        <w:t xml:space="preserve"> Cártel de los camiones. Falta de aportación del informe pericial por el demandante. Para poder hacer uso de las facultades estimativas de la cuantía del daño es necesario que la falta de prueba de su cuantía no sea debida a la inactividad del demandante.</w:t>
      </w:r>
    </w:p>
    <w:p>
      <w:pPr>
        <w:jc w:val="both"/>
      </w:pPr>
      <w:r>
        <w:rPr>
          <w:rFonts w:ascii="Verdana" w:hAnsi="Verdana" w:cs="Verdana"/>
          <w:sz w:val="20"/>
          <w:sz-cs w:val="20"/>
          <w:spacing w:val="0"/>
        </w:rPr>
        <w:t xml:space="preserve"/>
      </w:r>
    </w:p>
    <w:p>
      <w:pPr>
        <w:jc w:val="both"/>
      </w:pPr>
      <w:r>
        <w:rPr>
          <w:rFonts w:ascii="Verdana" w:hAnsi="Verdana" w:cs="Verdana"/>
          <w:sz w:val="20"/>
          <w:sz-cs w:val="20"/>
          <w:b/>
          <w:spacing w:val="0"/>
          <w:color w:val="0000FF"/>
        </w:rPr>
        <w:t xml:space="preserve">Resumen:</w:t>
      </w:r>
      <w:r>
        <w:rPr>
          <w:rFonts w:ascii="Verdana" w:hAnsi="Verdana" w:cs="Verdana"/>
          <w:sz w:val="20"/>
          <w:sz-cs w:val="20"/>
          <w:spacing w:val="0"/>
        </w:rPr>
        <w:t xml:space="preserve"/>
      </w:r>
    </w:p>
    <w:p>
      <w:pPr>
        <w:jc w:val="both"/>
      </w:pPr>
      <w:r>
        <w:rPr>
          <w:rFonts w:ascii="Verdana" w:hAnsi="Verdana" w:cs="Verdana"/>
          <w:sz w:val="20"/>
          <w:sz-cs w:val="20"/>
          <w:spacing w:val="0"/>
        </w:rPr>
        <w:t xml:space="preserve"/>
      </w:r>
    </w:p>
    <w:p>
      <w:pPr>
        <w:jc w:val="both"/>
      </w:pPr>
      <w:r>
        <w:rPr>
          <w:rFonts w:ascii="Verdana" w:hAnsi="Verdana" w:cs="Verdana"/>
          <w:sz w:val="20"/>
          <w:sz-cs w:val="20"/>
          <w:spacing w:val="0"/>
        </w:rPr>
        <w:t xml:space="preserve"> La sentencia recurrida basa su decisión de condenar solidariamente a las demandadas a indemnizar a la demandante en el 5% del precio del camión en la existencia de numerosas sentencias dictadas por esta sala en las que se fijó la cuantía del daño causado por el cártel en ese porcentaje del precio. Pero, en realidad, lo que declaran esas sentencias es que en los casos por ellas resueltos, la parte demandante realizó una actividad probatoria (en concreto, la presentación de un informe pericial) que permitió probar la existencia del daño pero no fue posible probar la cuantía del mismo. Como la imposibilidad de probar esa cuantía del daño no era imputable a la inactividad del perjudicado, fue posible la estimación judicial del daño. Esas circunstancias no concurren en el presente supuesto, en el que el informe pericial destinado a probar la cuantía del daño que fue aportado por la demandante fue inadmitido por extemporáneo. Por tal razón, no puede aceptarse que esas sentencias firmes anteriores tengan como efecto indirecto probar que el daño fue del 5% del precio. No se trata, por tanto, de que se estén dictando sentencias con pronunciamientos contradictorios. Los pronunciamientos de unas y otras sentencias son concordantes: si existe prueba del daño y la falta de prueba de su cuantía no se debe a la inactividad del perjudicado, el juez puede hacer uso de las facultades de estimación de la cuantía del daño. Si, por el contrario, la falta de prueba de la cuantía del daño es debida a la inactividad del perjudicado, el juez no puede realizar una fijación estimativa de esa cuantía y la demanda debe ser desestimada, como ocurre en este caso.</w:t>
      </w:r>
    </w:p>
    <w:p>
      <w:pPr>
        <w:jc w:val="both"/>
      </w:pPr>
      <w:r>
        <w:rPr>
          <w:rFonts w:ascii="Verdana" w:hAnsi="Verdana" w:cs="Verdana"/>
          <w:sz w:val="20"/>
          <w:sz-cs w:val="20"/>
          <w:spacing w:val="0"/>
        </w:rPr>
        <w:t xml:space="preserve"/>
      </w:r>
    </w:p>
    <w:p>
      <w:pPr>
        <w:jc w:val="both"/>
      </w:pPr>
      <w:r>
        <w:rPr>
          <w:rFonts w:ascii="Verdana" w:hAnsi="Verdana" w:cs="Verdana"/>
          <w:sz w:val="20"/>
          <w:sz-cs w:val="20"/>
          <w:u w:val="single" w:color="000000"/>
          <w:spacing w:val="0"/>
        </w:rPr>
        <w:t xml:space="preserve"/>
        <w:tab/>
        <w:t xml:space="preserve"/>
        <w:tab/>
        <w:t xml:space="preserve"/>
        <w:tab/>
        <w:t xml:space="preserve"/>
        <w:tab/>
        <w:t xml:space="preserve"/>
        <w:tab/>
        <w:t xml:space="preserve"/>
        <w:tab/>
        <w:t xml:space="preserve"/>
        <w:tab/>
        <w:t xml:space="preserve"/>
        <w:tab/>
        <w:t xml:space="preserve"/>
        <w:tab/>
        <w:t xml:space="preserve"/>
      </w:r>
      <w:r>
        <w:rPr>
          <w:rFonts w:ascii="Verdana" w:hAnsi="Verdana" w:cs="Verdana"/>
          <w:sz w:val="20"/>
          <w:sz-cs w:val="20"/>
          <w:spacing w:val="0"/>
        </w:rPr>
        <w:t xml:space="preserve"/>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r>
    </w:p>
    <w:p>
      <w:pPr>
        <w:jc w:val="both"/>
      </w:pPr>
      <w:r>
        <w:rPr>
          <w:rFonts w:ascii="Verdana" w:hAnsi="Verdana" w:cs="Verdana"/>
          <w:sz w:val="20"/>
          <w:sz-cs w:val="20"/>
          <w:b/>
          <w:spacing w:val="0"/>
          <w:color w:val="0000FF"/>
        </w:rPr>
        <w:t xml:space="preserve">Encabezamiento</w:t>
      </w: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T R I B U N A L S U P R E M O </w:t>
      </w:r>
      <w:r>
        <w:rPr>
          <w:rFonts w:ascii="Verdana" w:hAnsi="Verdana" w:cs="Verdana"/>
          <w:sz w:val="20"/>
          <w:sz-cs w:val="20"/>
          <w:spacing w:val="0"/>
        </w:rPr>
        <w:t xml:space="preserve"> </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Sala de lo Civil </w:t>
      </w:r>
      <w:r>
        <w:rPr>
          <w:rFonts w:ascii="Verdana" w:hAnsi="Verdana" w:cs="Verdana"/>
          <w:sz w:val="20"/>
          <w:sz-cs w:val="20"/>
          <w:spacing w:val="0"/>
        </w:rPr>
        <w:t xml:space="preserve"> </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w:t>
      </w:r>
      <w:r>
        <w:rPr>
          <w:rFonts w:ascii="Verdana" w:hAnsi="Verdana" w:cs="Verdana"/>
          <w:sz w:val="20"/>
          <w:sz-cs w:val="20"/>
          <w:b/>
          <w:u w:val="single" w:color="000000"/>
          <w:spacing w:val="0"/>
        </w:rPr>
        <w:t xml:space="preserve"> Sentencia núm. 769/2026 </w:t>
      </w:r>
      <w:r>
        <w:rPr>
          <w:rFonts w:ascii="Verdana" w:hAnsi="Verdana" w:cs="Verdana"/>
          <w:sz w:val="20"/>
          <w:sz-cs w:val="20"/>
          <w:b/>
          <w:spacing w:val="0"/>
        </w:rPr>
        <w:t xml:space="preserve">  </w:t>
      </w:r>
      <w:r>
        <w:rPr>
          <w:rFonts w:ascii="Verdana" w:hAnsi="Verdana" w:cs="Verdana"/>
          <w:sz w:val="20"/>
          <w:sz-cs w:val="20"/>
          <w:spacing w:val="0"/>
        </w:rPr>
        <w:t xml:space="preserve"> </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Fecha de sentencia: 20/05/2026</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Tipo de procedimiento: RECURSO DE CASACIÓN</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Número del procedimiento: 3344/2025</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Fallo/Acuerdo:</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Fecha de Votación y Fallo: 13/05/2026</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Ponente: Excmo. Sr. D. Rafael Sarazá Jimena</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Procedencia: Audiencia Provincial de Las Palmas de Gran Canaria, Sección Cuarta.</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Letrado de la Administración de Justicia: Ilmo. Sr. D. Fernando Javier Navalón Romero</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Transcrito por: ACS</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Nota:</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RECURSO DE CASACIÓN núm.: 3344/2025</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Ponente: Excmo. Sr. D. Rafael Sarazá Jimena</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Letrado de la Administración de Justicia: Ilmo. Sr. D. Fernando Javier Navalón Romero</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TRIBUNAL SUPREMO </w:t>
      </w:r>
      <w:r>
        <w:rPr>
          <w:rFonts w:ascii="Verdana" w:hAnsi="Verdana" w:cs="Verdana"/>
          <w:sz w:val="20"/>
          <w:sz-cs w:val="20"/>
          <w:spacing w:val="0"/>
        </w:rPr>
        <w:t xml:space="preserve"> </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Sala de lo Civil </w:t>
      </w:r>
      <w:r>
        <w:rPr>
          <w:rFonts w:ascii="Verdana" w:hAnsi="Verdana" w:cs="Verdana"/>
          <w:sz w:val="20"/>
          <w:sz-cs w:val="20"/>
          <w:spacing w:val="0"/>
        </w:rPr>
        <w:t xml:space="preserve"> </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Sentencia núm. 769/2026 </w:t>
      </w:r>
      <w:r>
        <w:rPr>
          <w:rFonts w:ascii="Verdana" w:hAnsi="Verdana" w:cs="Verdana"/>
          <w:sz w:val="20"/>
          <w:sz-cs w:val="20"/>
          <w:spacing w:val="0"/>
        </w:rPr>
        <w:t xml:space="preserve"> </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Excmos. Sres.</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D. Ignacio Sancho Gargallo, presidente</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D. Rafael Sarazá Jimena</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D. Pedro José Vela Torres</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D. Fernando Cerdá Albero</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En Madrid, a 20 de mayo de 2026.</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Esta Sala ha visto el recurso de casación respecto de la </w:t>
      </w:r>
      <w:r>
        <w:rPr>
          <w:rFonts w:ascii="Verdana" w:hAnsi="Verdana" w:cs="Verdana"/>
          <w:sz w:val="20"/>
          <w:sz-cs w:val="20"/>
          <w:i/>
          <w:spacing w:val="0"/>
        </w:rPr>
        <w:t xml:space="preserve"> sentencia 630/2024, de 11 de noviembre, dictada en grado de apelación por la Sección Cuarta de la Audiencia Provincial de las Palmas de Gran Canaria </w:t>
      </w:r>
      <w:r>
        <w:rPr>
          <w:rFonts w:ascii="Verdana" w:hAnsi="Verdana" w:cs="Verdana"/>
          <w:sz w:val="20"/>
          <w:sz-cs w:val="20"/>
          <w:spacing w:val="0"/>
        </w:rPr>
        <w:t xml:space="preserve">, como consecuencia de </w:t>
      </w:r>
      <w:r>
        <w:rPr>
          <w:rFonts w:ascii="Verdana" w:hAnsi="Verdana" w:cs="Verdana"/>
          <w:sz w:val="20"/>
          <w:sz-cs w:val="20"/>
          <w:i/>
          <w:spacing w:val="0"/>
        </w:rPr>
        <w:t xml:space="preserve"> autos de juicio ordinario núm. 665/2020 del Juzgado de lo Mercantil núm. 1 de las Palmas de Gran Canaria </w:t>
      </w:r>
      <w:r>
        <w:rPr>
          <w:rFonts w:ascii="Verdana" w:hAnsi="Verdana" w:cs="Verdana"/>
          <w:sz w:val="20"/>
          <w:sz-cs w:val="20"/>
          <w:spacing w:val="0"/>
        </w:rPr>
        <w:t xml:space="preserve">, sobre indemnización de daños causados por infracción del Derecho de la</w:t>
      </w:r>
      <w:r>
        <w:rPr>
          <w:rFonts w:ascii="Verdana" w:hAnsi="Verdana" w:cs="Verdana"/>
          <w:sz w:val="20"/>
          <w:sz-cs w:val="20"/>
          <w:spacing w:val="0"/>
          <w:color w:val="FF0000"/>
        </w:rPr>
        <w:t xml:space="preserve"> competencia</w:t>
      </w:r>
      <w:r>
        <w:rPr>
          <w:rFonts w:ascii="Verdana" w:hAnsi="Verdana" w:cs="Verdana"/>
          <w:sz w:val="20"/>
          <w:sz-cs w:val="20"/>
          <w:spacing w:val="0"/>
        </w:rPr>
        <w:t xml:space="preserve">.</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Son parte recurrente AB Volvo y Volvo Group España S.A.U., representado por el procurador D. Ignacio López Chocarro y bajo la dirección letrada de D. Rafael Murillo Tapia y D.ª Natalia Gómez Bernardo.</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Es parte recurrida D.ª Martina, representada por el procurador D. Joaquín González Díaz y bajo la dirección letrada de D. Federico Toledo Guadalupe.</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Ha sido ponente el Excmo. Sr. D. Rafael Sarazá Jimena.</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r>
    </w:p>
    <w:p>
      <w:pPr>
        <w:jc w:val="both"/>
      </w:pPr>
      <w:r>
        <w:rPr>
          <w:rFonts w:ascii="Verdana" w:hAnsi="Verdana" w:cs="Verdana"/>
          <w:sz w:val="20"/>
          <w:sz-cs w:val="20"/>
          <w:b/>
          <w:spacing w:val="0"/>
          <w:color w:val="0000FF"/>
        </w:rPr>
        <w:t xml:space="preserve">ANTECEDENTES DE HECHO</w:t>
      </w:r>
      <w:r>
        <w:rPr>
          <w:rFonts w:ascii="Verdana" w:hAnsi="Verdana" w:cs="Verdana"/>
          <w:sz w:val="20"/>
          <w:sz-cs w:val="20"/>
          <w:spacing w:val="0"/>
        </w:rPr>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PRIMERO.- </w:t>
      </w:r>
      <w:r>
        <w:rPr>
          <w:rFonts w:ascii="Verdana" w:hAnsi="Verdana" w:cs="Verdana"/>
          <w:sz w:val="20"/>
          <w:sz-cs w:val="20"/>
          <w:spacing w:val="0"/>
        </w:rPr>
        <w:t xml:space="preserve">  </w:t>
      </w:r>
      <w:r>
        <w:rPr>
          <w:rFonts w:ascii="Verdana" w:hAnsi="Verdana" w:cs="Verdana"/>
          <w:sz w:val="20"/>
          <w:sz-cs w:val="20"/>
          <w:i/>
          <w:spacing w:val="0"/>
        </w:rPr>
        <w:t xml:space="preserve"> Tramitación en primera instancia. </w:t>
      </w:r>
      <w:r>
        <w:rPr>
          <w:rFonts w:ascii="Verdana" w:hAnsi="Verdana" w:cs="Verdana"/>
          <w:sz w:val="20"/>
          <w:sz-cs w:val="20"/>
          <w:spacing w:val="0"/>
        </w:rPr>
        <w:t xml:space="preserve"> </w:t>
        <w:tab/>
        <w:t xml:space="preserve"/>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1.- </w:t>
      </w:r>
      <w:r>
        <w:rPr>
          <w:rFonts w:ascii="Verdana" w:hAnsi="Verdana" w:cs="Verdana"/>
          <w:sz w:val="20"/>
          <w:sz-cs w:val="20"/>
          <w:spacing w:val="0"/>
        </w:rPr>
        <w:t xml:space="preserve"> El procurador D. Joaquín González Díaz, en nombre y representación de D.ª Martina, interpuso demanda de juicio ordinario contra AB Volvo y Volvo Group España S.A.U., en la que solicitaba se dictara sentencia:</w:t>
        <w:tab/>
        <w:t xml:space="preserve"/>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 por la que,</w:t>
        <w:tab/>
        <w:t xml:space="preserve"/>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»1.-Declare la nulidad de la cláusula abusiva del contrato por el sobreprecio soportado y no negociado que ha sido ocasionado a mi representado en el contrato de compraventa del único camión, manteniéndose en lo demás la vigencia del contrato.</w:t>
        <w:tab/>
        <w:t xml:space="preserve"/>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»2.- Se condene a la demandada al pago de la cantidad indeterminada de diecisiete mil diez euros (17.010,00&amp;#8364;), correspondiente a la cuantía estimada que fue abonada en exceso por mi mandante por la compra del camión.</w:t>
        <w:tab/>
        <w:t xml:space="preserve"/>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»3.- Se condene a la demandada al abono de los intereses legales y moratorios producidos por la cantidad cobrada por la parte demandada en exceso.</w:t>
        <w:tab/>
        <w:t xml:space="preserve"/>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»4.- Se condene a la demandada al pago de los intereses procesales desde la interposición de la presente demanda hasta el completo pago de lo declarado en sentencia.</w:t>
        <w:tab/>
        <w:t xml:space="preserve"/>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»5.- Todo ello, con expresa imposición de costas generadas a la parte demandada».</w:t>
        <w:tab/>
        <w:t xml:space="preserve"/>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2.- </w:t>
      </w:r>
      <w:r>
        <w:rPr>
          <w:rFonts w:ascii="Verdana" w:hAnsi="Verdana" w:cs="Verdana"/>
          <w:sz w:val="20"/>
          <w:sz-cs w:val="20"/>
          <w:spacing w:val="0"/>
        </w:rPr>
        <w:t xml:space="preserve"> La demanda fue presentada el 30 de noviembre de 2020 y, repartida al Juzgado de lo Mercantil núm. 1 de las Palmas de Gran Canaria, fue registrada con el núm. 665/2020. Una vez fue admitida a trámite, se procedió al emplazamiento de la parte demandada.</w:t>
        <w:tab/>
        <w:t xml:space="preserve"/>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3.- </w:t>
      </w:r>
      <w:r>
        <w:rPr>
          <w:rFonts w:ascii="Verdana" w:hAnsi="Verdana" w:cs="Verdana"/>
          <w:sz w:val="20"/>
          <w:sz-cs w:val="20"/>
          <w:spacing w:val="0"/>
        </w:rPr>
        <w:t xml:space="preserve"> La procuradora D.ª Paloma Guijarro Rubio, en representación de Volvo Group España S.A.U., contestó a la demanda, solicitando su desestimación y la expresa condena en costas.</w:t>
        <w:tab/>
        <w:t xml:space="preserve"/>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Y, La procuradora D.ª Paloma Guijarro Rubio, en representación de AB Volvo, contestó a la demanda, solicitando su desestimación y la expresa condena en costas.</w:t>
        <w:tab/>
        <w:t xml:space="preserve"/>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4.- </w:t>
      </w:r>
      <w:r>
        <w:rPr>
          <w:rFonts w:ascii="Verdana" w:hAnsi="Verdana" w:cs="Verdana"/>
          <w:sz w:val="20"/>
          <w:sz-cs w:val="20"/>
          <w:spacing w:val="0"/>
        </w:rPr>
        <w:t xml:space="preserve"> Tras seguirse los trámites correspondientes, el Magistrado-juez del </w:t>
      </w:r>
      <w:r>
        <w:rPr>
          <w:rFonts w:ascii="Verdana" w:hAnsi="Verdana" w:cs="Verdana"/>
          <w:sz w:val="20"/>
          <w:sz-cs w:val="20"/>
          <w:i/>
          <w:spacing w:val="0"/>
        </w:rPr>
        <w:t xml:space="preserve"> Juzgado de Mercantil núm. 1 de las Palmas de Gran Canaria, dictó sentencia 51/2023, de 3 de marzo </w:t>
      </w:r>
      <w:r>
        <w:rPr>
          <w:rFonts w:ascii="Verdana" w:hAnsi="Verdana" w:cs="Verdana"/>
          <w:sz w:val="20"/>
          <w:sz-cs w:val="20"/>
          <w:spacing w:val="0"/>
        </w:rPr>
        <w:t xml:space="preserve">, que desestimó la demanda, con imposición de costas a la parte actora.</w:t>
        <w:tab/>
        <w:t xml:space="preserve"/>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SEGUNDO.- </w:t>
      </w:r>
      <w:r>
        <w:rPr>
          <w:rFonts w:ascii="Verdana" w:hAnsi="Verdana" w:cs="Verdana"/>
          <w:sz w:val="20"/>
          <w:sz-cs w:val="20"/>
          <w:spacing w:val="0"/>
        </w:rPr>
        <w:t xml:space="preserve">  </w:t>
      </w:r>
      <w:r>
        <w:rPr>
          <w:rFonts w:ascii="Verdana" w:hAnsi="Verdana" w:cs="Verdana"/>
          <w:sz w:val="20"/>
          <w:sz-cs w:val="20"/>
          <w:i/>
          <w:spacing w:val="0"/>
        </w:rPr>
        <w:t xml:space="preserve"> Tramitación en segunda instancia. </w:t>
      </w:r>
      <w:r>
        <w:rPr>
          <w:rFonts w:ascii="Verdana" w:hAnsi="Verdana" w:cs="Verdana"/>
          <w:sz w:val="20"/>
          <w:sz-cs w:val="20"/>
          <w:spacing w:val="0"/>
        </w:rPr>
        <w:t xml:space="preserve"> </w:t>
        <w:tab/>
        <w:t xml:space="preserve"/>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1.- </w:t>
      </w:r>
      <w:r>
        <w:rPr>
          <w:rFonts w:ascii="Verdana" w:hAnsi="Verdana" w:cs="Verdana"/>
          <w:sz w:val="20"/>
          <w:sz-cs w:val="20"/>
          <w:spacing w:val="0"/>
        </w:rPr>
        <w:t xml:space="preserve"> La sentencia de primera instancia fue recurrida en apelación por la representación de D.ª Martina y, la representación de AB Volvo y Volvo Group España S.A.U. se opusieron al recurso.</w:t>
        <w:tab/>
        <w:t xml:space="preserve"/>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2.- </w:t>
      </w:r>
      <w:r>
        <w:rPr>
          <w:rFonts w:ascii="Verdana" w:hAnsi="Verdana" w:cs="Verdana"/>
          <w:sz w:val="20"/>
          <w:sz-cs w:val="20"/>
          <w:spacing w:val="0"/>
        </w:rPr>
        <w:t xml:space="preserve"> La resolución de este recurso correspondió a la Sección Cuarta de la Audiencia Provincial de las Palmas de Gran Canaria, que lo tramitó con el número de rollo 191/2023, y tras seguir los correspondientes trámites dictó </w:t>
      </w:r>
      <w:r>
        <w:rPr>
          <w:rFonts w:ascii="Verdana" w:hAnsi="Verdana" w:cs="Verdana"/>
          <w:sz w:val="20"/>
          <w:sz-cs w:val="20"/>
          <w:i/>
          <w:spacing w:val="0"/>
        </w:rPr>
        <w:t xml:space="preserve"> sentencia 630/2024, de 18 de octubre </w:t>
      </w:r>
      <w:r>
        <w:rPr>
          <w:rFonts w:ascii="Verdana" w:hAnsi="Verdana" w:cs="Verdana"/>
          <w:sz w:val="20"/>
          <w:sz-cs w:val="20"/>
          <w:spacing w:val="0"/>
        </w:rPr>
        <w:t xml:space="preserve">, cuyo fallo dispone:</w:t>
        <w:tab/>
        <w:t xml:space="preserve"/>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«I. Estimar el recurso de apelación interpuesto por doña Martina, revocando la </w:t>
      </w:r>
      <w:r>
        <w:rPr>
          <w:rFonts w:ascii="Verdana" w:hAnsi="Verdana" w:cs="Verdana"/>
          <w:sz w:val="20"/>
          <w:sz-cs w:val="20"/>
          <w:i/>
          <w:spacing w:val="0"/>
        </w:rPr>
        <w:t xml:space="preserve"> sentencia dictada por el Juzgado de lo Mercantil nº 1 de las Palmas de Gran Canaria de 3 de marzo de 2.023 en el Juicio Ordinario 665/20 </w:t>
      </w:r>
      <w:r>
        <w:rPr>
          <w:rFonts w:ascii="Verdana" w:hAnsi="Verdana" w:cs="Verdana"/>
          <w:sz w:val="20"/>
          <w:sz-cs w:val="20"/>
          <w:spacing w:val="0"/>
        </w:rPr>
        <w:t xml:space="preserve">.</w:t>
        <w:tab/>
        <w:t xml:space="preserve"/>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»II. Estimar parcialmente la demanda interpuesta por Doña Martina contra Ab Volvo (PUBLI) y Volvo Group España, S.A.U:</w:t>
        <w:tab/>
        <w:t xml:space="preserve"/>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»(a)Condenando a Ab Volvo (PUBLI) y Volvo Group España, S.A.U. a abonar al actor la suma de 4.252,50&amp;#8364;, más los intereses legales desde el pago.</w:t>
        <w:tab/>
        <w:t xml:space="preserve"/>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»(b) Cada parte abonará las costas de la primera instancia causadas a su instancia, y las comunes por mitad.</w:t>
        <w:tab/>
        <w:t xml:space="preserve"/>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»III. No imponer las costas del recurso a ninguna de las partes, con devolución de la totalidad del depósito constituido».</w:t>
        <w:tab/>
        <w:t xml:space="preserve"/>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TERCERO.- </w:t>
      </w:r>
      <w:r>
        <w:rPr>
          <w:rFonts w:ascii="Verdana" w:hAnsi="Verdana" w:cs="Verdana"/>
          <w:sz w:val="20"/>
          <w:sz-cs w:val="20"/>
          <w:spacing w:val="0"/>
        </w:rPr>
        <w:t xml:space="preserve">  </w:t>
      </w:r>
      <w:r>
        <w:rPr>
          <w:rFonts w:ascii="Verdana" w:hAnsi="Verdana" w:cs="Verdana"/>
          <w:sz w:val="20"/>
          <w:sz-cs w:val="20"/>
          <w:i/>
          <w:spacing w:val="0"/>
        </w:rPr>
        <w:t xml:space="preserve"> Interposición y tramitación del recurso de casación </w:t>
      </w:r>
      <w:r>
        <w:rPr>
          <w:rFonts w:ascii="Verdana" w:hAnsi="Verdana" w:cs="Verdana"/>
          <w:sz w:val="20"/>
          <w:sz-cs w:val="20"/>
          <w:spacing w:val="0"/>
        </w:rPr>
        <w:t xml:space="preserve"> </w:t>
        <w:tab/>
        <w:t xml:space="preserve"/>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1.- </w:t>
      </w:r>
      <w:r>
        <w:rPr>
          <w:rFonts w:ascii="Verdana" w:hAnsi="Verdana" w:cs="Verdana"/>
          <w:sz w:val="20"/>
          <w:sz-cs w:val="20"/>
          <w:spacing w:val="0"/>
        </w:rPr>
        <w:t xml:space="preserve"> La procuradora D.ª Paloma Guijarro Rubio, en representación de Ab Volvo y Volvo Group España S.A.U., interpuso un recurso de casación.</w:t>
        <w:tab/>
        <w:t xml:space="preserve"/>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Los motivos del recurso de casación fueron (énfasis de mayúsculas y negrita suprimido):</w:t>
        <w:tab/>
        <w:t xml:space="preserve"/>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«Primero.- Al amparo del </w:t>
      </w:r>
      <w:r>
        <w:rPr>
          <w:rFonts w:ascii="Verdana" w:hAnsi="Verdana" w:cs="Verdana"/>
          <w:sz w:val="20"/>
          <w:sz-cs w:val="20"/>
          <w:i/>
          <w:spacing w:val="0"/>
        </w:rPr>
        <w:t xml:space="preserve"> art. 477.2 LEC </w:t>
      </w:r>
      <w:r>
        <w:rPr>
          <w:rFonts w:ascii="Verdana" w:hAnsi="Verdana" w:cs="Verdana"/>
          <w:sz w:val="20"/>
          <w:sz-cs w:val="20"/>
          <w:spacing w:val="0"/>
        </w:rPr>
        <w:t xml:space="preserve">, infracción del </w:t>
      </w:r>
      <w:r>
        <w:rPr>
          <w:rFonts w:ascii="Verdana" w:hAnsi="Verdana" w:cs="Verdana"/>
          <w:sz w:val="20"/>
          <w:sz-cs w:val="20"/>
          <w:i/>
          <w:spacing w:val="0"/>
        </w:rPr>
        <w:t xml:space="preserve"> art. 1.902 CC </w:t>
      </w:r>
      <w:r>
        <w:rPr>
          <w:rFonts w:ascii="Verdana" w:hAnsi="Verdana" w:cs="Verdana"/>
          <w:sz w:val="20"/>
          <w:sz-cs w:val="20"/>
          <w:spacing w:val="0"/>
        </w:rPr>
        <w:t xml:space="preserve"> y aplicación indebida de la doctrina de la "primera oleada" contenida en las </w:t>
      </w:r>
      <w:r>
        <w:rPr>
          <w:rFonts w:ascii="Verdana" w:hAnsi="Verdana" w:cs="Verdana"/>
          <w:sz w:val="20"/>
          <w:sz-cs w:val="20"/>
          <w:i/>
          <w:spacing w:val="0"/>
        </w:rPr>
        <w:t xml:space="preserve"> STS 946/2023 </w:t>
      </w:r>
      <w:r>
        <w:rPr>
          <w:rFonts w:ascii="Verdana" w:hAnsi="Verdana" w:cs="Verdana"/>
          <w:sz w:val="20"/>
          <w:sz-cs w:val="20"/>
          <w:spacing w:val="0"/>
        </w:rPr>
        <w:t xml:space="preserve"> y </w:t>
      </w:r>
      <w:r>
        <w:rPr>
          <w:rFonts w:ascii="Verdana" w:hAnsi="Verdana" w:cs="Verdana"/>
          <w:sz w:val="20"/>
          <w:sz-cs w:val="20"/>
          <w:i/>
          <w:spacing w:val="0"/>
        </w:rPr>
        <w:t xml:space="preserve"> 947/2023 </w:t>
      </w:r>
      <w:r>
        <w:rPr>
          <w:rFonts w:ascii="Verdana" w:hAnsi="Verdana" w:cs="Verdana"/>
          <w:sz w:val="20"/>
          <w:sz-cs w:val="20"/>
          <w:spacing w:val="0"/>
        </w:rPr>
        <w:t xml:space="preserve"> al estimarse judicialmente el daño en el 5% a pesar de la palmaria inactividad probatoria del demandante y sin que concurran los presupuestos sobre los que el TS ha construido la doctrina de la "primera oleada"».</w:t>
        <w:tab/>
        <w:t xml:space="preserve"/>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«Segundo.- Al amparo del </w:t>
      </w:r>
      <w:r>
        <w:rPr>
          <w:rFonts w:ascii="Verdana" w:hAnsi="Verdana" w:cs="Verdana"/>
          <w:sz w:val="20"/>
          <w:sz-cs w:val="20"/>
          <w:i/>
          <w:spacing w:val="0"/>
        </w:rPr>
        <w:t xml:space="preserve"> art. 477.2 LEC </w:t>
      </w:r>
      <w:r>
        <w:rPr>
          <w:rFonts w:ascii="Verdana" w:hAnsi="Verdana" w:cs="Verdana"/>
          <w:sz w:val="20"/>
          <w:sz-cs w:val="20"/>
          <w:spacing w:val="0"/>
        </w:rPr>
        <w:t xml:space="preserve">, infracción de las normas reguladoras de la sentencia de los </w:t>
      </w:r>
      <w:r>
        <w:rPr>
          <w:rFonts w:ascii="Verdana" w:hAnsi="Verdana" w:cs="Verdana"/>
          <w:sz w:val="20"/>
          <w:sz-cs w:val="20"/>
          <w:i/>
          <w:spacing w:val="0"/>
        </w:rPr>
        <w:t xml:space="preserve"> arts. 216 </w:t>
      </w:r>
      <w:r>
        <w:rPr>
          <w:rFonts w:ascii="Verdana" w:hAnsi="Verdana" w:cs="Verdana"/>
          <w:sz w:val="20"/>
          <w:sz-cs w:val="20"/>
          <w:spacing w:val="0"/>
        </w:rPr>
        <w:t xml:space="preserve"> y </w:t>
      </w:r>
      <w:r>
        <w:rPr>
          <w:rFonts w:ascii="Verdana" w:hAnsi="Verdana" w:cs="Verdana"/>
          <w:sz w:val="20"/>
          <w:sz-cs w:val="20"/>
          <w:i/>
          <w:spacing w:val="0"/>
        </w:rPr>
        <w:t xml:space="preserve"> Art. 217. 1 </w:t>
      </w:r>
      <w:r>
        <w:rPr>
          <w:rFonts w:ascii="Verdana" w:hAnsi="Verdana" w:cs="Verdana"/>
          <w:sz w:val="20"/>
          <w:sz-cs w:val="20"/>
          <w:spacing w:val="0"/>
        </w:rPr>
        <w:t xml:space="preserve"> y </w:t>
      </w:r>
      <w:r>
        <w:rPr>
          <w:rFonts w:ascii="Verdana" w:hAnsi="Verdana" w:cs="Verdana"/>
          <w:sz w:val="20"/>
          <w:sz-cs w:val="20"/>
          <w:i/>
          <w:spacing w:val="0"/>
        </w:rPr>
        <w:t xml:space="preserve"> 2 LEC </w:t>
      </w:r>
      <w:r>
        <w:rPr>
          <w:rFonts w:ascii="Verdana" w:hAnsi="Verdana" w:cs="Verdana"/>
          <w:sz w:val="20"/>
          <w:sz-cs w:val="20"/>
          <w:spacing w:val="0"/>
        </w:rPr>
        <w:t xml:space="preserve"> y del derecho a la tutela judicial efectiva del </w:t>
      </w:r>
      <w:r>
        <w:rPr>
          <w:rFonts w:ascii="Verdana" w:hAnsi="Verdana" w:cs="Verdana"/>
          <w:sz w:val="20"/>
          <w:sz-cs w:val="20"/>
          <w:i/>
          <w:spacing w:val="0"/>
        </w:rPr>
        <w:t xml:space="preserve"> art. 24.1 CE </w:t>
      </w:r>
      <w:r>
        <w:rPr>
          <w:rFonts w:ascii="Verdana" w:hAnsi="Verdana" w:cs="Verdana"/>
          <w:sz w:val="20"/>
          <w:sz-cs w:val="20"/>
          <w:spacing w:val="0"/>
        </w:rPr>
        <w:t xml:space="preserve"> causante de indefensión, ya que la falta de prueba del daño tiene como consecuencia necesaria la desestimación de la demanda y estas normas no han sido modificadas por el </w:t>
      </w:r>
      <w:r>
        <w:rPr>
          <w:rFonts w:ascii="Verdana" w:hAnsi="Verdana" w:cs="Verdana"/>
          <w:sz w:val="20"/>
          <w:sz-cs w:val="20"/>
          <w:i/>
          <w:spacing w:val="0"/>
        </w:rPr>
        <w:t xml:space="preserve"> art. 101 TFUE </w:t>
      </w:r>
      <w:r>
        <w:rPr>
          <w:rFonts w:ascii="Verdana" w:hAnsi="Verdana" w:cs="Verdana"/>
          <w:sz w:val="20"/>
          <w:sz-cs w:val="20"/>
          <w:spacing w:val="0"/>
        </w:rPr>
        <w:t xml:space="preserve"> y/o la </w:t>
      </w:r>
      <w:r>
        <w:rPr>
          <w:rFonts w:ascii="Verdana" w:hAnsi="Verdana" w:cs="Verdana"/>
          <w:sz w:val="20"/>
          <w:sz-cs w:val="20"/>
          <w:i/>
          <w:spacing w:val="0"/>
        </w:rPr>
        <w:t xml:space="preserve"> Directiva 2014/104 </w:t>
      </w:r>
      <w:r>
        <w:rPr>
          <w:rFonts w:ascii="Verdana" w:hAnsi="Verdana" w:cs="Verdana"/>
          <w:sz w:val="20"/>
          <w:sz-cs w:val="20"/>
          <w:spacing w:val="0"/>
        </w:rPr>
        <w:t xml:space="preserve"> (la Directiva)».</w:t>
        <w:tab/>
        <w:t xml:space="preserve"/>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«Tercero.- Al amparo del </w:t>
      </w:r>
      <w:r>
        <w:rPr>
          <w:rFonts w:ascii="Verdana" w:hAnsi="Verdana" w:cs="Verdana"/>
          <w:sz w:val="20"/>
          <w:sz-cs w:val="20"/>
          <w:i/>
          <w:spacing w:val="0"/>
        </w:rPr>
        <w:t xml:space="preserve"> art. 477.2 LEC </w:t>
      </w:r>
      <w:r>
        <w:rPr>
          <w:rFonts w:ascii="Verdana" w:hAnsi="Verdana" w:cs="Verdana"/>
          <w:sz w:val="20"/>
          <w:sz-cs w:val="20"/>
          <w:spacing w:val="0"/>
        </w:rPr>
        <w:t xml:space="preserve">, infracción de los </w:t>
      </w:r>
      <w:r>
        <w:rPr>
          <w:rFonts w:ascii="Verdana" w:hAnsi="Verdana" w:cs="Verdana"/>
          <w:sz w:val="20"/>
          <w:sz-cs w:val="20"/>
          <w:i/>
          <w:spacing w:val="0"/>
        </w:rPr>
        <w:t xml:space="preserve"> arts. 4 bis.1 LOPJ </w:t>
      </w:r>
      <w:r>
        <w:rPr>
          <w:rFonts w:ascii="Verdana" w:hAnsi="Verdana" w:cs="Verdana"/>
          <w:sz w:val="20"/>
          <w:sz-cs w:val="20"/>
          <w:spacing w:val="0"/>
        </w:rPr>
        <w:t xml:space="preserve">, </w:t>
      </w:r>
      <w:r>
        <w:rPr>
          <w:rFonts w:ascii="Verdana" w:hAnsi="Verdana" w:cs="Verdana"/>
          <w:sz w:val="20"/>
          <w:sz-cs w:val="20"/>
          <w:i/>
          <w:spacing w:val="0"/>
        </w:rPr>
        <w:t xml:space="preserve"> 24.1 CE </w:t>
      </w:r>
      <w:r>
        <w:rPr>
          <w:rFonts w:ascii="Verdana" w:hAnsi="Verdana" w:cs="Verdana"/>
          <w:sz w:val="20"/>
          <w:sz-cs w:val="20"/>
          <w:spacing w:val="0"/>
        </w:rPr>
        <w:t xml:space="preserve"> y </w:t>
      </w:r>
      <w:r>
        <w:rPr>
          <w:rFonts w:ascii="Verdana" w:hAnsi="Verdana" w:cs="Verdana"/>
          <w:sz w:val="20"/>
          <w:sz-cs w:val="20"/>
          <w:i/>
          <w:spacing w:val="0"/>
        </w:rPr>
        <w:t xml:space="preserve"> 47 de la Carta de los Derechos Fundamentales de la Unión Europea (CDFUE </w:t>
      </w:r>
      <w:r>
        <w:rPr>
          <w:rFonts w:ascii="Verdana" w:hAnsi="Verdana" w:cs="Verdana"/>
          <w:sz w:val="20"/>
          <w:sz-cs w:val="20"/>
          <w:spacing w:val="0"/>
        </w:rPr>
        <w:t xml:space="preserve"> ) en su vertiente de derecho a obtener una resolución motivada y fundada en Derecho, al vulnerar la sentencia de apelación la primacía del derecho de la Unión Europea en los términos que fijados por el </w:t>
      </w:r>
      <w:r>
        <w:rPr>
          <w:rFonts w:ascii="Verdana" w:hAnsi="Verdana" w:cs="Verdana"/>
          <w:sz w:val="20"/>
          <w:sz-cs w:val="20"/>
          <w:i/>
          <w:spacing w:val="0"/>
        </w:rPr>
        <w:t xml:space="preserve"> TJUE en la Sentencia de 16 de febrero de 2023 (C-312/21 </w:t>
      </w:r>
      <w:r>
        <w:rPr>
          <w:rFonts w:ascii="Verdana" w:hAnsi="Verdana" w:cs="Verdana"/>
          <w:sz w:val="20"/>
          <w:sz-cs w:val="20"/>
          <w:spacing w:val="0"/>
        </w:rPr>
        <w:t xml:space="preserve">, Tráficos Manuel Ferrer)».</w:t>
        <w:tab/>
        <w:t xml:space="preserve"/>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«Cuarto.- Al amparo del </w:t>
      </w:r>
      <w:r>
        <w:rPr>
          <w:rFonts w:ascii="Verdana" w:hAnsi="Verdana" w:cs="Verdana"/>
          <w:sz w:val="20"/>
          <w:sz-cs w:val="20"/>
          <w:i/>
          <w:spacing w:val="0"/>
        </w:rPr>
        <w:t xml:space="preserve"> art. 477.2 LEC </w:t>
      </w:r>
      <w:r>
        <w:rPr>
          <w:rFonts w:ascii="Verdana" w:hAnsi="Verdana" w:cs="Verdana"/>
          <w:sz w:val="20"/>
          <w:sz-cs w:val="20"/>
          <w:spacing w:val="0"/>
        </w:rPr>
        <w:t xml:space="preserve">, infracción del </w:t>
      </w:r>
      <w:r>
        <w:rPr>
          <w:rFonts w:ascii="Verdana" w:hAnsi="Verdana" w:cs="Verdana"/>
          <w:sz w:val="20"/>
          <w:sz-cs w:val="20"/>
          <w:i/>
          <w:spacing w:val="0"/>
        </w:rPr>
        <w:t xml:space="preserve"> art. 1.902 CC </w:t>
      </w:r>
      <w:r>
        <w:rPr>
          <w:rFonts w:ascii="Verdana" w:hAnsi="Verdana" w:cs="Verdana"/>
          <w:sz w:val="20"/>
          <w:sz-cs w:val="20"/>
          <w:spacing w:val="0"/>
        </w:rPr>
        <w:t xml:space="preserve"> en relación con el </w:t>
      </w:r>
      <w:r>
        <w:rPr>
          <w:rFonts w:ascii="Verdana" w:hAnsi="Verdana" w:cs="Verdana"/>
          <w:sz w:val="20"/>
          <w:sz-cs w:val="20"/>
          <w:i/>
          <w:spacing w:val="0"/>
        </w:rPr>
        <w:t xml:space="preserve"> art. 76.2 LDC </w:t>
      </w:r>
      <w:r>
        <w:rPr>
          <w:rFonts w:ascii="Verdana" w:hAnsi="Verdana" w:cs="Verdana"/>
          <w:sz w:val="20"/>
          <w:sz-cs w:val="20"/>
          <w:spacing w:val="0"/>
        </w:rPr>
        <w:t xml:space="preserve">, por el incumplimiento de los requisitos para la estimación judicial del daño desarrollados en la </w:t>
      </w:r>
      <w:r>
        <w:rPr>
          <w:rFonts w:ascii="Verdana" w:hAnsi="Verdana" w:cs="Verdana"/>
          <w:sz w:val="20"/>
          <w:sz-cs w:val="20"/>
          <w:i/>
          <w:spacing w:val="0"/>
        </w:rPr>
        <w:t xml:space="preserve"> STJUE de 16 de febrero de 2023 (C-312/21 </w:t>
      </w:r>
      <w:r>
        <w:rPr>
          <w:rFonts w:ascii="Verdana" w:hAnsi="Verdana" w:cs="Verdana"/>
          <w:sz w:val="20"/>
          <w:sz-cs w:val="20"/>
          <w:spacing w:val="0"/>
        </w:rPr>
        <w:t xml:space="preserve">, Tráficos Manuel Ferrer) en su dimensión jurídico-material».</w:t>
        <w:tab/>
        <w:t xml:space="preserve"/>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«Quinto.- Al amparo del </w:t>
      </w:r>
      <w:r>
        <w:rPr>
          <w:rFonts w:ascii="Verdana" w:hAnsi="Verdana" w:cs="Verdana"/>
          <w:sz w:val="20"/>
          <w:sz-cs w:val="20"/>
          <w:i/>
          <w:spacing w:val="0"/>
        </w:rPr>
        <w:t xml:space="preserve"> art. 477.2 LEC </w:t>
      </w:r>
      <w:r>
        <w:rPr>
          <w:rFonts w:ascii="Verdana" w:hAnsi="Verdana" w:cs="Verdana"/>
          <w:sz w:val="20"/>
          <w:sz-cs w:val="20"/>
          <w:spacing w:val="0"/>
        </w:rPr>
        <w:t xml:space="preserve">, infracción del </w:t>
      </w:r>
      <w:r>
        <w:rPr>
          <w:rFonts w:ascii="Verdana" w:hAnsi="Verdana" w:cs="Verdana"/>
          <w:sz w:val="20"/>
          <w:sz-cs w:val="20"/>
          <w:i/>
          <w:spacing w:val="0"/>
        </w:rPr>
        <w:t xml:space="preserve"> art. 1.902 CC </w:t>
      </w:r>
      <w:r>
        <w:rPr>
          <w:rFonts w:ascii="Verdana" w:hAnsi="Verdana" w:cs="Verdana"/>
          <w:sz w:val="20"/>
          <w:sz-cs w:val="20"/>
          <w:spacing w:val="0"/>
        </w:rPr>
        <w:t xml:space="preserve"> en su dimensión jurídica-material por inexistencia de daño excluyente de la responsabilidad en el caso concreto».</w:t>
        <w:tab/>
        <w:t xml:space="preserve"/>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2.- </w:t>
      </w:r>
      <w:r>
        <w:rPr>
          <w:rFonts w:ascii="Verdana" w:hAnsi="Verdana" w:cs="Verdana"/>
          <w:sz w:val="20"/>
          <w:sz-cs w:val="20"/>
          <w:spacing w:val="0"/>
        </w:rPr>
        <w:t xml:space="preserve"> Las actuaciones fueron remitidas por la Audiencia Provincial a esta Sala, y las partes fueron emplazadas para comparecer ante ella. Una vez recibidas las actuaciones en esta Sala y personadas ante la misma las partes por medio de los procuradores mencionados en el encabezamiento, se dictó </w:t>
      </w:r>
      <w:r>
        <w:rPr>
          <w:rFonts w:ascii="Verdana" w:hAnsi="Verdana" w:cs="Verdana"/>
          <w:sz w:val="20"/>
          <w:sz-cs w:val="20"/>
          <w:i/>
          <w:spacing w:val="0"/>
        </w:rPr>
        <w:t xml:space="preserve"> auto el 26 de noviembre de 2025 </w:t>
      </w:r>
      <w:r>
        <w:rPr>
          <w:rFonts w:ascii="Verdana" w:hAnsi="Verdana" w:cs="Verdana"/>
          <w:sz w:val="20"/>
          <w:sz-cs w:val="20"/>
          <w:spacing w:val="0"/>
        </w:rPr>
        <w:t xml:space="preserve">, que admitió el recurso y acordó dar traslado a la parte recurrida personada para que formalizara su oposición.</w:t>
        <w:tab/>
        <w:t xml:space="preserve"/>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3.- </w:t>
      </w:r>
      <w:r>
        <w:rPr>
          <w:rFonts w:ascii="Verdana" w:hAnsi="Verdana" w:cs="Verdana"/>
          <w:sz w:val="20"/>
          <w:sz-cs w:val="20"/>
          <w:spacing w:val="0"/>
        </w:rPr>
        <w:t xml:space="preserve"> Por diligencia de ordenación de 24 de febrero de 2026 se acordó tener por precluido el trámite de oposición al recurso.</w:t>
        <w:tab/>
        <w:t xml:space="preserve"/>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4.- </w:t>
      </w:r>
      <w:r>
        <w:rPr>
          <w:rFonts w:ascii="Verdana" w:hAnsi="Verdana" w:cs="Verdana"/>
          <w:sz w:val="20"/>
          <w:sz-cs w:val="20"/>
          <w:spacing w:val="0"/>
        </w:rPr>
        <w:t xml:space="preserve"> Al no solicitarse por todas las partes la celebración de vista pública, se señaló para votación y fallo el día 13 de mayo de 2026, en que ha tenido lugar.</w:t>
        <w:tab/>
        <w:t xml:space="preserve"/>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r>
    </w:p>
    <w:p>
      <w:pPr>
        <w:jc w:val="both"/>
      </w:pPr>
      <w:r>
        <w:rPr>
          <w:rFonts w:ascii="Verdana" w:hAnsi="Verdana" w:cs="Verdana"/>
          <w:sz w:val="20"/>
          <w:sz-cs w:val="20"/>
          <w:b/>
          <w:spacing w:val="0"/>
          <w:color w:val="0000FF"/>
        </w:rPr>
        <w:t xml:space="preserve">FUNDAMENTOS DE DERECHO</w:t>
      </w:r>
      <w:r>
        <w:rPr>
          <w:rFonts w:ascii="Verdana" w:hAnsi="Verdana" w:cs="Verdana"/>
          <w:sz w:val="20"/>
          <w:sz-cs w:val="20"/>
          <w:spacing w:val="0"/>
        </w:rPr>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PRIMERO.- </w:t>
      </w:r>
      <w:r>
        <w:rPr>
          <w:rFonts w:ascii="Verdana" w:hAnsi="Verdana" w:cs="Verdana"/>
          <w:sz w:val="20"/>
          <w:sz-cs w:val="20"/>
          <w:spacing w:val="0"/>
        </w:rPr>
        <w:t xml:space="preserve">  </w:t>
      </w:r>
      <w:r>
        <w:rPr>
          <w:rFonts w:ascii="Verdana" w:hAnsi="Verdana" w:cs="Verdana"/>
          <w:sz w:val="20"/>
          <w:sz-cs w:val="20"/>
          <w:i/>
          <w:spacing w:val="0"/>
        </w:rPr>
        <w:t xml:space="preserve"> Antecedentes del caso </w:t>
      </w:r>
      <w:r>
        <w:rPr>
          <w:rFonts w:ascii="Verdana" w:hAnsi="Verdana" w:cs="Verdana"/>
          <w:sz w:val="20"/>
          <w:sz-cs w:val="20"/>
          <w:spacing w:val="0"/>
        </w:rPr>
        <w:t xml:space="preserve"> </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1.- </w:t>
      </w:r>
      <w:r>
        <w:rPr>
          <w:rFonts w:ascii="Verdana" w:hAnsi="Verdana" w:cs="Verdana"/>
          <w:sz w:val="20"/>
          <w:sz-cs w:val="20"/>
          <w:spacing w:val="0"/>
        </w:rPr>
        <w:t xml:space="preserve"> D.ª Martina presentó una demanda contra AB Volvo y Volvo Group España S.A.U. en la que, en lo que es relevante para este recurso, solicitó una indemnización por el sobreprecio pagado por la compra de un camión como consecuencia del cártel sancionado por la </w:t>
      </w:r>
      <w:r>
        <w:rPr>
          <w:rFonts w:ascii="Verdana" w:hAnsi="Verdana" w:cs="Verdana"/>
          <w:sz w:val="20"/>
          <w:sz-cs w:val="20"/>
          <w:i/>
          <w:spacing w:val="0"/>
        </w:rPr>
        <w:t xml:space="preserve"> Decisión de la Comisión Europea de 19 de julio de 2016 </w:t>
      </w:r>
      <w:r>
        <w:rPr>
          <w:rFonts w:ascii="Verdana" w:hAnsi="Verdana" w:cs="Verdana"/>
          <w:sz w:val="20"/>
          <w:sz-cs w:val="20"/>
          <w:spacing w:val="0"/>
        </w:rPr>
        <w:t xml:space="preserve">, relativa a un procedimiento en virtud del </w:t>
      </w:r>
      <w:r>
        <w:rPr>
          <w:rFonts w:ascii="Verdana" w:hAnsi="Verdana" w:cs="Verdana"/>
          <w:sz w:val="20"/>
          <w:sz-cs w:val="20"/>
          <w:i/>
          <w:spacing w:val="0"/>
        </w:rPr>
        <w:t xml:space="preserve"> artículo 101 del Tratado de Funcionamiento de la Unión Europea </w:t>
      </w:r>
      <w:r>
        <w:rPr>
          <w:rFonts w:ascii="Verdana" w:hAnsi="Verdana" w:cs="Verdana"/>
          <w:sz w:val="20"/>
          <w:sz-cs w:val="20"/>
          <w:spacing w:val="0"/>
        </w:rPr>
        <w:t xml:space="preserve"> y del </w:t>
      </w:r>
      <w:r>
        <w:rPr>
          <w:rFonts w:ascii="Verdana" w:hAnsi="Verdana" w:cs="Verdana"/>
          <w:sz w:val="20"/>
          <w:sz-cs w:val="20"/>
          <w:i/>
          <w:spacing w:val="0"/>
        </w:rPr>
        <w:t xml:space="preserve"> artículo 53 del Acuerdo EEE (Asunto AT.39824 - Camiones), que se refiere a una infracción única y continuada del </w:t>
      </w:r>
      <w:r>
        <w:rPr>
          <w:rFonts w:ascii="Verdana" w:hAnsi="Verdana" w:cs="Verdana"/>
          <w:sz w:val="20"/>
          <w:sz-cs w:val="20"/>
          <w:spacing w:val="0"/>
        </w:rPr>
        <w:t xml:space="preserve">  </w:t>
      </w:r>
      <w:r>
        <w:rPr>
          <w:rFonts w:ascii="Verdana" w:hAnsi="Verdana" w:cs="Verdana"/>
          <w:sz w:val="20"/>
          <w:sz-cs w:val="20"/>
          <w:i/>
          <w:spacing w:val="0"/>
        </w:rPr>
        <w:t xml:space="preserve"> artículo 101 del Tratado de Funcionamiento de la Unión Europea </w:t>
      </w:r>
      <w:r>
        <w:rPr>
          <w:rFonts w:ascii="Verdana" w:hAnsi="Verdana" w:cs="Verdana"/>
          <w:sz w:val="20"/>
          <w:sz-cs w:val="20"/>
          <w:spacing w:val="0"/>
        </w:rPr>
        <w:t xml:space="preserve"> y del artículo 53 del Acuerdo EEE.</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La demandante no acompañó a su demanda un informe pericial si bien anunció que lo aportaría más adelante. Cuando presentó el informe pericial, el juzgado de lo mercantil inadmitió dicha prueba por entender que la demandante no justificó cumplidamente la razón por la que no pudo acompañar a su demanda el dictamen pericial necesario para cuantificar el daño reclamado.</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2.- </w:t>
      </w:r>
      <w:r>
        <w:rPr>
          <w:rFonts w:ascii="Verdana" w:hAnsi="Verdana" w:cs="Verdana"/>
          <w:sz w:val="20"/>
          <w:sz-cs w:val="20"/>
          <w:spacing w:val="0"/>
        </w:rPr>
        <w:t xml:space="preserve"> La sentencia de primera instancia, tras desestimar varias excepciones, desestimó la demanda al entender que es posible acudir a la facultad judicial de estimar la cuantía del daño pero partiendo de que la parte demandante cumpla la carga procesal aportando un dictamen pericial de valoración. La facultad judicial de estimación del daño no exonera al demandante de ofrecer una valoración de los daños al menos aproximativa y razonable. Como esa valoración de los daños no había sido aportada por la demandante, al haber sido inadmitido su informe pericial, no procedía realizar la estimación judicial del daño y la demanda fue desestimada.</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3.- </w:t>
      </w:r>
      <w:r>
        <w:rPr>
          <w:rFonts w:ascii="Verdana" w:hAnsi="Verdana" w:cs="Verdana"/>
          <w:sz w:val="20"/>
          <w:sz-cs w:val="20"/>
          <w:spacing w:val="0"/>
        </w:rPr>
        <w:t xml:space="preserve"> La demandante apeló la sentencia y la audiencia provincial estimó el recurso de apelación. Con cita de diversas sentencias de la Sala Primera del Tribunal Supremo y del Tribunal de Justicia de la Unión Europea (TJUE), la sentencia de segunda instancia declaró que estaba acreditado que el cártel produjo un sobreprecio en el mercado de camiones, porque las concretas características del cártel (duración, extensión geográfica, cuota de mercado de los cartelistas, que tuvo por objeto adoptar acuerdos sobre la fijación de precios y el incremento de precios brutos) permiten presumir la existencia del daño.</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Respecto de la cuantificación del daño, citó la jurisprudencia que declara que «[...] la sentencia firme, con independencia de la cosa juzgada, produzca efectos indirectos, entre ellos el de constituir en un ulterior proceso un medio de prueba de los hechos en aquella contemplados y valorados, en el caso de que sean determinantes del fallo [...]. Este criterio se funda en que la existencia de pronunciamientos contradictorios en las resoluciones judiciales de los que resulte que unos mismos hechos ocurrieron o no ocurrieron es incompatible con el principio de seguridad jurídica y con el derecho a una tutela judicial efectiva que reconoce el </w:t>
      </w:r>
      <w:r>
        <w:rPr>
          <w:rFonts w:ascii="Verdana" w:hAnsi="Verdana" w:cs="Verdana"/>
          <w:sz w:val="20"/>
          <w:sz-cs w:val="20"/>
          <w:i/>
          <w:spacing w:val="0"/>
        </w:rPr>
        <w:t xml:space="preserve"> artículo 24.1 CE </w:t>
      </w:r>
      <w:r>
        <w:rPr>
          <w:rFonts w:ascii="Verdana" w:hAnsi="Verdana" w:cs="Verdana"/>
          <w:sz w:val="20"/>
          <w:sz-cs w:val="20"/>
          <w:spacing w:val="0"/>
        </w:rPr>
        <w:t xml:space="preserve"> ( </w:t>
      </w:r>
      <w:r>
        <w:rPr>
          <w:rFonts w:ascii="Verdana" w:hAnsi="Verdana" w:cs="Verdana"/>
          <w:sz w:val="20"/>
          <w:sz-cs w:val="20"/>
          <w:i/>
          <w:spacing w:val="0"/>
        </w:rPr>
        <w:t xml:space="preserve"> STC 34/2003, de 25 de febrero </w:t>
      </w:r>
      <w:r>
        <w:rPr>
          <w:rFonts w:ascii="Verdana" w:hAnsi="Verdana" w:cs="Verdana"/>
          <w:sz w:val="20"/>
          <w:sz-cs w:val="20"/>
          <w:spacing w:val="0"/>
        </w:rPr>
        <w:t xml:space="preserve"> )».</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Y tras hacer referencia al efecto disuasorio que tiene el derecho de los perjudicados a ser indemnizados por el daño causado por la infracción del Derecho de la</w:t>
      </w:r>
      <w:r>
        <w:rPr>
          <w:rFonts w:ascii="Verdana" w:hAnsi="Verdana" w:cs="Verdana"/>
          <w:sz w:val="20"/>
          <w:sz-cs w:val="20"/>
          <w:spacing w:val="0"/>
          <w:color w:val="FF0000"/>
        </w:rPr>
        <w:t xml:space="preserve"> competencia</w:t>
      </w:r>
      <w:r>
        <w:rPr>
          <w:rFonts w:ascii="Verdana" w:hAnsi="Verdana" w:cs="Verdana"/>
          <w:sz w:val="20"/>
          <w:sz-cs w:val="20"/>
          <w:spacing w:val="0"/>
        </w:rPr>
        <w:t xml:space="preserve">, el tribunal de apelación reprodujo parcialmente una sentencia anterior de dicho tribunal, en la que había declarado:</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«5. Así, en el cartel de los camiones, previa contradicción respecto a la concurrencia del daño y su cuantificación, la existencia del daño y su cuantificación en el 5% del precio pagado son hechos que, a falta de una prueba en contra, deben ser apreciados y tenidos como ciertos y en cuenta, en aras de mantener la igualdad, la seguridad jurídica, la tutela judicial y el principio de efectividad del derecho de la Unión y protección del libre comercio.</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»6. Estos hechos por tanto, son supuesto de la relación jurídica controvertida y constituye la materia de propia de este proceso, cuya causa de pedir es común a todos ellos (concretamente la </w:t>
      </w:r>
      <w:r>
        <w:rPr>
          <w:rFonts w:ascii="Verdana" w:hAnsi="Verdana" w:cs="Verdana"/>
          <w:sz w:val="20"/>
          <w:sz-cs w:val="20"/>
          <w:i/>
          <w:spacing w:val="0"/>
        </w:rPr>
        <w:t xml:space="preserve"> Decisión de la Comisión de 19 de julio de 2016 </w:t>
      </w:r>
      <w:r>
        <w:rPr>
          <w:rFonts w:ascii="Verdana" w:hAnsi="Verdana" w:cs="Verdana"/>
          <w:sz w:val="20"/>
          <w:sz-cs w:val="20"/>
          <w:spacing w:val="0"/>
        </w:rPr>
        <w:t xml:space="preserve"> ) y donde se ha discutido la existencia de daño y su cuantificación, por lo que son un medio de prueba válido que debe atendido en este proceso.</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»7. La anterior afirmación conduce a la estimación parcial de la demanda, con fijación de la indemnización en el 5% del precio pagado por el demandante».</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Tras lo cual, concluyó:</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«El importe del sobreprecio ha sido estimado judicialmente en un 5% en reiteradas sentencias del Tribunal Supremo que producen un efecto reflejo positivo de cosa juzgada en este asunto. Y garantizan la aplicación igual y coherente de las normas jurídicas y la efectividad de la aplicación privada del derecho de la</w:t>
      </w:r>
      <w:r>
        <w:rPr>
          <w:rFonts w:ascii="Verdana" w:hAnsi="Verdana" w:cs="Verdana"/>
          <w:sz w:val="20"/>
          <w:sz-cs w:val="20"/>
          <w:spacing w:val="0"/>
          <w:color w:val="FF0000"/>
        </w:rPr>
        <w:t xml:space="preserve"> competencia</w:t>
      </w:r>
      <w:r>
        <w:rPr>
          <w:rFonts w:ascii="Verdana" w:hAnsi="Verdana" w:cs="Verdana"/>
          <w:sz w:val="20"/>
          <w:sz-cs w:val="20"/>
          <w:spacing w:val="0"/>
        </w:rPr>
        <w:t xml:space="preserve"> ».</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4.- </w:t>
      </w:r>
      <w:r>
        <w:rPr>
          <w:rFonts w:ascii="Verdana" w:hAnsi="Verdana" w:cs="Verdana"/>
          <w:sz w:val="20"/>
          <w:sz-cs w:val="20"/>
          <w:spacing w:val="0"/>
        </w:rPr>
        <w:t xml:space="preserve"> Las demandadas han interpuesto un recurso de casación basado en cinco motivos, que han sido admitidos.</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SEGUNDO.- </w:t>
      </w:r>
      <w:r>
        <w:rPr>
          <w:rFonts w:ascii="Verdana" w:hAnsi="Verdana" w:cs="Verdana"/>
          <w:sz w:val="20"/>
          <w:sz-cs w:val="20"/>
          <w:spacing w:val="0"/>
        </w:rPr>
        <w:t xml:space="preserve">  </w:t>
      </w:r>
      <w:r>
        <w:rPr>
          <w:rFonts w:ascii="Verdana" w:hAnsi="Verdana" w:cs="Verdana"/>
          <w:sz w:val="20"/>
          <w:sz-cs w:val="20"/>
          <w:i/>
          <w:spacing w:val="0"/>
        </w:rPr>
        <w:t xml:space="preserve"> Motivos del recurso de casación </w:t>
      </w:r>
      <w:r>
        <w:rPr>
          <w:rFonts w:ascii="Verdana" w:hAnsi="Verdana" w:cs="Verdana"/>
          <w:sz w:val="20"/>
          <w:sz-cs w:val="20"/>
          <w:spacing w:val="0"/>
        </w:rPr>
        <w:t xml:space="preserve"> </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1.- </w:t>
      </w:r>
      <w:r>
        <w:rPr>
          <w:rFonts w:ascii="Verdana" w:hAnsi="Verdana" w:cs="Verdana"/>
          <w:sz w:val="20"/>
          <w:sz-cs w:val="20"/>
          <w:spacing w:val="0"/>
        </w:rPr>
        <w:t xml:space="preserve"> Planteamiento. En el encabezamiento del primer motivo del recurso de casación se alega la «infracción del </w:t>
      </w:r>
      <w:r>
        <w:rPr>
          <w:rFonts w:ascii="Verdana" w:hAnsi="Verdana" w:cs="Verdana"/>
          <w:sz w:val="20"/>
          <w:sz-cs w:val="20"/>
          <w:i/>
          <w:spacing w:val="0"/>
        </w:rPr>
        <w:t xml:space="preserve"> art. 1.902 CC </w:t>
      </w:r>
      <w:r>
        <w:rPr>
          <w:rFonts w:ascii="Verdana" w:hAnsi="Verdana" w:cs="Verdana"/>
          <w:sz w:val="20"/>
          <w:sz-cs w:val="20"/>
          <w:spacing w:val="0"/>
        </w:rPr>
        <w:t xml:space="preserve"> y aplicación indebida de la doctrina de la "primera oleada" contenida en las </w:t>
      </w:r>
      <w:r>
        <w:rPr>
          <w:rFonts w:ascii="Verdana" w:hAnsi="Verdana" w:cs="Verdana"/>
          <w:sz w:val="20"/>
          <w:sz-cs w:val="20"/>
          <w:i/>
          <w:spacing w:val="0"/>
        </w:rPr>
        <w:t xml:space="preserve"> STS 946/2023 </w:t>
      </w:r>
      <w:r>
        <w:rPr>
          <w:rFonts w:ascii="Verdana" w:hAnsi="Verdana" w:cs="Verdana"/>
          <w:sz w:val="20"/>
          <w:sz-cs w:val="20"/>
          <w:spacing w:val="0"/>
        </w:rPr>
        <w:t xml:space="preserve"> y </w:t>
      </w:r>
      <w:r>
        <w:rPr>
          <w:rFonts w:ascii="Verdana" w:hAnsi="Verdana" w:cs="Verdana"/>
          <w:sz w:val="20"/>
          <w:sz-cs w:val="20"/>
          <w:i/>
          <w:spacing w:val="0"/>
        </w:rPr>
        <w:t xml:space="preserve"> 947/2023 </w:t>
      </w:r>
      <w:r>
        <w:rPr>
          <w:rFonts w:ascii="Verdana" w:hAnsi="Verdana" w:cs="Verdana"/>
          <w:sz w:val="20"/>
          <w:sz-cs w:val="20"/>
          <w:spacing w:val="0"/>
        </w:rPr>
        <w:t xml:space="preserve"> al estimarse judicialmente el daño en el 5% a pesar de la palmaria inactividad probatoria del demandante y sin que concurran los presupuestos sobre los que el TS ha construido la doctrina de la "primera oleada"».</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Las recurrentes argumentan que las sentencias citadas condicionaron la posibilidad de estimar judicialmente el daño a la presentación de un informe pericial con la demanda. Si, según la sentencia de apelación, no se ha acreditado el daño, no siendo aplicable la doctrina de la «primera oleada», no concurren ni los elementos de la responsabilidad del </w:t>
      </w:r>
      <w:r>
        <w:rPr>
          <w:rFonts w:ascii="Verdana" w:hAnsi="Verdana" w:cs="Verdana"/>
          <w:sz w:val="20"/>
          <w:sz-cs w:val="20"/>
          <w:i/>
          <w:spacing w:val="0"/>
        </w:rPr>
        <w:t xml:space="preserve"> art. 1902 CC </w:t>
      </w:r>
      <w:r>
        <w:rPr>
          <w:rFonts w:ascii="Verdana" w:hAnsi="Verdana" w:cs="Verdana"/>
          <w:sz w:val="20"/>
          <w:sz-cs w:val="20"/>
          <w:spacing w:val="0"/>
        </w:rPr>
        <w:t xml:space="preserve">, ni la causa de excusabilidad de la falta de diligencia probatoria.</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En el encabezamiento del motivo segundo se alega la «infracción de las normas reguladoras de la sentencia de los </w:t>
      </w:r>
      <w:r>
        <w:rPr>
          <w:rFonts w:ascii="Verdana" w:hAnsi="Verdana" w:cs="Verdana"/>
          <w:sz w:val="20"/>
          <w:sz-cs w:val="20"/>
          <w:i/>
          <w:spacing w:val="0"/>
        </w:rPr>
        <w:t xml:space="preserve"> arts. 216 </w:t>
      </w:r>
      <w:r>
        <w:rPr>
          <w:rFonts w:ascii="Verdana" w:hAnsi="Verdana" w:cs="Verdana"/>
          <w:sz w:val="20"/>
          <w:sz-cs w:val="20"/>
          <w:spacing w:val="0"/>
        </w:rPr>
        <w:t xml:space="preserve"> y </w:t>
      </w:r>
      <w:r>
        <w:rPr>
          <w:rFonts w:ascii="Verdana" w:hAnsi="Verdana" w:cs="Verdana"/>
          <w:sz w:val="20"/>
          <w:sz-cs w:val="20"/>
          <w:i/>
          <w:spacing w:val="0"/>
        </w:rPr>
        <w:t xml:space="preserve"> art. 217.1 </w:t>
      </w:r>
      <w:r>
        <w:rPr>
          <w:rFonts w:ascii="Verdana" w:hAnsi="Verdana" w:cs="Verdana"/>
          <w:sz w:val="20"/>
          <w:sz-cs w:val="20"/>
          <w:spacing w:val="0"/>
        </w:rPr>
        <w:t xml:space="preserve"> y </w:t>
      </w:r>
      <w:r>
        <w:rPr>
          <w:rFonts w:ascii="Verdana" w:hAnsi="Verdana" w:cs="Verdana"/>
          <w:sz w:val="20"/>
          <w:sz-cs w:val="20"/>
          <w:i/>
          <w:spacing w:val="0"/>
        </w:rPr>
        <w:t xml:space="preserve"> 2 LEC </w:t>
      </w:r>
      <w:r>
        <w:rPr>
          <w:rFonts w:ascii="Verdana" w:hAnsi="Verdana" w:cs="Verdana"/>
          <w:sz w:val="20"/>
          <w:sz-cs w:val="20"/>
          <w:spacing w:val="0"/>
        </w:rPr>
        <w:t xml:space="preserve"> y del derecho a la tutela judicial efectiva del </w:t>
      </w:r>
      <w:r>
        <w:rPr>
          <w:rFonts w:ascii="Verdana" w:hAnsi="Verdana" w:cs="Verdana"/>
          <w:sz w:val="20"/>
          <w:sz-cs w:val="20"/>
          <w:i/>
          <w:spacing w:val="0"/>
        </w:rPr>
        <w:t xml:space="preserve"> art. 24.1 CE </w:t>
      </w:r>
      <w:r>
        <w:rPr>
          <w:rFonts w:ascii="Verdana" w:hAnsi="Verdana" w:cs="Verdana"/>
          <w:sz w:val="20"/>
          <w:sz-cs w:val="20"/>
          <w:spacing w:val="0"/>
        </w:rPr>
        <w:t xml:space="preserve"> causante de indefensión, ya que la falta de prueba del daño tiene como consecuencia necesaria la desestimación de la demanda y estas normas no han sido modificadas por el </w:t>
      </w:r>
      <w:r>
        <w:rPr>
          <w:rFonts w:ascii="Verdana" w:hAnsi="Verdana" w:cs="Verdana"/>
          <w:sz w:val="20"/>
          <w:sz-cs w:val="20"/>
          <w:i/>
          <w:spacing w:val="0"/>
        </w:rPr>
        <w:t xml:space="preserve"> art. 101 TFUE </w:t>
      </w:r>
      <w:r>
        <w:rPr>
          <w:rFonts w:ascii="Verdana" w:hAnsi="Verdana" w:cs="Verdana"/>
          <w:sz w:val="20"/>
          <w:sz-cs w:val="20"/>
          <w:spacing w:val="0"/>
        </w:rPr>
        <w:t xml:space="preserve"> y/o la </w:t>
      </w:r>
      <w:r>
        <w:rPr>
          <w:rFonts w:ascii="Verdana" w:hAnsi="Verdana" w:cs="Verdana"/>
          <w:sz w:val="20"/>
          <w:sz-cs w:val="20"/>
          <w:i/>
          <w:spacing w:val="0"/>
        </w:rPr>
        <w:t xml:space="preserve"> Directiva 2014/104 </w:t>
      </w:r>
      <w:r>
        <w:rPr>
          <w:rFonts w:ascii="Verdana" w:hAnsi="Verdana" w:cs="Verdana"/>
          <w:sz w:val="20"/>
          <w:sz-cs w:val="20"/>
          <w:spacing w:val="0"/>
        </w:rPr>
        <w:t xml:space="preserve"> ».</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Las recurrentes alegan que la sentencia recurrida tenía la obligación de desestimar la demanda en función del grado de «diligencia» de la parte demandante. Y de conformidad con lo establecido en el </w:t>
      </w:r>
      <w:r>
        <w:rPr>
          <w:rFonts w:ascii="Verdana" w:hAnsi="Verdana" w:cs="Verdana"/>
          <w:sz w:val="20"/>
          <w:sz-cs w:val="20"/>
          <w:i/>
          <w:spacing w:val="0"/>
        </w:rPr>
        <w:t xml:space="preserve"> art. 217.6 LEC </w:t>
      </w:r>
      <w:r>
        <w:rPr>
          <w:rFonts w:ascii="Verdana" w:hAnsi="Verdana" w:cs="Verdana"/>
          <w:sz w:val="20"/>
          <w:sz-cs w:val="20"/>
          <w:spacing w:val="0"/>
        </w:rPr>
        <w:t xml:space="preserve">, las normas del art. 217 sobre la «diligencia probatoria» solo pueden modificarse en virtud de «disposición legal expresa». Y como declara el considerando 45 de la citada Directiva, «una parte perjudicada que haya demostrado haber sufrido un perjuicio como consecuencia de una infracción del Derecho de la</w:t>
      </w:r>
      <w:r>
        <w:rPr>
          <w:rFonts w:ascii="Verdana" w:hAnsi="Verdana" w:cs="Verdana"/>
          <w:sz w:val="20"/>
          <w:sz-cs w:val="20"/>
          <w:spacing w:val="0"/>
          <w:color w:val="FF0000"/>
        </w:rPr>
        <w:t xml:space="preserve"> competencia</w:t>
      </w:r>
      <w:r>
        <w:rPr>
          <w:rFonts w:ascii="Verdana" w:hAnsi="Verdana" w:cs="Verdana"/>
          <w:sz w:val="20"/>
          <w:sz-cs w:val="20"/>
          <w:spacing w:val="0"/>
        </w:rPr>
        <w:t xml:space="preserve"> aún debe demostrar la magnitud del daño sufrido para poder obtener el resarcimiento de los daños y perjuicios».</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Al modificar las normas reguladoras de las sentencias o dispensar solo a una parte de la «diligencia probatoria» para eludir la desestimación de la demanda, se alteran las reglas de los </w:t>
      </w:r>
      <w:r>
        <w:rPr>
          <w:rFonts w:ascii="Verdana" w:hAnsi="Verdana" w:cs="Verdana"/>
          <w:sz w:val="20"/>
          <w:sz-cs w:val="20"/>
          <w:i/>
          <w:spacing w:val="0"/>
        </w:rPr>
        <w:t xml:space="preserve"> arts. 216 </w:t>
      </w:r>
      <w:r>
        <w:rPr>
          <w:rFonts w:ascii="Verdana" w:hAnsi="Verdana" w:cs="Verdana"/>
          <w:sz w:val="20"/>
          <w:sz-cs w:val="20"/>
          <w:spacing w:val="0"/>
        </w:rPr>
        <w:t xml:space="preserve"> y </w:t>
      </w:r>
      <w:r>
        <w:rPr>
          <w:rFonts w:ascii="Verdana" w:hAnsi="Verdana" w:cs="Verdana"/>
          <w:sz w:val="20"/>
          <w:sz-cs w:val="20"/>
          <w:i/>
          <w:spacing w:val="0"/>
        </w:rPr>
        <w:t xml:space="preserve"> 217.1 </w:t>
      </w:r>
      <w:r>
        <w:rPr>
          <w:rFonts w:ascii="Verdana" w:hAnsi="Verdana" w:cs="Verdana"/>
          <w:sz w:val="20"/>
          <w:sz-cs w:val="20"/>
          <w:spacing w:val="0"/>
        </w:rPr>
        <w:t xml:space="preserve"> y </w:t>
      </w:r>
      <w:r>
        <w:rPr>
          <w:rFonts w:ascii="Verdana" w:hAnsi="Verdana" w:cs="Verdana"/>
          <w:sz w:val="20"/>
          <w:sz-cs w:val="20"/>
          <w:i/>
          <w:spacing w:val="0"/>
        </w:rPr>
        <w:t xml:space="preserve"> 2 LEC </w:t>
      </w:r>
      <w:r>
        <w:rPr>
          <w:rFonts w:ascii="Verdana" w:hAnsi="Verdana" w:cs="Verdana"/>
          <w:sz w:val="20"/>
          <w:sz-cs w:val="20"/>
          <w:spacing w:val="0"/>
        </w:rPr>
        <w:t xml:space="preserve"> sin «disposición legal expresa» que lo permita, y en sentido contrario a las normas legales en las que se pretende amparar esa modificación infringiendo además la doctrina del TJUE.</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En el encabezamiento del motivo tercero se alega la «infracción de los </w:t>
      </w:r>
      <w:r>
        <w:rPr>
          <w:rFonts w:ascii="Verdana" w:hAnsi="Verdana" w:cs="Verdana"/>
          <w:sz w:val="20"/>
          <w:sz-cs w:val="20"/>
          <w:i/>
          <w:spacing w:val="0"/>
        </w:rPr>
        <w:t xml:space="preserve"> arts. 4 bis.1 LOPJ </w:t>
      </w:r>
      <w:r>
        <w:rPr>
          <w:rFonts w:ascii="Verdana" w:hAnsi="Verdana" w:cs="Verdana"/>
          <w:sz w:val="20"/>
          <w:sz-cs w:val="20"/>
          <w:spacing w:val="0"/>
        </w:rPr>
        <w:t xml:space="preserve">, </w:t>
      </w:r>
      <w:r>
        <w:rPr>
          <w:rFonts w:ascii="Verdana" w:hAnsi="Verdana" w:cs="Verdana"/>
          <w:sz w:val="20"/>
          <w:sz-cs w:val="20"/>
          <w:i/>
          <w:spacing w:val="0"/>
        </w:rPr>
        <w:t xml:space="preserve"> 24.1 CE </w:t>
      </w:r>
      <w:r>
        <w:rPr>
          <w:rFonts w:ascii="Verdana" w:hAnsi="Verdana" w:cs="Verdana"/>
          <w:sz w:val="20"/>
          <w:sz-cs w:val="20"/>
          <w:spacing w:val="0"/>
        </w:rPr>
        <w:t xml:space="preserve"> y </w:t>
      </w:r>
      <w:r>
        <w:rPr>
          <w:rFonts w:ascii="Verdana" w:hAnsi="Verdana" w:cs="Verdana"/>
          <w:sz w:val="20"/>
          <w:sz-cs w:val="20"/>
          <w:i/>
          <w:spacing w:val="0"/>
        </w:rPr>
        <w:t xml:space="preserve"> 47 de la Carta de los Derechos Fundamentales de la Unión Europea (CDFUE </w:t>
      </w:r>
      <w:r>
        <w:rPr>
          <w:rFonts w:ascii="Verdana" w:hAnsi="Verdana" w:cs="Verdana"/>
          <w:sz w:val="20"/>
          <w:sz-cs w:val="20"/>
          <w:spacing w:val="0"/>
        </w:rPr>
        <w:t xml:space="preserve"> ) en su vertiente de derecho a obtener una resolución motivada y fundada en Derecho, al vulnerar la sentencia de apelación la primacía del Derecho de la Unión Europea en los términos que fijados por el </w:t>
      </w:r>
      <w:r>
        <w:rPr>
          <w:rFonts w:ascii="Verdana" w:hAnsi="Verdana" w:cs="Verdana"/>
          <w:sz w:val="20"/>
          <w:sz-cs w:val="20"/>
          <w:i/>
          <w:spacing w:val="0"/>
        </w:rPr>
        <w:t xml:space="preserve"> TJUE en la Sentencia de 16 de febrero de 2023 (C-312/21 </w:t>
      </w:r>
      <w:r>
        <w:rPr>
          <w:rFonts w:ascii="Verdana" w:hAnsi="Verdana" w:cs="Verdana"/>
          <w:sz w:val="20"/>
          <w:sz-cs w:val="20"/>
          <w:spacing w:val="0"/>
        </w:rPr>
        <w:t xml:space="preserve">, Tráficos Manuel Ferrer)».</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En el desarrollo del motivo, las recurrentes argumentan que la sentencia recurrida ha hecho una lectura errónea de la </w:t>
      </w:r>
      <w:r>
        <w:rPr>
          <w:rFonts w:ascii="Verdana" w:hAnsi="Verdana" w:cs="Verdana"/>
          <w:sz w:val="20"/>
          <w:sz-cs w:val="20"/>
          <w:i/>
          <w:spacing w:val="0"/>
        </w:rPr>
        <w:t xml:space="preserve"> sentencia del TJUE de 16 de febrero de 2023, C-312/21 </w:t>
      </w:r>
      <w:r>
        <w:rPr>
          <w:rFonts w:ascii="Verdana" w:hAnsi="Verdana" w:cs="Verdana"/>
          <w:sz w:val="20"/>
          <w:sz-cs w:val="20"/>
          <w:spacing w:val="0"/>
        </w:rPr>
        <w:t xml:space="preserve">, </w:t>
      </w:r>
      <w:r>
        <w:rPr>
          <w:rFonts w:ascii="Verdana" w:hAnsi="Verdana" w:cs="Verdana"/>
          <w:sz w:val="20"/>
          <w:sz-cs w:val="20"/>
          <w:i/>
          <w:spacing w:val="0"/>
        </w:rPr>
        <w:t xml:space="preserve"> Tráficos Manuel Ferrer, </w:t>
      </w:r>
      <w:r>
        <w:rPr>
          <w:rFonts w:ascii="Verdana" w:hAnsi="Verdana" w:cs="Verdana"/>
          <w:sz w:val="20"/>
          <w:sz-cs w:val="20"/>
          <w:spacing w:val="0"/>
        </w:rPr>
        <w:t xml:space="preserve"> que declaró que «el juez nacional deberá comprobar, antes de proceder a estimar el perjuicio, si la parte demandante ha hecho uso de ella (sic. el acceso a fuentes de prueba). En efecto, en el supuesto de que la imposibilidad práctica de evaluar el perjuicio se deba a la inactividad de la parte demandante, no corresponderá al juez nacional sustituir a esta parte ni suplir su falta de acción». Por tanto, dado que la demandante no ha intentado probar y cuantificar el daño mediante un acceso a los datos en poder del demandado, la estimación judicial del daño está vedada al órgano judicial.</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En el encabezamiento del motivo cuarto, las recurrentes denuncian la «infracción del </w:t>
      </w:r>
      <w:r>
        <w:rPr>
          <w:rFonts w:ascii="Verdana" w:hAnsi="Verdana" w:cs="Verdana"/>
          <w:sz w:val="20"/>
          <w:sz-cs w:val="20"/>
          <w:i/>
          <w:spacing w:val="0"/>
        </w:rPr>
        <w:t xml:space="preserve"> art. 1.902 CC </w:t>
      </w:r>
      <w:r>
        <w:rPr>
          <w:rFonts w:ascii="Verdana" w:hAnsi="Verdana" w:cs="Verdana"/>
          <w:sz w:val="20"/>
          <w:sz-cs w:val="20"/>
          <w:spacing w:val="0"/>
        </w:rPr>
        <w:t xml:space="preserve"> en relación con el </w:t>
      </w:r>
      <w:r>
        <w:rPr>
          <w:rFonts w:ascii="Verdana" w:hAnsi="Verdana" w:cs="Verdana"/>
          <w:sz w:val="20"/>
          <w:sz-cs w:val="20"/>
          <w:i/>
          <w:spacing w:val="0"/>
        </w:rPr>
        <w:t xml:space="preserve"> art. 76.2 LDC </w:t>
      </w:r>
      <w:r>
        <w:rPr>
          <w:rFonts w:ascii="Verdana" w:hAnsi="Verdana" w:cs="Verdana"/>
          <w:sz w:val="20"/>
          <w:sz-cs w:val="20"/>
          <w:spacing w:val="0"/>
        </w:rPr>
        <w:t xml:space="preserve">, por el incumplimiento de los requisitos para la estimación judicial del daño desarrollados en la </w:t>
      </w:r>
      <w:r>
        <w:rPr>
          <w:rFonts w:ascii="Verdana" w:hAnsi="Verdana" w:cs="Verdana"/>
          <w:sz w:val="20"/>
          <w:sz-cs w:val="20"/>
          <w:i/>
          <w:spacing w:val="0"/>
        </w:rPr>
        <w:t xml:space="preserve"> STJUE de 16 de febrero de 2023 (C-312/21 </w:t>
      </w:r>
      <w:r>
        <w:rPr>
          <w:rFonts w:ascii="Verdana" w:hAnsi="Verdana" w:cs="Verdana"/>
          <w:sz w:val="20"/>
          <w:sz-cs w:val="20"/>
          <w:spacing w:val="0"/>
        </w:rPr>
        <w:t xml:space="preserve">, Tráficos Manuel Ferrer) en su dimensión jurídico-material».</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En el desarrollo del motivo se argumenta que «[l]o único que consigue una cuantificación judicial generalizada del 5% es alcanzar una conclusión contraria a la lógica y la razón, ya que la Sentencia de Apelación establece correctamente que el informe pericial del demandante no es útil ni eficaz a los efectos de considerar cumplidas las cargas probatorias mínimas de los demandantes, pero a renglón seguido establece una cuantificación judicial sin fundamento ni soporte probatorio y obviando las cuantificaciones alternativas elaboradas por la demandada. [...] si la facultad de estimar judicialmente el daño al amparo del </w:t>
      </w:r>
      <w:r>
        <w:rPr>
          <w:rFonts w:ascii="Verdana" w:hAnsi="Verdana" w:cs="Verdana"/>
          <w:sz w:val="20"/>
          <w:sz-cs w:val="20"/>
          <w:i/>
          <w:spacing w:val="0"/>
        </w:rPr>
        <w:t xml:space="preserve"> Art. 76.2 LDC </w:t>
      </w:r>
      <w:r>
        <w:rPr>
          <w:rFonts w:ascii="Verdana" w:hAnsi="Verdana" w:cs="Verdana"/>
          <w:sz w:val="20"/>
          <w:sz-cs w:val="20"/>
          <w:spacing w:val="0"/>
        </w:rPr>
        <w:t xml:space="preserve"> en Camiones fue validada por la </w:t>
      </w:r>
      <w:r>
        <w:rPr>
          <w:rFonts w:ascii="Verdana" w:hAnsi="Verdana" w:cs="Verdana"/>
          <w:sz w:val="20"/>
          <w:sz-cs w:val="20"/>
          <w:i/>
          <w:spacing w:val="0"/>
        </w:rPr>
        <w:t xml:space="preserve"> STJUE de 22 de junio de 2022 </w:t>
      </w:r>
      <w:r>
        <w:rPr>
          <w:rFonts w:ascii="Verdana" w:hAnsi="Verdana" w:cs="Verdana"/>
          <w:sz w:val="20"/>
          <w:sz-cs w:val="20"/>
          <w:spacing w:val="0"/>
        </w:rPr>
        <w:t xml:space="preserve">, esta última debe necesariamente interpretarse de manera conjunta con la </w:t>
      </w:r>
      <w:r>
        <w:rPr>
          <w:rFonts w:ascii="Verdana" w:hAnsi="Verdana" w:cs="Verdana"/>
          <w:sz w:val="20"/>
          <w:sz-cs w:val="20"/>
          <w:i/>
          <w:spacing w:val="0"/>
        </w:rPr>
        <w:t xml:space="preserve"> STJUE de 16 de febrero de 2023 </w:t>
      </w:r>
      <w:r>
        <w:rPr>
          <w:rFonts w:ascii="Verdana" w:hAnsi="Verdana" w:cs="Verdana"/>
          <w:sz w:val="20"/>
          <w:sz-cs w:val="20"/>
          <w:spacing w:val="0"/>
        </w:rPr>
        <w:t xml:space="preserve">, cuyo punto 57 incluyó un mandato expreso, claro, directo e inequívoco al Juez nacional consistente en </w:t>
      </w:r>
      <w:r>
        <w:rPr>
          <w:rFonts w:ascii="Verdana" w:hAnsi="Verdana" w:cs="Verdana"/>
          <w:sz w:val="20"/>
          <w:sz-cs w:val="20"/>
          <w:i/>
          <w:spacing w:val="0"/>
        </w:rPr>
        <w:t xml:space="preserve"> "comprobar, antes de proceder a estimar el perjuicio, si la parte demandante ha hecho uso de ella [sic. La facultad prevista en el </w:t>
      </w:r>
      <w:r>
        <w:rPr>
          <w:rFonts w:ascii="Verdana" w:hAnsi="Verdana" w:cs="Verdana"/>
          <w:sz w:val="20"/>
          <w:sz-cs w:val="20"/>
          <w:spacing w:val="0"/>
        </w:rPr>
        <w:t xml:space="preserve">  </w:t>
      </w:r>
      <w:r>
        <w:rPr>
          <w:rFonts w:ascii="Verdana" w:hAnsi="Verdana" w:cs="Verdana"/>
          <w:sz w:val="20"/>
          <w:sz-cs w:val="20"/>
          <w:i/>
          <w:spacing w:val="0"/>
        </w:rPr>
        <w:t xml:space="preserve">   Art. 283 bis LEC </w:t>
      </w:r>
      <w:r>
        <w:rPr>
          <w:rFonts w:ascii="Verdana" w:hAnsi="Verdana" w:cs="Verdana"/>
          <w:sz w:val="20"/>
          <w:sz-cs w:val="20"/>
          <w:spacing w:val="0"/>
        </w:rPr>
        <w:t xml:space="preserve">    </w:t>
      </w:r>
      <w:r>
        <w:rPr>
          <w:rFonts w:ascii="Verdana" w:hAnsi="Verdana" w:cs="Verdana"/>
          <w:sz w:val="20"/>
          <w:sz-cs w:val="20"/>
          <w:i/>
          <w:spacing w:val="0"/>
        </w:rPr>
        <w:t xml:space="preserve"> ]. En efecto, en el supuesto de que la imposibilidad práctica de evaluar el perjuicio se deba a la inactividad de la parte demandante, no corresponderá al juez nacional sustituir a esta parte ni suplir su falta de acción"». </w:t>
      </w:r>
      <w:r>
        <w:rPr>
          <w:rFonts w:ascii="Verdana" w:hAnsi="Verdana" w:cs="Verdana"/>
          <w:sz w:val="20"/>
          <w:sz-cs w:val="20"/>
          <w:spacing w:val="0"/>
        </w:rPr>
        <w:t xml:space="preserve"> </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Y por último, en el encabezamiento del motivo quinto se denuncia la «infracción del </w:t>
      </w:r>
      <w:r>
        <w:rPr>
          <w:rFonts w:ascii="Verdana" w:hAnsi="Verdana" w:cs="Verdana"/>
          <w:sz w:val="20"/>
          <w:sz-cs w:val="20"/>
          <w:i/>
          <w:spacing w:val="0"/>
        </w:rPr>
        <w:t xml:space="preserve"> art. 1.902 CC </w:t>
      </w:r>
      <w:r>
        <w:rPr>
          <w:rFonts w:ascii="Verdana" w:hAnsi="Verdana" w:cs="Verdana"/>
          <w:sz w:val="20"/>
          <w:sz-cs w:val="20"/>
          <w:spacing w:val="0"/>
        </w:rPr>
        <w:t xml:space="preserve"> en su dimensión jurídica-material por inexistencia de daño excluyente de la responsabilidad en el caso concreto».</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En el desarrollo del motivo se alega que, ante la falta de actividad probatoria por el demandante, no existe prueba del daño, como presupuesto de la responsabilidad, o de existir presunción del daño, esta parte la ha refutado eficazmente mediante un informe pericial plenamente eficaz en el procedimiento.</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La estrecha relación existente entre los motivos del recurso, muchos de cuyos argumentos son reiterativos, aconseja su resolución conjunta.</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2.- </w:t>
      </w:r>
      <w:r>
        <w:rPr>
          <w:rFonts w:ascii="Verdana" w:hAnsi="Verdana" w:cs="Verdana"/>
          <w:sz w:val="20"/>
          <w:sz-cs w:val="20"/>
          <w:spacing w:val="0"/>
        </w:rPr>
        <w:t xml:space="preserve"> Decisión de la sala. Como cuestión previa, hemos de advertir que las recurrentes incurren en el error de afirmar en algunos pasajes de su recurso que la sentencia recurrida «establece correctamente que el informe pericial del demandante no es útil ni eficaz a los efectos de considerar cumplidas las cargas probatorias mínimas de los demandantes». Tal afirmación es incorrecta pues en este litigio no se ha admitido el informe pericial de la demandante.</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Otra alegación que debe ser desatendida es la que hace referencia a que el informe pericial aportado por las demandadas ha probado que el cártel no ha causado daño alguno pues no provocó un sobreprecio en los camiones cartelizados. Esta sala ha declarado de forma reiterada que el cártel de los camiones provocó una subida de precios de los camiones y que el informe pericial que las demandadas, pertenecientes al grupo Volvo, han venido aportando en estos litigios no prueba la inexistencia de ese daño.</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Ahora bien, llevan razón las recurrentes cuando afirman que la estimación judicial de la cuantía del daño solo procede cuando la imposibilidad de cuantificar el daño producido por el cártel no es debido a la inactividad del perjudicado.</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En la </w:t>
      </w:r>
      <w:r>
        <w:rPr>
          <w:rFonts w:ascii="Verdana" w:hAnsi="Verdana" w:cs="Verdana"/>
          <w:sz w:val="20"/>
          <w:sz-cs w:val="20"/>
          <w:i/>
          <w:spacing w:val="0"/>
        </w:rPr>
        <w:t xml:space="preserve"> sentencia 926/2023, de 12 de junio </w:t>
      </w:r>
      <w:r>
        <w:rPr>
          <w:rFonts w:ascii="Verdana" w:hAnsi="Verdana" w:cs="Verdana"/>
          <w:sz w:val="20"/>
          <w:sz-cs w:val="20"/>
          <w:spacing w:val="0"/>
        </w:rPr>
        <w:t xml:space="preserve">, hicimos estas afirmaciones, que hemos reiterado en numerosas sentencias de la misma fecha y de fechas posteriores:</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«17.- La atribución al juez de facultades de estimación de la cuantificación del daño causado por la conducta infractora de la</w:t>
      </w:r>
      <w:r>
        <w:rPr>
          <w:rFonts w:ascii="Verdana" w:hAnsi="Verdana" w:cs="Verdana"/>
          <w:sz w:val="20"/>
          <w:sz-cs w:val="20"/>
          <w:spacing w:val="0"/>
          <w:color w:val="FF0000"/>
        </w:rPr>
        <w:t xml:space="preserve"> competencia</w:t>
      </w:r>
      <w:r>
        <w:rPr>
          <w:rFonts w:ascii="Verdana" w:hAnsi="Verdana" w:cs="Verdana"/>
          <w:sz w:val="20"/>
          <w:sz-cs w:val="20"/>
          <w:spacing w:val="0"/>
        </w:rPr>
        <w:t xml:space="preserve"> permite superar algunas dificultades propias de la valoración del daño en este campo. El apartado 82 de la </w:t>
      </w:r>
      <w:r>
        <w:rPr>
          <w:rFonts w:ascii="Verdana" w:hAnsi="Verdana" w:cs="Verdana"/>
          <w:sz w:val="20"/>
          <w:sz-cs w:val="20"/>
          <w:i/>
          <w:spacing w:val="0"/>
        </w:rPr>
        <w:t xml:space="preserve"> STJUE de 22 de junio de 2022 (asunto C-267/20 </w:t>
      </w:r>
      <w:r>
        <w:rPr>
          <w:rFonts w:ascii="Verdana" w:hAnsi="Verdana" w:cs="Verdana"/>
          <w:sz w:val="20"/>
          <w:sz-cs w:val="20"/>
          <w:spacing w:val="0"/>
        </w:rPr>
        <w:t xml:space="preserve">, ECLI: EU:C:2022:494), al justificar la atribución al juez de estas facultades estimativas en el art. 17.1 de la Directiva, declaró que dicha norma tenía por objeto "flexibilizar el nivel de prueba exigido para determinar el importe del perjuicio sufrido y subsanar la asimetría de información existente en detrimento de la parte demandante afectada, así como las dificultades derivadas del hecho de que la cuantificación del perjuicio sufrido requiere evaluar cómo habría evolucionado el mercado de referencia si no se hubiera producido la infracción".</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»La posterior </w:t>
      </w:r>
      <w:r>
        <w:rPr>
          <w:rFonts w:ascii="Verdana" w:hAnsi="Verdana" w:cs="Verdana"/>
          <w:sz w:val="20"/>
          <w:sz-cs w:val="20"/>
          <w:i/>
          <w:spacing w:val="0"/>
        </w:rPr>
        <w:t xml:space="preserve"> sentencia del TJUE de 16 de febrero de 2023 (asunto C-312/21 </w:t>
      </w:r>
      <w:r>
        <w:rPr>
          <w:rFonts w:ascii="Verdana" w:hAnsi="Verdana" w:cs="Verdana"/>
          <w:sz w:val="20"/>
          <w:sz-cs w:val="20"/>
          <w:spacing w:val="0"/>
        </w:rPr>
        <w:t xml:space="preserve">, ECLI: EU:C:2023:99), en su apartado 53, ha ceñido la aplicación de las facultades de estimación del juez en este campo a "situaciones en que, una vez acreditada la existencia de ese perjuicio respecto de la parte demandante, sea prácticamente imposible o excesivamente difícil cuantificarlo".</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»En esta última sentencia, el TJUE afirma que "en el supuesto de que la imposibilidad práctica de evaluar el perjuicio se deba a la inactividad de la parte demandante, no corresponderá al juez nacional sustituir a esta parte ni suplir su falta de acción" (apartado 57).</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»18.- En el presente caso, como ya se ha expresado, hay prueba suficiente de que el cártel causó daños, consistentes fundamentalmente en que los compradores de los camiones pagaron un sobreprecio derivado de la artificial elevación de los precios provocada por el cártel. Sin embargo, no hay prueba suficiente de cuál ha sido el importe del sobreprecio porque los tribunales de instancia han considerado que ese extremo no ha quedado probado por el informe pericial presentado por el perjudicado, que estiman inidóneo para realizar esta cuantificación.</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»Para decidir si el ejercicio de facultades de estimación del daño realizado en la sentencia apelada ha sido correcto, hay que valorar, siguiendo los criterios fijados en la </w:t>
      </w:r>
      <w:r>
        <w:rPr>
          <w:rFonts w:ascii="Verdana" w:hAnsi="Verdana" w:cs="Verdana"/>
          <w:sz w:val="20"/>
          <w:sz-cs w:val="20"/>
          <w:i/>
          <w:spacing w:val="0"/>
        </w:rPr>
        <w:t xml:space="preserve"> sentencia del TJUE de 16 de febrero de 2023 </w:t>
      </w:r>
      <w:r>
        <w:rPr>
          <w:rFonts w:ascii="Verdana" w:hAnsi="Verdana" w:cs="Verdana"/>
          <w:sz w:val="20"/>
          <w:sz-cs w:val="20"/>
          <w:spacing w:val="0"/>
        </w:rPr>
        <w:t xml:space="preserve"> citada, si la imposibilidad práctica de valorar el daño se debió a la inactividad del perjudicado. Y para realizar esta valoración no bastan las consideraciones generales o abstractas, sino que hay que atender a las circunstancias concretas del litigio.</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»19.- Es cierto que la citada </w:t>
      </w:r>
      <w:r>
        <w:rPr>
          <w:rFonts w:ascii="Verdana" w:hAnsi="Verdana" w:cs="Verdana"/>
          <w:sz w:val="20"/>
          <w:sz-cs w:val="20"/>
          <w:i/>
          <w:spacing w:val="0"/>
        </w:rPr>
        <w:t xml:space="preserve"> STJUE de 16 de febrero de 2023 </w:t>
      </w:r>
      <w:r>
        <w:rPr>
          <w:rFonts w:ascii="Verdana" w:hAnsi="Verdana" w:cs="Verdana"/>
          <w:sz w:val="20"/>
          <w:sz-cs w:val="20"/>
          <w:spacing w:val="0"/>
        </w:rPr>
        <w:t xml:space="preserve"> hace referencia a la facultad que el </w:t>
      </w:r>
      <w:r>
        <w:rPr>
          <w:rFonts w:ascii="Verdana" w:hAnsi="Verdana" w:cs="Verdana"/>
          <w:sz w:val="20"/>
          <w:sz-cs w:val="20"/>
          <w:i/>
          <w:spacing w:val="0"/>
        </w:rPr>
        <w:t xml:space="preserve"> art. 5.1 de la Directiva, traspuesto al Derecho interno en los </w:t>
      </w:r>
      <w:r>
        <w:rPr>
          <w:rFonts w:ascii="Verdana" w:hAnsi="Verdana" w:cs="Verdana"/>
          <w:sz w:val="20"/>
          <w:sz-cs w:val="20"/>
          <w:spacing w:val="0"/>
        </w:rPr>
        <w:t xml:space="preserve">  </w:t>
      </w:r>
      <w:r>
        <w:rPr>
          <w:rFonts w:ascii="Verdana" w:hAnsi="Verdana" w:cs="Verdana"/>
          <w:sz w:val="20"/>
          <w:sz-cs w:val="20"/>
          <w:i/>
          <w:spacing w:val="0"/>
        </w:rPr>
        <w:t xml:space="preserve"> arts. 283.bis.a) y ss. LEC </w:t>
      </w:r>
      <w:r>
        <w:rPr>
          <w:rFonts w:ascii="Verdana" w:hAnsi="Verdana" w:cs="Verdana"/>
          <w:sz w:val="20"/>
          <w:sz-cs w:val="20"/>
          <w:spacing w:val="0"/>
        </w:rPr>
        <w:t xml:space="preserve">, otorga al demandante de solicitar la exhibición de pruebas por el demandado y por terceros, fundamentalmente de documentos. Pero tal referencia ha de entenderse en el contexto de una cuestión prejudicial en la que, como dato relevante, se exponía que se había realizado tal exhibición de pruebas (que no había conseguido aportar ningún dato relevante para la cuantificación del daño), y no como indicación de que ese fuera el único medio que tiene el demandante para demostrar que no ha sido pasivo en la prueba del importe del daño.</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»El juez nacional debe valorar los elementos pertinentes, dadas las circunstancias concurrentes en el caso enjuiciado, para juzgar el esfuerzo probatorio desplegado por el perjudicado. Entre ellos se encuentra, como uno más de los posibles y no como una exigencia de carácter ineludible, haber hecho uso de las diligencias de acceso a las fuentes de la prueba. Por tanto, esa referencia que hace la citada sentencia del TJUE a la solicitud de exhibición de pruebas no supone que, de no haberse formulado tal solicitud, necesariamente la falta de prueba sobre el importe del daño sea atribuible a la inactividad del demandante».</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Por tanto, las recurrentes no llevan razón en su interpretación de la </w:t>
      </w:r>
      <w:r>
        <w:rPr>
          <w:rFonts w:ascii="Verdana" w:hAnsi="Verdana" w:cs="Verdana"/>
          <w:sz w:val="20"/>
          <w:sz-cs w:val="20"/>
          <w:i/>
          <w:spacing w:val="0"/>
        </w:rPr>
        <w:t xml:space="preserve"> sentencia del TJUE de 16 de febrero de 2023 (C-312/21 </w:t>
      </w:r>
      <w:r>
        <w:rPr>
          <w:rFonts w:ascii="Verdana" w:hAnsi="Verdana" w:cs="Verdana"/>
          <w:sz w:val="20"/>
          <w:sz-cs w:val="20"/>
          <w:spacing w:val="0"/>
        </w:rPr>
        <w:t xml:space="preserve">, </w:t>
      </w:r>
      <w:r>
        <w:rPr>
          <w:rFonts w:ascii="Verdana" w:hAnsi="Verdana" w:cs="Verdana"/>
          <w:sz w:val="20"/>
          <w:sz-cs w:val="20"/>
          <w:i/>
          <w:spacing w:val="0"/>
        </w:rPr>
        <w:t xml:space="preserve"> Tráficos Manuel Ferrer), </w:t>
      </w:r>
      <w:r>
        <w:rPr>
          <w:rFonts w:ascii="Verdana" w:hAnsi="Verdana" w:cs="Verdana"/>
          <w:sz w:val="20"/>
          <w:sz-cs w:val="20"/>
          <w:spacing w:val="0"/>
        </w:rPr>
        <w:t xml:space="preserve"> al pretender que el único esfuerzo probatorio de la parte demandante que permite al tribunal utilizar la facultad de estimación judicial del daño es el acceso a los datos de las demandadas, previsto en el </w:t>
      </w:r>
      <w:r>
        <w:rPr>
          <w:rFonts w:ascii="Verdana" w:hAnsi="Verdana" w:cs="Verdana"/>
          <w:sz w:val="20"/>
          <w:sz-cs w:val="20"/>
          <w:i/>
          <w:spacing w:val="0"/>
        </w:rPr>
        <w:t xml:space="preserve"> art. 283.bis LEC </w:t>
      </w:r>
      <w:r>
        <w:rPr>
          <w:rFonts w:ascii="Verdana" w:hAnsi="Verdana" w:cs="Verdana"/>
          <w:sz w:val="20"/>
          <w:sz-cs w:val="20"/>
          <w:spacing w:val="0"/>
        </w:rPr>
        <w:t xml:space="preserve"> pues, como explicamos en la sentencia parcialmente transcrita y en las posteriores que se han pronunciado en los mismos términos, la referencia que hace la citada sentencia del TJUE a la solicitud de exhibición de pruebas no supone que, de no haberse formulado tal solicitud, necesariamente la falta de prueba sobre la cuantía del daño sea atribuible a la inactividad del demandante. El juez nacional debe valorar los elementos pertinentes, dadas las circunstancias concurrentes en el caso enjuiciado, para juzgar el esfuerzo probatorio desplegado por el perjudicado. Entre ellos se encuentra, como uno más de los posibles y no como una exigencia de carácter ineludible, haber hecho uso de las diligencias de acceso a las fuentes de la prueba.</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Pero es cierto que cuando la falta de prueba sobre la cuantía del daño es debida a la inactividad del perjudicado, no procede que el juez haga uso de las facultades de estimación del daño pues en tal caso no se está propiamente ante una imposibilidad de fijar la cuantía del daño (requisito ineludible para el ejercicio por el juez de sus facultades de estimación de la cuantía del daño), sino ante una dejación por parte del demandante de la diligencia mínima dirigida a la prueba de los elementos de hecho en que se fundan sus pretensiones, en este caso la cuantía del daño causado por el cártel que debe ser indemnizado.</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3.- </w:t>
      </w:r>
      <w:r>
        <w:rPr>
          <w:rFonts w:ascii="Verdana" w:hAnsi="Verdana" w:cs="Verdana"/>
          <w:sz w:val="20"/>
          <w:sz-cs w:val="20"/>
          <w:spacing w:val="0"/>
        </w:rPr>
        <w:t xml:space="preserve"> La sentencia recurrida basa su decisión de condenar solidariamente a las demandadas a indemnizar a la demandante en el 5% del precio del camión en la existencia de numerosas sentencias dictadas por esta sala en las que se fijó la cuantía del daño causado por el cártel en ese porcentaje del precio. Pero, en realidad, lo que declaran esas sentencias es que en los casos por ellas resueltos, la parte demandante realizó una actividad probatoria (en concreto, la presentación de un informe pericial) que permitió probar la existencia del daño pero no fue posible probar la cuantía del mismo. Como la imposibilidad de probar esa cuantía del daño no era imputable a la inactividad del perjudicado, fue posible la estimación judicial del daño.</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Esas circunstancias no concurren en el presente supuesto, en el que el informe pericial destinado a probar la cuantía del daño que fue aportado por la demandante fue inadmitido por extemporáneo. Por tal razón, no puede aceptarse que esas sentencias firmes anteriores tengan como efecto indirecto probar que el daño fue del 5% del precio.</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No se trata, por tanto, de que se estén dictando sentencias con pronunciamientos contradictorios. Los pronunciamientos de unas y otras sentencias son concordantes: si existe prueba del daño y la falta de prueba de su cuantía no se debe a la inactividad del perjudicado, el juez puede hacer uso de las facultades de estimación de la cuantía del daño. Si, por el contrario, la falta de prueba de la cuantía del daño es debida a la inactividad del perjudicado, el juez no puede realizar una fijación estimativa de esa cuantía y la demanda debe ser desestimada.</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TERCERO.- </w:t>
      </w:r>
      <w:r>
        <w:rPr>
          <w:rFonts w:ascii="Verdana" w:hAnsi="Verdana" w:cs="Verdana"/>
          <w:sz w:val="20"/>
          <w:sz-cs w:val="20"/>
          <w:spacing w:val="0"/>
        </w:rPr>
        <w:t xml:space="preserve">  </w:t>
      </w:r>
      <w:r>
        <w:rPr>
          <w:rFonts w:ascii="Verdana" w:hAnsi="Verdana" w:cs="Verdana"/>
          <w:sz w:val="20"/>
          <w:sz-cs w:val="20"/>
          <w:i/>
          <w:spacing w:val="0"/>
        </w:rPr>
        <w:t xml:space="preserve"> Costas y depósito </w:t>
      </w:r>
      <w:r>
        <w:rPr>
          <w:rFonts w:ascii="Verdana" w:hAnsi="Verdana" w:cs="Verdana"/>
          <w:sz w:val="20"/>
          <w:sz-cs w:val="20"/>
          <w:spacing w:val="0"/>
        </w:rPr>
        <w:t xml:space="preserve"> </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1.- </w:t>
      </w:r>
      <w:r>
        <w:rPr>
          <w:rFonts w:ascii="Verdana" w:hAnsi="Verdana" w:cs="Verdana"/>
          <w:sz w:val="20"/>
          <w:sz-cs w:val="20"/>
          <w:spacing w:val="0"/>
        </w:rPr>
        <w:t xml:space="preserve"> No procede hacer expresa imposición de las costas del recurso de casación, de conformidad con los </w:t>
      </w:r>
      <w:r>
        <w:rPr>
          <w:rFonts w:ascii="Verdana" w:hAnsi="Verdana" w:cs="Verdana"/>
          <w:sz w:val="20"/>
          <w:sz-cs w:val="20"/>
          <w:i/>
          <w:spacing w:val="0"/>
        </w:rPr>
        <w:t xml:space="preserve"> artículos 394 </w:t>
      </w:r>
      <w:r>
        <w:rPr>
          <w:rFonts w:ascii="Verdana" w:hAnsi="Verdana" w:cs="Verdana"/>
          <w:sz w:val="20"/>
          <w:sz-cs w:val="20"/>
          <w:spacing w:val="0"/>
        </w:rPr>
        <w:t xml:space="preserve"> y </w:t>
      </w:r>
      <w:r>
        <w:rPr>
          <w:rFonts w:ascii="Verdana" w:hAnsi="Verdana" w:cs="Verdana"/>
          <w:sz w:val="20"/>
          <w:sz-cs w:val="20"/>
          <w:i/>
          <w:spacing w:val="0"/>
        </w:rPr>
        <w:t xml:space="preserve"> 398, ambos de la Ley de Enjuiciamiento Civil </w:t>
      </w:r>
      <w:r>
        <w:rPr>
          <w:rFonts w:ascii="Verdana" w:hAnsi="Verdana" w:cs="Verdana"/>
          <w:sz w:val="20"/>
          <w:sz-cs w:val="20"/>
          <w:spacing w:val="0"/>
        </w:rPr>
        <w:t xml:space="preserve">. Respecto de las costas del recurso de apelación, procede condenar a la demandante al haber visto desestimado su recurso de apelación.</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2.- </w:t>
      </w:r>
      <w:r>
        <w:rPr>
          <w:rFonts w:ascii="Verdana" w:hAnsi="Verdana" w:cs="Verdana"/>
          <w:sz w:val="20"/>
          <w:sz-cs w:val="20"/>
          <w:spacing w:val="0"/>
        </w:rPr>
        <w:t xml:space="preserve"> Procédase a la devolución del depósito constituido de conformidad con la </w:t>
      </w:r>
      <w:r>
        <w:rPr>
          <w:rFonts w:ascii="Verdana" w:hAnsi="Verdana" w:cs="Verdana"/>
          <w:sz w:val="20"/>
          <w:sz-cs w:val="20"/>
          <w:i/>
          <w:spacing w:val="0"/>
        </w:rPr>
        <w:t xml:space="preserve"> disposición adicional 15.ª, apartado 8, de la Ley Orgánica del Poder Judicial </w:t>
      </w:r>
      <w:r>
        <w:rPr>
          <w:rFonts w:ascii="Verdana" w:hAnsi="Verdana" w:cs="Verdana"/>
          <w:sz w:val="20"/>
          <w:sz-cs w:val="20"/>
          <w:spacing w:val="0"/>
        </w:rPr>
        <w:t xml:space="preserve">.</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r>
    </w:p>
    <w:p>
      <w:pPr>
        <w:jc w:val="both"/>
      </w:pPr>
      <w:r>
        <w:rPr>
          <w:rFonts w:ascii="Verdana" w:hAnsi="Verdana" w:cs="Verdana"/>
          <w:sz w:val="20"/>
          <w:sz-cs w:val="20"/>
          <w:b/>
          <w:spacing w:val="0"/>
          <w:color w:val="0000FF"/>
        </w:rPr>
        <w:t xml:space="preserve">F A L L O</w:t>
      </w:r>
      <w:r>
        <w:rPr>
          <w:rFonts w:ascii="Verdana" w:hAnsi="Verdana" w:cs="Verdana"/>
          <w:sz w:val="20"/>
          <w:sz-cs w:val="20"/>
          <w:spacing w:val="0"/>
        </w:rPr>
        <w:t xml:space="preserve"/>
      </w:r>
    </w:p>
    <w:p>
      <w:pPr>
        <w:jc w:val="both"/>
      </w:pPr>
      <w:r>
        <w:rPr>
          <w:rFonts w:ascii="Verdana" w:hAnsi="Verdana" w:cs="Verdana"/>
          <w:sz w:val="20"/>
          <w:sz-cs w:val="20"/>
          <w:spacing w:val="0"/>
        </w:rPr>
        <w:t xml:space="preserve"/>
        <w:tab/>
        <w:t xml:space="preserve"> Por todo lo expuesto, en nombre del Rey y por la autoridad que le confiere la Constitución, esta sala ha decidido</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1.º- </w:t>
      </w:r>
      <w:r>
        <w:rPr>
          <w:rFonts w:ascii="Verdana" w:hAnsi="Verdana" w:cs="Verdana"/>
          <w:sz w:val="20"/>
          <w:sz-cs w:val="20"/>
          <w:spacing w:val="0"/>
        </w:rPr>
        <w:t xml:space="preserve"> Estimar el recurso de casación interpuesto por Ab Volvo y Volvo Group España S.A.U. contra la </w:t>
      </w:r>
      <w:r>
        <w:rPr>
          <w:rFonts w:ascii="Verdana" w:hAnsi="Verdana" w:cs="Verdana"/>
          <w:sz w:val="20"/>
          <w:sz-cs w:val="20"/>
          <w:i/>
          <w:spacing w:val="0"/>
        </w:rPr>
        <w:t xml:space="preserve"> sentencia 630/2024, de 18 de octubre, dictada por la Sección Cuarta de la Audiencia Provincial de las Palmas de Gran Canaria, en el recurso de apelación núm. 1191/2023 </w:t>
      </w:r>
      <w:r>
        <w:rPr>
          <w:rFonts w:ascii="Verdana" w:hAnsi="Verdana" w:cs="Verdana"/>
          <w:sz w:val="20"/>
          <w:sz-cs w:val="20"/>
          <w:spacing w:val="0"/>
        </w:rPr>
        <w:t xml:space="preserve">.</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2.º- </w:t>
      </w:r>
      <w:r>
        <w:rPr>
          <w:rFonts w:ascii="Verdana" w:hAnsi="Verdana" w:cs="Verdana"/>
          <w:sz w:val="20"/>
          <w:sz-cs w:val="20"/>
          <w:spacing w:val="0"/>
        </w:rPr>
        <w:t xml:space="preserve"> Casar la expresada sentencia y, en su lugar, desestimar el recurso de apelación interpuesto por D.ª Martina contra la </w:t>
      </w:r>
      <w:r>
        <w:rPr>
          <w:rFonts w:ascii="Verdana" w:hAnsi="Verdana" w:cs="Verdana"/>
          <w:sz w:val="20"/>
          <w:sz-cs w:val="20"/>
          <w:i/>
          <w:spacing w:val="0"/>
        </w:rPr>
        <w:t xml:space="preserve"> sentencia 51/2023, de 3 de marzo, del Juzgado de lo Mercantil núm. 1 de Las Palmas de Gran Canaria </w:t>
      </w:r>
      <w:r>
        <w:rPr>
          <w:rFonts w:ascii="Verdana" w:hAnsi="Verdana" w:cs="Verdana"/>
          <w:sz w:val="20"/>
          <w:sz-cs w:val="20"/>
          <w:spacing w:val="0"/>
        </w:rPr>
        <w:t xml:space="preserve">.</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3.º- </w:t>
      </w:r>
      <w:r>
        <w:rPr>
          <w:rFonts w:ascii="Verdana" w:hAnsi="Verdana" w:cs="Verdana"/>
          <w:sz w:val="20"/>
          <w:sz-cs w:val="20"/>
          <w:spacing w:val="0"/>
        </w:rPr>
        <w:t xml:space="preserve"> No hacer expresa imposición de las costas del recurso de casación y condenar a D.ª Martina al pago de las costas del recurso de apelación.</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w:t>
      </w:r>
      <w:r>
        <w:rPr>
          <w:rFonts w:ascii="Verdana" w:hAnsi="Verdana" w:cs="Verdana"/>
          <w:sz w:val="20"/>
          <w:sz-cs w:val="20"/>
          <w:b/>
          <w:spacing w:val="0"/>
        </w:rPr>
        <w:t xml:space="preserve"> 4.º- </w:t>
      </w:r>
      <w:r>
        <w:rPr>
          <w:rFonts w:ascii="Verdana" w:hAnsi="Verdana" w:cs="Verdana"/>
          <w:sz w:val="20"/>
          <w:sz-cs w:val="20"/>
          <w:spacing w:val="0"/>
        </w:rPr>
        <w:t xml:space="preserve"> Devolver al recurrente el depósito constituido para interponer el recurso de casación.</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Líbrese a la mencionada Audiencia la certificación correspondiente con devolución de los autos y rollo de apelación remitidos.</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Notifíquese esta resolución a las partes e insértese en la colección legislativa.</w:t>
      </w:r>
    </w:p>
    <w:p>
      <w:pPr>
        <w:jc w:val="both"/>
      </w:pPr>
      <w:r>
        <w:rPr>
          <w:rFonts w:ascii="Verdana" w:hAnsi="Verdana" w:cs="Verdana"/>
          <w:sz w:val="20"/>
          <w:sz-cs w:val="20"/>
          <w:spacing w:val="0"/>
        </w:rPr>
        <w:t xml:space="preserve"/>
        <w:tab/>
        <w:t xml:space="preserve"/>
      </w:r>
    </w:p>
    <w:p>
      <w:pPr>
        <w:jc w:val="both"/>
      </w:pPr>
      <w:r>
        <w:rPr>
          <w:rFonts w:ascii="Verdana" w:hAnsi="Verdana" w:cs="Verdana"/>
          <w:sz w:val="20"/>
          <w:sz-cs w:val="20"/>
          <w:spacing w:val="0"/>
        </w:rPr>
        <w:t xml:space="preserve"/>
        <w:tab/>
        <w:t xml:space="preserve"> Así se acuerda y firma.</w:t>
      </w:r>
    </w:p>
    <w:p>
      <w:pPr>
        <w:jc w:val="both"/>
      </w:pPr>
      <w:r>
        <w:rPr>
          <w:rFonts w:ascii="Verdana" w:hAnsi="Verdana" w:cs="Verdana"/>
          <w:sz w:val="20"/>
          <w:sz-cs w:val="20"/>
          <w:spacing w:val="0"/>
        </w:rPr>
        <w:t xml:space="preserve"/>
        <w:tab/>
        <w:t xml:space="preserve"/>
      </w:r>
      <w:r>
        <w:rPr>
          <w:rFonts w:ascii="Times New Roman" w:hAnsi="Times New Roman" w:cs="Times New Roman"/>
          <w:sz w:val="24"/>
          <w:sz-cs w:val="24"/>
        </w:rPr>
        <w:t xml:space="preserve"/>
      </w:r>
    </w:p>
    <w:sectPr>
      <w:pgSz w:w="12240" w:h="15840"/>
      <w:pgMar w:top="1417" w:right="1701" w:bottom="1417" w:left="1701"/>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Aranzazu Ortiz Gonzalez</dc:creator>
</cp:coreProperties>
</file>

<file path=docProps/meta.xml><?xml version="1.0" encoding="utf-8"?>
<meta xmlns="http://schemas.apple.com/cocoa/2006/metadata">
  <generator>CocoaOOXMLWriter/2685.6</generator>
</meta>
</file>