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ectPr w:rsidRPr="00666525" w:rsidR="001E0961" w:rsidSect="00FA2D4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9" w:footer="709" w:gutter="0"/>
      <w:cols w:space="708"/>
      <w:titlePg/>
      <w:docGrid w:linePitch="360"/>
    </w:sectPr>
    <w:p>
      <w:pPr>
        <w:jc w:val="left"/>
      </w:pPr>
      <w:r>
        <w:rPr>
          <w:vertAlign w:val="baseline"/>
        </w:rPr>
        <w:t xml:space="preserve"> </w:t>
      </w:r>
    </w:p>
    <w:p>
      <w:pPr>
        <w:jc w:val="left"/>
      </w:pPr>
      <w:r>
        <w:rPr>
          <w:vertAlign w:val="baseline"/>
        </w:rPr>
        <w:t xml:space="preserve">A </w:t>
      </w:r>
      <w:r>
        <w:rPr>
          <w:vertAlign w:val="baseline"/>
        </w:rPr>
        <w:t xml:space="preserve">Kúria</w:t>
      </w:r>
      <w:r>
        <w:rPr>
          <w:vertAlign w:val="baseline"/>
        </w:rPr>
        <w:t xml:space="preserve"> </w:t>
      </w:r>
    </w:p>
    <w:p>
      <w:pPr>
        <w:jc w:val="left"/>
      </w:pPr>
      <w:r>
        <w:rPr>
          <w:vertAlign w:val="baseline"/>
        </w:rPr>
        <w:t xml:space="preserve">mint felülvizsgálati bíróság </w:t>
      </w:r>
    </w:p>
    <w:p>
      <w:pPr>
        <w:jc w:val="left"/>
      </w:pPr>
      <w:r>
        <w:rPr>
          <w:vertAlign w:val="baseline"/>
        </w:rPr>
        <w:t xml:space="preserve">ítélete </w:t>
      </w:r>
    </w:p>
    <w:p>
      <w:pPr>
        <w:jc w:val="left"/>
      </w:pPr>
      <w:r>
        <w:rPr>
          <w:vertAlign w:val="baseline"/>
        </w:rPr>
        <w:t xml:space="preserve"> </w:t>
      </w:r>
    </w:p>
    <w:p>
      <w:pPr>
        <w:jc w:val="left"/>
      </w:pPr>
      <w:r>
        <w:rPr>
          <w:vertAlign w:val="baseline"/>
        </w:rPr>
        <w:t xml:space="preserve">Az ügy száma:      </w:t>
      </w:r>
      <w:r>
        <w:rPr>
          <w:vertAlign w:val="baseline"/>
        </w:rPr>
        <w:t xml:space="preserve">Gfv.VI.30.132/2024/4</w:t>
      </w:r>
      <w:r>
        <w:rPr>
          <w:vertAlign w:val="baseline"/>
        </w:rPr>
        <w:t xml:space="preserve">. </w:t>
      </w:r>
    </w:p>
    <w:p>
      <w:pPr>
        <w:jc w:val="left"/>
      </w:pPr>
      <w:r>
        <w:rPr>
          <w:vertAlign w:val="baseline"/>
        </w:rPr>
        <w:t xml:space="preserve">A tanács tagjai: </w:t>
      </w:r>
      <w:r>
        <w:rPr>
          <w:vertAlign w:val="baseline"/>
        </w:rPr>
        <w:t xml:space="preserve">Dr. Simonné</w:t>
      </w:r>
      <w:r>
        <w:rPr>
          <w:vertAlign w:val="baseline"/>
        </w:rPr>
        <w:t xml:space="preserve"> </w:t>
      </w:r>
      <w:r>
        <w:rPr>
          <w:vertAlign w:val="baseline"/>
        </w:rPr>
        <w:t xml:space="preserve">dr. Gombos Katalin</w:t>
      </w:r>
      <w:r>
        <w:rPr>
          <w:vertAlign w:val="baseline"/>
        </w:rPr>
        <w:t xml:space="preserve"> a tanács elnöke </w:t>
      </w:r>
    </w:p>
    <w:p>
      <w:pPr>
        <w:jc w:val="left"/>
      </w:pPr>
      <w:r>
        <w:rPr>
          <w:vertAlign w:val="baseline"/>
        </w:rPr>
        <w:t xml:space="preserve">     </w:t>
      </w:r>
      <w:r>
        <w:rPr>
          <w:vertAlign w:val="baseline"/>
        </w:rPr>
        <w:t xml:space="preserve">Dr. Tibold Ágnes</w:t>
      </w:r>
      <w:r>
        <w:rPr>
          <w:vertAlign w:val="baseline"/>
        </w:rPr>
        <w:t xml:space="preserve"> előadó bíró </w:t>
      </w:r>
    </w:p>
    <w:p>
      <w:pPr>
        <w:jc w:val="left"/>
      </w:pPr>
      <w:r>
        <w:rPr>
          <w:vertAlign w:val="baseline"/>
        </w:rPr>
        <w:t xml:space="preserve">     </w:t>
      </w:r>
      <w:r>
        <w:rPr>
          <w:vertAlign w:val="baseline"/>
        </w:rPr>
        <w:t xml:space="preserve">Dr. Döme Attila</w:t>
      </w:r>
      <w:r>
        <w:rPr>
          <w:vertAlign w:val="baseline"/>
        </w:rPr>
        <w:t xml:space="preserve"> bíró </w:t>
      </w:r>
    </w:p>
    <w:p>
      <w:pPr>
        <w:jc w:val="left"/>
      </w:pPr>
      <w:r>
        <w:rPr>
          <w:vertAlign w:val="baseline"/>
        </w:rPr>
        <w:t xml:space="preserve">     </w:t>
      </w:r>
      <w:r>
        <w:rPr>
          <w:vertAlign w:val="baseline"/>
        </w:rPr>
        <w:t xml:space="preserve">Dr. Farkas Antónia</w:t>
      </w:r>
      <w:r>
        <w:rPr>
          <w:vertAlign w:val="baseline"/>
        </w:rPr>
        <w:t xml:space="preserve"> bíró </w:t>
      </w:r>
    </w:p>
    <w:p>
      <w:pPr>
        <w:jc w:val="left"/>
      </w:pPr>
      <w:r>
        <w:rPr>
          <w:vertAlign w:val="baseline"/>
        </w:rPr>
        <w:t xml:space="preserve">     </w:t>
      </w:r>
      <w:r>
        <w:rPr>
          <w:vertAlign w:val="baseline"/>
        </w:rPr>
        <w:t xml:space="preserve">Dr. Madarász Anna</w:t>
      </w:r>
      <w:r>
        <w:rPr>
          <w:vertAlign w:val="baseline"/>
        </w:rPr>
        <w:t xml:space="preserve"> bíró </w:t>
      </w:r>
    </w:p>
    <w:p>
      <w:pPr>
        <w:jc w:val="left"/>
      </w:pPr>
      <w:r>
        <w:rPr>
          <w:vertAlign w:val="baseline"/>
        </w:rPr>
        <w:t xml:space="preserve">A felperes: ... </w:t>
      </w:r>
    </w:p>
    <w:p>
      <w:pPr>
        <w:jc w:val="left"/>
      </w:pPr>
      <w:r>
        <w:rPr>
          <w:vertAlign w:val="baseline"/>
        </w:rPr>
        <w:t xml:space="preserve">A felperes képviselője: </w:t>
      </w:r>
      <w:r>
        <w:rPr>
          <w:vertAlign w:val="baseline"/>
        </w:rPr>
        <w:t xml:space="preserve">Dr. Gaudi-Nagy Tamás</w:t>
      </w:r>
      <w:r>
        <w:rPr>
          <w:vertAlign w:val="baseline"/>
        </w:rPr>
        <w:t xml:space="preserve"> ügyvéd  </w:t>
      </w:r>
    </w:p>
    <w:p>
      <w:pPr>
        <w:jc w:val="left"/>
      </w:pPr>
      <w:r>
        <w:rPr>
          <w:vertAlign w:val="baseline"/>
        </w:rPr>
        <w:t xml:space="preserve">A </w:t>
      </w:r>
      <w:r>
        <w:rPr>
          <w:vertAlign w:val="baseline"/>
        </w:rPr>
        <w:t xml:space="preserve">II.</w:t>
      </w:r>
      <w:r>
        <w:rPr>
          <w:vertAlign w:val="baseline"/>
        </w:rPr>
        <w:t xml:space="preserve"> rendű alperes: ...  </w:t>
      </w:r>
    </w:p>
    <w:p>
      <w:pPr>
        <w:jc w:val="left"/>
      </w:pPr>
      <w:r>
        <w:rPr>
          <w:vertAlign w:val="baseline"/>
        </w:rPr>
        <w:t xml:space="preserve">A </w:t>
      </w:r>
      <w:r>
        <w:rPr>
          <w:vertAlign w:val="baseline"/>
        </w:rPr>
        <w:t xml:space="preserve">II.</w:t>
      </w:r>
      <w:r>
        <w:rPr>
          <w:vertAlign w:val="baseline"/>
        </w:rPr>
        <w:t xml:space="preserve"> rendű alperes képviselője: </w:t>
      </w:r>
      <w:r>
        <w:rPr>
          <w:vertAlign w:val="baseline"/>
        </w:rPr>
        <w:t xml:space="preserve">Dávid Társas Ügyvédi Iroda</w:t>
      </w:r>
      <w:r>
        <w:rPr>
          <w:vertAlign w:val="baseline"/>
        </w:rPr>
        <w:t xml:space="preserve"> (ügyintéző: </w:t>
      </w:r>
      <w:r>
        <w:rPr>
          <w:vertAlign w:val="baseline"/>
        </w:rPr>
        <w:t xml:space="preserve">dr. Dávid Zsófia</w:t>
      </w:r>
      <w:r>
        <w:rPr>
          <w:vertAlign w:val="baseline"/>
        </w:rPr>
        <w:t xml:space="preserve"> ügyvéd) </w:t>
      </w:r>
    </w:p>
    <w:p>
      <w:pPr>
        <w:jc w:val="left"/>
      </w:pPr>
      <w:r>
        <w:rPr>
          <w:vertAlign w:val="baseline"/>
        </w:rPr>
        <w:t xml:space="preserve">A per tárgya: tisztességtelen piaci magatartás megállapítása és jogkövetkezményei </w:t>
      </w:r>
    </w:p>
    <w:p>
      <w:pPr>
        <w:jc w:val="left"/>
      </w:pPr>
      <w:r>
        <w:rPr>
          <w:vertAlign w:val="baseline"/>
        </w:rPr>
        <w:t xml:space="preserve">A felülvizsgálati kérelmet benyújtó fél: </w:t>
      </w:r>
      <w:r>
        <w:rPr>
          <w:vertAlign w:val="baseline"/>
        </w:rPr>
        <w:t xml:space="preserve">II.</w:t>
      </w:r>
      <w:r>
        <w:rPr>
          <w:vertAlign w:val="baseline"/>
        </w:rPr>
        <w:t xml:space="preserve"> rendű alperes </w:t>
      </w:r>
    </w:p>
    <w:p>
      <w:pPr>
        <w:jc w:val="left"/>
      </w:pPr>
      <w:r>
        <w:rPr>
          <w:vertAlign w:val="baseline"/>
        </w:rPr>
        <w:t xml:space="preserve">A másodfokú bíróság neve és a jogerős határozat száma: </w:t>
      </w:r>
    </w:p>
    <w:p>
      <w:pPr>
        <w:jc w:val="left"/>
      </w:pPr>
      <w:r>
        <w:rPr>
          <w:vertAlign w:val="baseline"/>
        </w:rPr>
        <w:t xml:space="preserve">     </w:t>
      </w:r>
      <w:r>
        <w:rPr>
          <w:vertAlign w:val="baseline"/>
        </w:rPr>
        <w:t xml:space="preserve">Fővárosi Ítélőtábla,</w:t>
      </w:r>
      <w:r>
        <w:rPr>
          <w:vertAlign w:val="baseline"/>
        </w:rPr>
        <w:t xml:space="preserve"> </w:t>
      </w:r>
      <w:r>
        <w:rPr>
          <w:vertAlign w:val="baseline"/>
        </w:rPr>
        <w:t xml:space="preserve">16.Gf.40.244/2023/6</w:t>
      </w:r>
      <w:r>
        <w:rPr>
          <w:vertAlign w:val="baseline"/>
        </w:rPr>
        <w:t xml:space="preserve">-II. számú ítélet </w:t>
      </w:r>
    </w:p>
    <w:p>
      <w:pPr>
        <w:jc w:val="left"/>
      </w:pPr>
      <w:r>
        <w:rPr>
          <w:vertAlign w:val="baseline"/>
        </w:rPr>
        <w:t xml:space="preserve">Az elsőfokú bíróság neve és a határozat száma: </w:t>
      </w:r>
    </w:p>
    <w:p>
      <w:pPr>
        <w:jc w:val="left"/>
      </w:pPr>
      <w:r>
        <w:rPr>
          <w:vertAlign w:val="baseline"/>
        </w:rPr>
        <w:t xml:space="preserve">      </w:t>
      </w:r>
      <w:r>
        <w:rPr>
          <w:vertAlign w:val="baseline"/>
        </w:rPr>
        <w:t xml:space="preserve">Fővárosi Törvényszék,</w:t>
      </w:r>
      <w:r>
        <w:rPr>
          <w:vertAlign w:val="baseline"/>
        </w:rPr>
        <w:t xml:space="preserve"> </w:t>
      </w:r>
      <w:r>
        <w:rPr>
          <w:vertAlign w:val="baseline"/>
        </w:rPr>
        <w:t xml:space="preserve">30.G.42.023/2021/62</w:t>
      </w:r>
      <w:r>
        <w:rPr>
          <w:vertAlign w:val="baseline"/>
        </w:rPr>
        <w:t xml:space="preserve">. számú ítélet </w:t>
      </w:r>
    </w:p>
    <w:p>
      <w:pPr>
        <w:jc w:val="left"/>
      </w:pPr>
      <w:r>
        <w:rPr>
          <w:vertAlign w:val="baseline"/>
        </w:rPr>
        <w:t xml:space="preserve"> </w:t>
      </w:r>
    </w:p>
    <w:p>
      <w:pPr>
        <w:jc w:val="left"/>
      </w:pPr>
      <w:r>
        <w:rPr>
          <w:vertAlign w:val="baseline"/>
        </w:rPr>
        <w:t xml:space="preserve">Rendelkező rész </w:t>
      </w:r>
    </w:p>
    <w:p>
      <w:pPr>
        <w:jc w:val="left"/>
      </w:pPr>
      <w:r>
        <w:rPr>
          <w:vertAlign w:val="baseline"/>
        </w:rPr>
        <w:t xml:space="preserve"> </w:t>
      </w:r>
    </w:p>
    <w:p>
      <w:pPr>
        <w:jc w:val="left"/>
      </w:pPr>
      <w:r>
        <w:rPr>
          <w:vertAlign w:val="baseline"/>
        </w:rPr>
        <w:t xml:space="preserve">A </w:t>
      </w:r>
      <w:r>
        <w:rPr>
          <w:vertAlign w:val="baseline"/>
        </w:rPr>
        <w:t xml:space="preserve">Kúria</w:t>
      </w:r>
      <w:r>
        <w:rPr>
          <w:vertAlign w:val="baseline"/>
        </w:rPr>
        <w:t xml:space="preserve"> a jogerős ítéletet a felülvizsgálati kérelemmel érintett részében hatályon kívül helyezi, és ebben a keretben az elsőfokú bíróság ítéletét helybenhagyja. </w:t>
      </w:r>
    </w:p>
    <w:p>
      <w:pPr>
        <w:jc w:val="left"/>
      </w:pPr>
      <w:r>
        <w:rPr>
          <w:vertAlign w:val="baseline"/>
        </w:rPr>
        <w:t xml:space="preserve"> </w:t>
      </w:r>
    </w:p>
    <w:p>
      <w:pPr>
        <w:jc w:val="left"/>
      </w:pPr>
      <w:r>
        <w:rPr>
          <w:vertAlign w:val="baseline"/>
        </w:rPr>
        <w:t xml:space="preserve">Kötelezi a felperest, hogy 15 napon belül fizessen meg a </w:t>
      </w:r>
      <w:r>
        <w:rPr>
          <w:vertAlign w:val="baseline"/>
        </w:rPr>
        <w:t xml:space="preserve">II.</w:t>
      </w:r>
      <w:r>
        <w:rPr>
          <w:vertAlign w:val="baseline"/>
        </w:rPr>
        <w:t xml:space="preserve"> rendű alperesnek </w:t>
      </w:r>
      <w:r>
        <w:rPr>
          <w:vertAlign w:val="baseline"/>
        </w:rPr>
        <w:t xml:space="preserve">1.338.515</w:t>
      </w:r>
      <w:r>
        <w:rPr>
          <w:vertAlign w:val="baseline"/>
        </w:rPr>
        <w:t xml:space="preserve"> egymillió-háromszázharmincnyolcezer-ötszáztizenöt) forint együttes másodfokú perköltséget és felülvizsgálati eljárási költséget. Megállapítja, hogy a le nem rótt </w:t>
      </w:r>
      <w:r>
        <w:rPr>
          <w:vertAlign w:val="baseline"/>
        </w:rPr>
        <w:t xml:space="preserve">1.784.000</w:t>
      </w:r>
      <w:r>
        <w:rPr>
          <w:vertAlign w:val="baseline"/>
        </w:rPr>
        <w:t xml:space="preserve"> (egymillió-hétszáznyolcvannégyezer) forint fellebbezési eljárási illeték az állam terhén marad. </w:t>
      </w:r>
    </w:p>
    <w:p>
      <w:pPr>
        <w:jc w:val="left"/>
      </w:pPr>
      <w:r>
        <w:rPr>
          <w:vertAlign w:val="baseline"/>
        </w:rPr>
        <w:t xml:space="preserve"> </w:t>
      </w:r>
    </w:p>
    <w:p>
      <w:pPr>
        <w:jc w:val="left"/>
      </w:pPr>
      <w:r>
        <w:rPr>
          <w:vertAlign w:val="baseline"/>
        </w:rPr>
        <w:t xml:space="preserve">Az ítélet ellen felülvizsgálatnak nincs helye. </w:t>
      </w:r>
    </w:p>
    <w:p>
      <w:pPr>
        <w:jc w:val="left"/>
      </w:pPr>
      <w:r>
        <w:rPr>
          <w:vertAlign w:val="baseline"/>
        </w:rPr>
        <w:t xml:space="preserve"> </w:t>
      </w:r>
    </w:p>
    <w:p>
      <w:pPr>
        <w:jc w:val="left"/>
      </w:pPr>
      <w:r>
        <w:rPr>
          <w:vertAlign w:val="baseline"/>
        </w:rPr>
        <w:t xml:space="preserve">Indokolás </w:t>
      </w:r>
    </w:p>
    <w:p>
      <w:pPr>
        <w:jc w:val="left"/>
      </w:pPr>
      <w:r>
        <w:rPr>
          <w:vertAlign w:val="baseline"/>
        </w:rPr>
        <w:t xml:space="preserve"> </w:t>
      </w:r>
    </w:p>
    <w:p>
      <w:pPr>
        <w:jc w:val="left"/>
      </w:pPr>
      <w:r>
        <w:rPr>
          <w:vertAlign w:val="baseline"/>
        </w:rPr>
        <w:t xml:space="preserve">     A felülvizsgálat alapjául szolgáló tényállás </w:t>
      </w:r>
    </w:p>
    <w:p>
      <w:pPr>
        <w:jc w:val="left"/>
      </w:pPr>
      <w:r>
        <w:rPr>
          <w:vertAlign w:val="baseline"/>
        </w:rPr>
        <w:t xml:space="preserve"> </w:t>
      </w:r>
    </w:p>
    <w:p>
      <w:pPr>
        <w:jc w:val="left"/>
      </w:pPr>
      <w:r>
        <w:rPr>
          <w:vertAlign w:val="baseline"/>
        </w:rPr>
        <w:t xml:space="preserve">[1]     A felperes 1989-től 2012. december 31-ig üzemeltette az „M.. p...” ismertté vált piacot, </w:t>
      </w:r>
      <w:r>
        <w:rPr>
          <w:vertAlign w:val="baseline"/>
        </w:rPr>
        <w:t xml:space="preserve">V</w:t>
      </w:r>
      <w:r>
        <w:rPr>
          <w:vertAlign w:val="baseline"/>
        </w:rPr>
        <w:t xml:space="preserve">.</w:t>
      </w:r>
      <w:r>
        <w:rPr>
          <w:vertAlign w:val="baseline"/>
        </w:rPr>
        <w:t xml:space="preserve">.</w:t>
      </w:r>
      <w:r>
        <w:rPr>
          <w:vertAlign w:val="baseline"/>
        </w:rPr>
        <w:t xml:space="preserve">.</w:t>
      </w:r>
      <w:r>
        <w:rPr>
          <w:vertAlign w:val="baseline"/>
        </w:rPr>
        <w:t xml:space="preserve"> </w:t>
      </w:r>
      <w:r>
        <w:rPr>
          <w:vertAlign w:val="baseline"/>
        </w:rPr>
        <w:t xml:space="preserve">ú</w:t>
      </w:r>
      <w:r>
        <w:rPr>
          <w:vertAlign w:val="baseline"/>
        </w:rPr>
        <w:t xml:space="preserve">.</w:t>
      </w:r>
      <w:r>
        <w:rPr>
          <w:vertAlign w:val="baseline"/>
        </w:rPr>
        <w:t xml:space="preserve">.</w:t>
      </w:r>
      <w:r>
        <w:rPr>
          <w:vertAlign w:val="baseline"/>
        </w:rPr>
        <w:t xml:space="preserve">.</w:t>
      </w:r>
      <w:r>
        <w:rPr>
          <w:vertAlign w:val="baseline"/>
        </w:rPr>
        <w:t xml:space="preserve"> </w:t>
      </w:r>
      <w:r>
        <w:rPr>
          <w:vertAlign w:val="baseline"/>
        </w:rPr>
        <w:t xml:space="preserve">H... V...</w:t>
      </w:r>
      <w:r>
        <w:rPr>
          <w:vertAlign w:val="baseline"/>
        </w:rPr>
        <w:t xml:space="preserve"> néven a B..., I... k... V... ú..., a per korábbi I. rendű alperese, a </w:t>
      </w:r>
      <w:r>
        <w:rPr>
          <w:vertAlign w:val="baseline"/>
        </w:rPr>
        <w:t xml:space="preserve">Budapest Főváros III.</w:t>
      </w:r>
      <w:r>
        <w:rPr>
          <w:vertAlign w:val="baseline"/>
        </w:rPr>
        <w:t xml:space="preserve"> Kerület </w:t>
      </w:r>
      <w:r>
        <w:rPr>
          <w:vertAlign w:val="baseline"/>
        </w:rPr>
        <w:t xml:space="preserve">Óbuda</w:t>
      </w:r>
      <w:r>
        <w:rPr>
          <w:vertAlign w:val="baseline"/>
        </w:rPr>
        <w:t xml:space="preserve">-Békásmegyer </w:t>
      </w:r>
      <w:r>
        <w:rPr>
          <w:vertAlign w:val="baseline"/>
        </w:rPr>
        <w:t xml:space="preserve">Önkormányzata</w:t>
      </w:r>
      <w:r>
        <w:rPr>
          <w:vertAlign w:val="baseline"/>
        </w:rPr>
        <w:t xml:space="preserve"> (a továbbiakban: volt I. rendű alperes) tulajdonában álló közterületen, amelyet a felperes évenként megkötött közterület-felhasználási megállapodás alapján használt. </w:t>
      </w:r>
    </w:p>
    <w:p>
      <w:pPr>
        <w:jc w:val="left"/>
      </w:pPr>
      <w:r>
        <w:rPr>
          <w:vertAlign w:val="baseline"/>
        </w:rPr>
        <w:t xml:space="preserve">[2]     A felperes 2013-ra vonatkozó közterület használat iránti kérelmét a volt I. rendű alperes elutasította, a perbeli közterület használatát 2013. január 1-től a </w:t>
      </w:r>
      <w:r>
        <w:rPr>
          <w:vertAlign w:val="baseline"/>
        </w:rPr>
        <w:t xml:space="preserve">II.</w:t>
      </w:r>
      <w:r>
        <w:rPr>
          <w:vertAlign w:val="baseline"/>
        </w:rPr>
        <w:t xml:space="preserve"> rendű alperesnek engedélyezte. Határozata szerint az adott közterület használatára a </w:t>
      </w:r>
      <w:r>
        <w:rPr>
          <w:vertAlign w:val="baseline"/>
        </w:rPr>
        <w:t xml:space="preserve">II.</w:t>
      </w:r>
      <w:r>
        <w:rPr>
          <w:vertAlign w:val="baseline"/>
        </w:rPr>
        <w:t xml:space="preserve"> rendű alperes korábban nyújtott be kérelmet, ami alapján közöttük már közterület-használati szerződés jött létre.  </w:t>
      </w:r>
    </w:p>
    <w:p>
      <w:pPr>
        <w:jc w:val="left"/>
      </w:pPr>
      <w:r>
        <w:rPr>
          <w:vertAlign w:val="baseline"/>
        </w:rPr>
        <w:t xml:space="preserve">[3]     A </w:t>
      </w:r>
      <w:r>
        <w:rPr>
          <w:vertAlign w:val="baseline"/>
        </w:rPr>
        <w:t xml:space="preserve">II.</w:t>
      </w:r>
      <w:r>
        <w:rPr>
          <w:vertAlign w:val="baseline"/>
        </w:rPr>
        <w:t xml:space="preserve"> rendű alperes 2013. január 1-jétől 2017. december 31-ig üzemeltette a piacot ezen a helyszínen. </w:t>
      </w:r>
    </w:p>
    <w:p>
      <w:pPr>
        <w:jc w:val="left"/>
      </w:pPr>
      <w:r>
        <w:rPr>
          <w:vertAlign w:val="baseline"/>
        </w:rPr>
        <w:t xml:space="preserve">[4]     A felperes a bírósághoz 2018. július 15-én benyújtott keresetében a tisztességtelen piaci magatartásról és a versenykorlátozás tilalmáról szóló 1996. évi </w:t>
      </w:r>
      <w:r>
        <w:rPr>
          <w:vertAlign w:val="baseline"/>
        </w:rPr>
        <w:t xml:space="preserve">LVII.</w:t>
      </w:r>
      <w:r>
        <w:rPr>
          <w:vertAlign w:val="baseline"/>
        </w:rPr>
        <w:t xml:space="preserve"> törvény (a továbbiakban: </w:t>
      </w:r>
      <w:r>
        <w:rPr>
          <w:vertAlign w:val="baseline"/>
        </w:rPr>
        <w:t xml:space="preserve">Tpvt.</w:t>
      </w:r>
      <w:r>
        <w:rPr>
          <w:vertAlign w:val="baseline"/>
        </w:rPr>
        <w:t xml:space="preserve">)  86. § (2) bekezdés a) pontja alapján a per volt I. rendű és korábbi </w:t>
      </w:r>
      <w:r>
        <w:rPr>
          <w:vertAlign w:val="baseline"/>
        </w:rPr>
        <w:t xml:space="preserve">III.</w:t>
      </w:r>
      <w:r>
        <w:rPr>
          <w:vertAlign w:val="baseline"/>
        </w:rPr>
        <w:t xml:space="preserve"> rendű (Budapest </w:t>
      </w:r>
      <w:r>
        <w:rPr>
          <w:vertAlign w:val="baseline"/>
        </w:rPr>
        <w:t xml:space="preserve">Főváros III.</w:t>
      </w:r>
      <w:r>
        <w:rPr>
          <w:vertAlign w:val="baseline"/>
        </w:rPr>
        <w:t xml:space="preserve"> Kerület </w:t>
      </w:r>
      <w:r>
        <w:rPr>
          <w:vertAlign w:val="baseline"/>
        </w:rPr>
        <w:t xml:space="preserve">Óbuda</w:t>
      </w:r>
      <w:r>
        <w:rPr>
          <w:vertAlign w:val="baseline"/>
        </w:rPr>
        <w:t xml:space="preserve">-Békásmegyer </w:t>
      </w:r>
      <w:r>
        <w:rPr>
          <w:vertAlign w:val="baseline"/>
        </w:rPr>
        <w:t xml:space="preserve">Önkormányzat Polgármesteri Hivatal</w:t>
      </w:r>
      <w:r>
        <w:rPr>
          <w:vertAlign w:val="baseline"/>
        </w:rPr>
        <w:t xml:space="preserve">) alperesének, valamint a </w:t>
      </w:r>
      <w:r>
        <w:rPr>
          <w:vertAlign w:val="baseline"/>
        </w:rPr>
        <w:t xml:space="preserve">II.</w:t>
      </w:r>
      <w:r>
        <w:rPr>
          <w:vertAlign w:val="baseline"/>
        </w:rPr>
        <w:t xml:space="preserve"> rendű alperesnek a </w:t>
      </w:r>
      <w:r>
        <w:rPr>
          <w:vertAlign w:val="baseline"/>
        </w:rPr>
        <w:t xml:space="preserve">Tpvt.</w:t>
      </w:r>
      <w:r>
        <w:rPr>
          <w:vertAlign w:val="baseline"/>
        </w:rPr>
        <w:t xml:space="preserve"> II. fejezetének több rendelkezésébe ütköző magatartása jogellenességének megállapítását és a 86. § (2) bekezdés e) pontja alapján az alperesek </w:t>
      </w:r>
      <w:r>
        <w:rPr>
          <w:vertAlign w:val="baseline"/>
        </w:rPr>
        <w:t xml:space="preserve">22.300.000</w:t>
      </w:r>
      <w:r>
        <w:rPr>
          <w:vertAlign w:val="baseline"/>
        </w:rPr>
        <w:t xml:space="preserve"> forint kártérítés és járulékai egyetemleges megfizetésére kötelezését kérte. A </w:t>
      </w:r>
      <w:r>
        <w:rPr>
          <w:vertAlign w:val="baseline"/>
        </w:rPr>
        <w:t xml:space="preserve">Fővárosi Ítélőtábla</w:t>
      </w:r>
      <w:r>
        <w:rPr>
          <w:vertAlign w:val="baseline"/>
        </w:rPr>
        <w:t xml:space="preserve"> mint másodfokú bíróság a 2021. október 13-án meghozott, </w:t>
      </w:r>
      <w:r>
        <w:rPr>
          <w:vertAlign w:val="baseline"/>
        </w:rPr>
        <w:t xml:space="preserve">20.Gf.40.123/2021/15</w:t>
      </w:r>
      <w:r>
        <w:rPr>
          <w:vertAlign w:val="baseline"/>
        </w:rPr>
        <w:t xml:space="preserve">/II. számú részítéletével az elsőfokú bíróság mindhárom alperessel szemben előterjesztett keresetet elutasító ítéletét részben, a </w:t>
      </w:r>
      <w:r>
        <w:rPr>
          <w:vertAlign w:val="baseline"/>
        </w:rPr>
        <w:t xml:space="preserve">II.</w:t>
      </w:r>
      <w:r>
        <w:rPr>
          <w:vertAlign w:val="baseline"/>
        </w:rPr>
        <w:t xml:space="preserve"> rendű alperesre vonatkozóan megváltoztatta és megállapította, hogy a </w:t>
      </w:r>
      <w:r>
        <w:rPr>
          <w:vertAlign w:val="baseline"/>
        </w:rPr>
        <w:t xml:space="preserve">II.</w:t>
      </w:r>
      <w:r>
        <w:rPr>
          <w:vertAlign w:val="baseline"/>
        </w:rPr>
        <w:t xml:space="preserve"> rendű alperes az üzleti tisztesség követelményeibe ütköző magatartást tanúsított azzal, hogy 2012. november 26. és december 31. közötti időszakban szórólapozással és a piacon jelenlévő árusok közvetlen megkeresésével toborozta a B..., I... V... ú... felperes által üzemeltetett piac szereplőit a saját maga által üzemeltetni kívánt piacon való részvételre; továbbá 2013. január 1-től 2017. december 31-ig úgy üzemeltette az addig a felperes által üzemeltetett heti vásárt, hogy ehhez engedély nélkül felhasználta a felperes kapcsolatrendszerét és tevékenységének eredményeit. A </w:t>
      </w:r>
      <w:r>
        <w:rPr>
          <w:vertAlign w:val="baseline"/>
        </w:rPr>
        <w:t xml:space="preserve">II.</w:t>
      </w:r>
      <w:r>
        <w:rPr>
          <w:vertAlign w:val="baseline"/>
        </w:rPr>
        <w:t xml:space="preserve"> rendű alperessel szembeni kártérítési kereset vonatkozásában az elsőfokú bíróság ítéletét hatályon kívül helyezte és ebben a körben az elsőfokú bíróságot a per újabb tárgyalására és újabb határozat hozatalára utasította; egyebekben az elsőfokú bíróság keresetet elutasító rendelkezését helybenhagyta.  </w:t>
      </w:r>
    </w:p>
    <w:p>
      <w:pPr>
        <w:jc w:val="left"/>
      </w:pPr>
      <w:r>
        <w:rPr>
          <w:vertAlign w:val="baseline"/>
        </w:rPr>
        <w:t xml:space="preserve">[5]     A </w:t>
      </w:r>
      <w:r>
        <w:rPr>
          <w:vertAlign w:val="baseline"/>
        </w:rPr>
        <w:t xml:space="preserve">II.</w:t>
      </w:r>
      <w:r>
        <w:rPr>
          <w:vertAlign w:val="baseline"/>
        </w:rPr>
        <w:t xml:space="preserve"> rendű alperes felülvizsgálati kérelme folytán eljárt </w:t>
      </w:r>
      <w:r>
        <w:rPr>
          <w:vertAlign w:val="baseline"/>
        </w:rPr>
        <w:t xml:space="preserve">Kúria</w:t>
      </w:r>
      <w:r>
        <w:rPr>
          <w:vertAlign w:val="baseline"/>
        </w:rPr>
        <w:t xml:space="preserve"> a 2023. január 25-én kelt </w:t>
      </w:r>
      <w:r>
        <w:rPr>
          <w:vertAlign w:val="baseline"/>
        </w:rPr>
        <w:t xml:space="preserve">Gfv.VI.30.156/2022/9</w:t>
      </w:r>
      <w:r>
        <w:rPr>
          <w:vertAlign w:val="baseline"/>
        </w:rPr>
        <w:t xml:space="preserve">. számú részítéletével a jogerős részítéletet – a felülvizsgálati kérelemmel támadott részében – részben hatályon kívül helyezte, és az elsőfokú bíróság ítéletének a </w:t>
      </w:r>
      <w:r>
        <w:rPr>
          <w:vertAlign w:val="baseline"/>
        </w:rPr>
        <w:t xml:space="preserve">II.</w:t>
      </w:r>
      <w:r>
        <w:rPr>
          <w:vertAlign w:val="baseline"/>
        </w:rPr>
        <w:t xml:space="preserve"> rendű alperes 2012. november 26. és december 31. közötti időszakban szórólapozással és toborzással tanúsított magatartásának az üzleti tisztesség követelményeibe ütköző megállapítására irányuló keresetet elutasító rendelkezését helybenhagyta. Egyebekben a jogerős részítélet felülvizsgálati kérelemmel támadott rendelkezését hatályában fenntartotta. </w:t>
      </w:r>
    </w:p>
    <w:p>
      <w:pPr>
        <w:jc w:val="left"/>
      </w:pPr>
      <w:r>
        <w:rPr>
          <w:vertAlign w:val="baseline"/>
        </w:rPr>
        <w:t xml:space="preserve"> </w:t>
      </w:r>
    </w:p>
    <w:p>
      <w:pPr>
        <w:jc w:val="left"/>
      </w:pPr>
      <w:r>
        <w:rPr>
          <w:vertAlign w:val="baseline"/>
        </w:rPr>
        <w:t xml:space="preserve">A kereseti kérelem és az alperes védekezése </w:t>
      </w:r>
    </w:p>
    <w:p>
      <w:pPr>
        <w:jc w:val="left"/>
      </w:pPr>
      <w:r>
        <w:rPr>
          <w:vertAlign w:val="baseline"/>
        </w:rPr>
        <w:t xml:space="preserve"> </w:t>
      </w:r>
    </w:p>
    <w:p>
      <w:pPr>
        <w:jc w:val="left"/>
      </w:pPr>
      <w:r>
        <w:rPr>
          <w:vertAlign w:val="baseline"/>
        </w:rPr>
        <w:t xml:space="preserve">[6]     A felperes a megismételt eljárásban pontosított keresetében a részítéletben megállapított üzleti tisztességet sértő magatartással okozati összefüggésben </w:t>
      </w:r>
      <w:r>
        <w:rPr>
          <w:vertAlign w:val="baseline"/>
        </w:rPr>
        <w:t xml:space="preserve">22.300.000</w:t>
      </w:r>
      <w:r>
        <w:rPr>
          <w:vertAlign w:val="baseline"/>
        </w:rPr>
        <w:t xml:space="preserve"> forint kártérítés és ezen összeg 2013. január 1-től a kifizetésig terjedő időre számított késedelmi kamata megfizetésére kérte kötelezni a </w:t>
      </w:r>
      <w:r>
        <w:rPr>
          <w:vertAlign w:val="baseline"/>
        </w:rPr>
        <w:t xml:space="preserve">II.</w:t>
      </w:r>
      <w:r>
        <w:rPr>
          <w:vertAlign w:val="baseline"/>
        </w:rPr>
        <w:t xml:space="preserve"> rendű alperest a </w:t>
      </w:r>
      <w:r>
        <w:rPr>
          <w:vertAlign w:val="baseline"/>
        </w:rPr>
        <w:t xml:space="preserve">Tpvt.</w:t>
      </w:r>
      <w:r>
        <w:rPr>
          <w:vertAlign w:val="baseline"/>
        </w:rPr>
        <w:t xml:space="preserve"> 86. § (2) bekezdés e) pontja és a </w:t>
      </w:r>
      <w:r>
        <w:rPr>
          <w:vertAlign w:val="baseline"/>
        </w:rPr>
        <w:t xml:space="preserve">Polgári Törvénykönyvről</w:t>
      </w:r>
      <w:r>
        <w:rPr>
          <w:vertAlign w:val="baseline"/>
        </w:rPr>
        <w:t xml:space="preserve"> szóló 1959. évi </w:t>
      </w:r>
      <w:r>
        <w:rPr>
          <w:vertAlign w:val="baseline"/>
        </w:rPr>
        <w:t xml:space="preserve">IV.</w:t>
      </w:r>
      <w:r>
        <w:rPr>
          <w:vertAlign w:val="baseline"/>
        </w:rPr>
        <w:t xml:space="preserve"> törvény (a továbbiakban: régi </w:t>
      </w:r>
      <w:r>
        <w:rPr>
          <w:vertAlign w:val="baseline"/>
        </w:rPr>
        <w:t xml:space="preserve">Ptk.</w:t>
      </w:r>
      <w:r>
        <w:rPr>
          <w:vertAlign w:val="baseline"/>
        </w:rPr>
        <w:t xml:space="preserve">) 339. § (1) bekezdése alapján. </w:t>
      </w:r>
    </w:p>
    <w:p>
      <w:pPr>
        <w:jc w:val="left"/>
      </w:pPr>
      <w:r>
        <w:rPr>
          <w:vertAlign w:val="baseline"/>
        </w:rPr>
        <w:t xml:space="preserve">[7]     A felperes – többek között – állította, hogy a </w:t>
      </w:r>
      <w:r>
        <w:rPr>
          <w:vertAlign w:val="baseline"/>
        </w:rPr>
        <w:t xml:space="preserve">II.</w:t>
      </w:r>
      <w:r>
        <w:rPr>
          <w:vertAlign w:val="baseline"/>
        </w:rPr>
        <w:t xml:space="preserve"> rendű alperes a jogsértő tevékenységével, a piac üzemeltetésének „elorozásával” megfosztotta attól, hogy az általa létrehozott V... ú... h... v... üzemeltetése során a 2013. január 1-ei időszakot megelőző időszakhoz hasonlóan „adományok” útján bevételt szerezzen, továbbá azzal, hogy a kapcsolatrendszere és a tevékenysége eredményének engedély nélküli felhasználásával „elorozta” tőle a V... ú... h... v..., egy komoly értékkel bíró szellemi terméket ún. védett ismeretet (know-how) tulajdonított el tőle. Előadta, hogy az alapító részéről elméleti és gyakorlati munkával járt az ún. M... p... létrehozása és működési feltételeire vonatkozó szabályok kialakítása. </w:t>
      </w:r>
    </w:p>
    <w:p>
      <w:pPr>
        <w:jc w:val="left"/>
      </w:pPr>
      <w:r>
        <w:rPr>
          <w:vertAlign w:val="baseline"/>
        </w:rPr>
        <w:t xml:space="preserve">[8]     A </w:t>
      </w:r>
      <w:r>
        <w:rPr>
          <w:vertAlign w:val="baseline"/>
        </w:rPr>
        <w:t xml:space="preserve">II.</w:t>
      </w:r>
      <w:r>
        <w:rPr>
          <w:vertAlign w:val="baseline"/>
        </w:rPr>
        <w:t xml:space="preserve"> rendű alperes a kereset elutasítását kérte, vitatta annak jogalapját és összegszerűségét is. Álláspontja szerint a felperes által hivatkozott adományok elmaradása és a know-how elvesztése nincs okozati összefüggésben azzal, hogy a V... ú... közterületen más jogi személy heti vásár jellegű tevékenységet végzett érvényes és hatályos közterületi megállapodás alapján. Hivatkozott a perben beszerzett igazságügyi szakértői vélemény aggályosságára, amit a szakértő meghallgatása sem küszöbölt ki. </w:t>
      </w:r>
    </w:p>
    <w:p>
      <w:pPr>
        <w:jc w:val="left"/>
      </w:pPr>
      <w:r>
        <w:rPr>
          <w:vertAlign w:val="baseline"/>
        </w:rPr>
        <w:t xml:space="preserve"> </w:t>
      </w:r>
    </w:p>
    <w:p>
      <w:pPr>
        <w:jc w:val="left"/>
      </w:pPr>
      <w:r>
        <w:rPr>
          <w:vertAlign w:val="baseline"/>
        </w:rPr>
        <w:t xml:space="preserve">     Az első- és másodfokú ítélet </w:t>
      </w:r>
    </w:p>
    <w:p>
      <w:pPr>
        <w:jc w:val="left"/>
      </w:pPr>
      <w:r>
        <w:rPr>
          <w:vertAlign w:val="baseline"/>
        </w:rPr>
        <w:t xml:space="preserve"> </w:t>
      </w:r>
    </w:p>
    <w:p>
      <w:pPr>
        <w:jc w:val="left"/>
      </w:pPr>
      <w:r>
        <w:rPr>
          <w:vertAlign w:val="baseline"/>
        </w:rPr>
        <w:t xml:space="preserve">[9]     Az elsőfokú bíróság ítéletével a felperes keresetét elutasította. </w:t>
      </w:r>
    </w:p>
    <w:p>
      <w:pPr>
        <w:jc w:val="left"/>
      </w:pPr>
      <w:r>
        <w:rPr>
          <w:vertAlign w:val="baseline"/>
        </w:rPr>
        <w:t xml:space="preserve">[10]     </w:t>
      </w:r>
      <w:r>
        <w:rPr>
          <w:vertAlign w:val="baseline"/>
        </w:rPr>
        <w:t xml:space="preserve">Határozatának</w:t>
      </w:r>
      <w:r>
        <w:rPr>
          <w:vertAlign w:val="baseline"/>
        </w:rPr>
        <w:t xml:space="preserve"> jogi indokolása szerint a kirendelt szakértő szakvéleménye, valamint a meghallgatáson előadott nyilatkozatai – szemben a peres felek álláspontjával – aggálytalanok, azonban a szakvéleményben az elmaradt haszonra meghatározott összeget az elsőfokú bíróság a szakvélemény tartalmán kívüli okból nem tekintette megalapozottnak. Annak tulajdonított ugyanis jelentőséget, hogy a </w:t>
      </w:r>
      <w:r>
        <w:rPr>
          <w:vertAlign w:val="baseline"/>
        </w:rPr>
        <w:t xml:space="preserve">Kúria</w:t>
      </w:r>
      <w:r>
        <w:rPr>
          <w:vertAlign w:val="baseline"/>
        </w:rPr>
        <w:t xml:space="preserve"> nem tekintette az üzleti tisztességbe ütközőnek a </w:t>
      </w:r>
      <w:r>
        <w:rPr>
          <w:vertAlign w:val="baseline"/>
        </w:rPr>
        <w:t xml:space="preserve">II.</w:t>
      </w:r>
      <w:r>
        <w:rPr>
          <w:vertAlign w:val="baseline"/>
        </w:rPr>
        <w:t xml:space="preserve"> rendű alperes 2012. november 26. és december 31. közötti időszakban szórólapozással és toborzással tanúsított magatartását, és úgy ítélte meg, hogy az elmaradt haszon megtérítésére irányuló kereseti követelés ezen a magatartáson alapul. </w:t>
      </w:r>
    </w:p>
    <w:p>
      <w:pPr>
        <w:jc w:val="left"/>
      </w:pPr>
      <w:r>
        <w:rPr>
          <w:vertAlign w:val="baseline"/>
        </w:rPr>
        <w:t xml:space="preserve">[11]     Az elsőfokú bíróság az elmaradt hasznon kívüli kárkövetelést is megalapozatlannak találta. Indokolása szerint a védett ismeretre alapított kárkövetelést a szakértői megállapítások nem igazolták, annak számviteli dokumentumokban történő feltüntetésének hiánya miatt. Rámutatott arra is, hogy a szakértő a védett ismeret értékéről kizárólag a felperes törvényes képviselőjének nyilatkozata alapján foglalt állást, a törvényes képviselő nyilatkozata azonban nem minősül bizonyítási eszköznek a polgári perrendtartásról szóló 2016. évi </w:t>
      </w:r>
      <w:r>
        <w:rPr>
          <w:vertAlign w:val="baseline"/>
        </w:rPr>
        <w:t xml:space="preserve">CXXX.</w:t>
      </w:r>
      <w:r>
        <w:rPr>
          <w:vertAlign w:val="baseline"/>
        </w:rPr>
        <w:t xml:space="preserve"> törvény (a továbbiakban: </w:t>
      </w:r>
      <w:r>
        <w:rPr>
          <w:vertAlign w:val="baseline"/>
        </w:rPr>
        <w:t xml:space="preserve">Pp.</w:t>
      </w:r>
      <w:r>
        <w:rPr>
          <w:vertAlign w:val="baseline"/>
        </w:rPr>
        <w:t xml:space="preserve">) 268. § (2) bekezdése szerint. A fél tényelőadását pedig további bizonyíték nem támasztotta alá.  </w:t>
      </w:r>
    </w:p>
    <w:p>
      <w:pPr>
        <w:jc w:val="left"/>
      </w:pPr>
      <w:r>
        <w:rPr>
          <w:vertAlign w:val="baseline"/>
        </w:rPr>
        <w:t xml:space="preserve">[12]     A felperes fellebbezése folytán eljárt másodfokú bíróság ítéletével az elsőfokú bíróság ítéletét részben megváltoztatta, kötelezte a </w:t>
      </w:r>
      <w:r>
        <w:rPr>
          <w:vertAlign w:val="baseline"/>
        </w:rPr>
        <w:t xml:space="preserve">II.</w:t>
      </w:r>
      <w:r>
        <w:rPr>
          <w:vertAlign w:val="baseline"/>
        </w:rPr>
        <w:t xml:space="preserve"> rendű alperest, hogy 15 napon belül fizessen meg a felperesnek </w:t>
      </w:r>
      <w:r>
        <w:rPr>
          <w:vertAlign w:val="baseline"/>
        </w:rPr>
        <w:t xml:space="preserve">5.971.440</w:t>
      </w:r>
      <w:r>
        <w:rPr>
          <w:vertAlign w:val="baseline"/>
        </w:rPr>
        <w:t xml:space="preserve"> forintot és annak 2015. július 1-től a kifizetésig járó, a késedelemmel érintett naptári félév első napján érvényes jegybanki alapkamat nyolc százalékponttal növelt mértékű késedelmi kamatát; egyebekben az elsőfokú bíróság ítéletét helybenhagyta. </w:t>
      </w:r>
    </w:p>
    <w:p>
      <w:pPr>
        <w:jc w:val="left"/>
      </w:pPr>
      <w:r>
        <w:rPr>
          <w:vertAlign w:val="baseline"/>
        </w:rPr>
        <w:t xml:space="preserve">[13]     A másodfokú bíróság nem értett egyet az elsőfokú bírósággal abban, hogy a felperesi kárigény azon az alperesi magatartáson alapulna, amelyet a </w:t>
      </w:r>
      <w:r>
        <w:rPr>
          <w:vertAlign w:val="baseline"/>
        </w:rPr>
        <w:t xml:space="preserve">Kúria</w:t>
      </w:r>
      <w:r>
        <w:rPr>
          <w:vertAlign w:val="baseline"/>
        </w:rPr>
        <w:t xml:space="preserve"> nem tekintett tisztességtelen piaci magatartásnak. Az alperes károkozó magatartásának alapját abban látta, amelyben a </w:t>
      </w:r>
      <w:r>
        <w:rPr>
          <w:vertAlign w:val="baseline"/>
        </w:rPr>
        <w:t xml:space="preserve">Kúria</w:t>
      </w:r>
      <w:r>
        <w:rPr>
          <w:vertAlign w:val="baseline"/>
        </w:rPr>
        <w:t xml:space="preserve"> egyetértett a </w:t>
      </w:r>
      <w:r>
        <w:rPr>
          <w:vertAlign w:val="baseline"/>
        </w:rPr>
        <w:t xml:space="preserve">Fővárosi Ítélőtábla</w:t>
      </w:r>
      <w:r>
        <w:rPr>
          <w:vertAlign w:val="baseline"/>
        </w:rPr>
        <w:t xml:space="preserve"> jogerős részítéletében megállapított tisztességtelen piaci magatartással, azaz a piac üzemeltetésének – a felperes kapcsolatrendszerének, tevékenysége eredményének engedély nélküli felhasználásával történő – 2013. és 2017. évek közötti tényleges átvételéhez, amely megalapozza a </w:t>
      </w:r>
      <w:r>
        <w:rPr>
          <w:vertAlign w:val="baseline"/>
        </w:rPr>
        <w:t xml:space="preserve">Tpvt.</w:t>
      </w:r>
      <w:r>
        <w:rPr>
          <w:vertAlign w:val="baseline"/>
        </w:rPr>
        <w:t xml:space="preserve"> 86. § (2) bekezdés e) pontja, és a régi </w:t>
      </w:r>
      <w:r>
        <w:rPr>
          <w:vertAlign w:val="baseline"/>
        </w:rPr>
        <w:t xml:space="preserve">Ptk.</w:t>
      </w:r>
      <w:r>
        <w:rPr>
          <w:vertAlign w:val="baseline"/>
        </w:rPr>
        <w:t xml:space="preserve"> 339. § (1) bekezdése szerint érvényesített kártérítést. </w:t>
      </w:r>
    </w:p>
    <w:p>
      <w:pPr>
        <w:jc w:val="left"/>
      </w:pPr>
      <w:r>
        <w:rPr>
          <w:vertAlign w:val="baseline"/>
        </w:rPr>
        <w:t xml:space="preserve">[14]     A másodfokú bíróság az elsőfokú bírósággal egyezően úgy ítélte meg, hogy a kirendelt szakértő véleménye aggálytalan, nem homályos és nem ellentmondásos. Az elmaradt vagyoni előny körében – az elsőfokú ítéletben írtakkal szemben – úgy találta, hogy a szakértő azt egyértelműen és határozottan </w:t>
      </w:r>
      <w:r>
        <w:rPr>
          <w:vertAlign w:val="baseline"/>
        </w:rPr>
        <w:t xml:space="preserve">1.884.432</w:t>
      </w:r>
      <w:r>
        <w:rPr>
          <w:vertAlign w:val="baseline"/>
        </w:rPr>
        <w:t xml:space="preserve"> forintban megjelölte. A határozott szakértői válasz alapján nem volt szükség a bíróság </w:t>
      </w:r>
      <w:r>
        <w:rPr>
          <w:vertAlign w:val="baseline"/>
        </w:rPr>
        <w:t xml:space="preserve">Pp.</w:t>
      </w:r>
      <w:r>
        <w:rPr>
          <w:vertAlign w:val="baseline"/>
        </w:rPr>
        <w:t xml:space="preserve"> 279. § (3) bekezdésében biztosított mérlegelési jogkörének a gyakorlására. </w:t>
      </w:r>
    </w:p>
    <w:p>
      <w:pPr>
        <w:jc w:val="left"/>
      </w:pPr>
      <w:r>
        <w:rPr>
          <w:vertAlign w:val="baseline"/>
        </w:rPr>
        <w:t xml:space="preserve">[15]     A másodfokú bíróság rögzítette, nem képezte a megelőző eljárás tárgyát a felperesi know-how létezése, fennállása, illetve tartalma, ebből következően a perben kizárólag a know-how szintjét el nem érő tisztességtelen piaci magatartással okozati összefüggésben keletkezett kár volt vizsgálható. Rámutatott, az alperes üzleti tisztességet sértő magatartása, a piac üzemeltetésének „elorozása” együtt járt – a jogerős részítéletben foglalt megállapításnak megfelelően – a felperes ötletén alapuló kapcsolatrendszernek és a tevékenysége eredményeinek a felhasználásával. A felperes törvényes képviselőjének ötletén alapuló szervezési ismeretek sikeres értékesítési rendszert hoztak létre, amely nem csupán a felperesi képviselő nyilatkozata alapján állapítható meg, hanem a felperes által csatolt, az M... p... újszerűségét méltató tanulmány mint okirati bizonyíték alapján is, továbbá helyesen hivatkozott a felperes az „M... p...” vonatkozó köztudomású tényekre is. Az alperes 2013 januárjától így az eszerint bejáratott piacot vette át, a piac szervezését, működtetését külön ráfordított tevékenység nélkül folytatta, azaz a felperes ötletén alapuló kapcsolatrendszert és a tevékenység eredményét üzleti tisztességet sértő módon felhasználta. A felperesi törvényes képviselő ötletén alapuló szervezési, értékesítési rendszer – amely egyben a felperesi alapító okiratnak megfelelő működés, a felperesi célok megvalósulásának záloga – a szakvélemény szerint is értékkel bír. A szakértő által hiányolt szellemi termék rögzítésének és számviteli nyilvántartásának nincs jelentősége. Ugyanakkor a szakértő véleménye egyértelmű és aggálytalan: a piac létrehozásához és üzemeltetéséhez szükséges ismeret felhasználása folytán a felperest ért kár </w:t>
      </w:r>
      <w:r>
        <w:rPr>
          <w:vertAlign w:val="baseline"/>
        </w:rPr>
        <w:t xml:space="preserve">4.087.008</w:t>
      </w:r>
      <w:r>
        <w:rPr>
          <w:vertAlign w:val="baseline"/>
        </w:rPr>
        <w:t xml:space="preserve"> forint, </w:t>
      </w:r>
    </w:p>
    <w:p>
      <w:pPr>
        <w:jc w:val="left"/>
      </w:pPr>
      <w:r>
        <w:rPr>
          <w:vertAlign w:val="baseline"/>
        </w:rPr>
        <w:t xml:space="preserve">[16]     A másodfokú bíróság álláspontja szerint a </w:t>
      </w:r>
      <w:r>
        <w:rPr>
          <w:vertAlign w:val="baseline"/>
        </w:rPr>
        <w:t xml:space="preserve">II.</w:t>
      </w:r>
      <w:r>
        <w:rPr>
          <w:vertAlign w:val="baseline"/>
        </w:rPr>
        <w:t xml:space="preserve"> rendű alperes tévesen hivatkozott a károkozó magatartás és a felperesi kár közötti okozati összefüggés hiányára. Az okozati összefüggés vizsgálata során az üzleti tisztességet sértő magatartásnak, és azzal okozati összefüggésben keletkezett kárnak van jelentősége, amelynek körében nem mérlegelendő körülmény az, hogy az alperes jogszerű közterülethasználati engedély alapján üzemeltette a piacot. </w:t>
      </w:r>
    </w:p>
    <w:p>
      <w:pPr>
        <w:jc w:val="left"/>
      </w:pPr>
      <w:r>
        <w:rPr>
          <w:vertAlign w:val="baseline"/>
        </w:rPr>
        <w:t xml:space="preserve">[17]     </w:t>
      </w:r>
      <w:r>
        <w:rPr>
          <w:vertAlign w:val="baseline"/>
        </w:rPr>
        <w:t xml:space="preserve">Minderre</w:t>
      </w:r>
      <w:r>
        <w:rPr>
          <w:vertAlign w:val="baseline"/>
        </w:rPr>
        <w:t xml:space="preserve"> figyelemmel a másodfokú bíróság kötelezte a </w:t>
      </w:r>
      <w:r>
        <w:rPr>
          <w:vertAlign w:val="baseline"/>
        </w:rPr>
        <w:t xml:space="preserve">II.</w:t>
      </w:r>
      <w:r>
        <w:rPr>
          <w:vertAlign w:val="baseline"/>
        </w:rPr>
        <w:t xml:space="preserve"> rendű alperest az aggálytalan szakvélemény alapján </w:t>
      </w:r>
      <w:r>
        <w:rPr>
          <w:vertAlign w:val="baseline"/>
        </w:rPr>
        <w:t xml:space="preserve">1.884.432</w:t>
      </w:r>
      <w:r>
        <w:rPr>
          <w:vertAlign w:val="baseline"/>
        </w:rPr>
        <w:t xml:space="preserve"> forint elmaradt vagyoni előny és </w:t>
      </w:r>
      <w:r>
        <w:rPr>
          <w:vertAlign w:val="baseline"/>
        </w:rPr>
        <w:t xml:space="preserve">4.087.008</w:t>
      </w:r>
      <w:r>
        <w:rPr>
          <w:vertAlign w:val="baseline"/>
        </w:rPr>
        <w:t xml:space="preserve"> forint további kár, (összesen </w:t>
      </w:r>
      <w:r>
        <w:rPr>
          <w:vertAlign w:val="baseline"/>
        </w:rPr>
        <w:t xml:space="preserve">5.971.440</w:t>
      </w:r>
      <w:r>
        <w:rPr>
          <w:vertAlign w:val="baseline"/>
        </w:rPr>
        <w:t xml:space="preserve"> forint), és az után az érintett teljes időszak alapján középarányos időponttól számított késedelmi kamat megfizetésére. </w:t>
      </w:r>
    </w:p>
    <w:p>
      <w:pPr>
        <w:jc w:val="left"/>
      </w:pPr>
      <w:r>
        <w:rPr>
          <w:vertAlign w:val="baseline"/>
        </w:rPr>
        <w:t xml:space="preserve"> </w:t>
      </w:r>
    </w:p>
    <w:p>
      <w:pPr>
        <w:jc w:val="left"/>
      </w:pPr>
      <w:r>
        <w:rPr>
          <w:vertAlign w:val="baseline"/>
        </w:rPr>
        <w:t xml:space="preserve">     A felülvizsgálati kérelem és ellenkérelem </w:t>
      </w:r>
    </w:p>
    <w:p>
      <w:pPr>
        <w:jc w:val="left"/>
      </w:pPr>
      <w:r>
        <w:rPr>
          <w:vertAlign w:val="baseline"/>
        </w:rPr>
        <w:t xml:space="preserve"> </w:t>
      </w:r>
    </w:p>
    <w:p>
      <w:pPr>
        <w:jc w:val="left"/>
      </w:pPr>
      <w:r>
        <w:rPr>
          <w:vertAlign w:val="baseline"/>
        </w:rPr>
        <w:t xml:space="preserve">[18]     A </w:t>
      </w:r>
      <w:r>
        <w:rPr>
          <w:vertAlign w:val="baseline"/>
        </w:rPr>
        <w:t xml:space="preserve">II.</w:t>
      </w:r>
      <w:r>
        <w:rPr>
          <w:vertAlign w:val="baseline"/>
        </w:rPr>
        <w:t xml:space="preserve"> rendű alperes felülvizsgálati kérelmében a jogerős ítélet hatályon kívül helyezését és az elsőfokú bíróság ítéletének helybenhagyását, másodlagosan a jogerős ítélet elsőfokú ítéletre is kiterjedő hatályon kívül helyezését, és az elsőfokú bíróság új eljárásra és új határozat hozatalára utasítását kérte. Állította, hogy a jogerős ítélet sérti a számvitelről szóló 2000. évi C. törvény (a továbbiakban: </w:t>
      </w:r>
      <w:r>
        <w:rPr>
          <w:vertAlign w:val="baseline"/>
        </w:rPr>
        <w:t xml:space="preserve">Sztv.</w:t>
      </w:r>
      <w:r>
        <w:rPr>
          <w:vertAlign w:val="baseline"/>
        </w:rPr>
        <w:t xml:space="preserve">) 165. és 166. §-át, a </w:t>
      </w:r>
      <w:r>
        <w:rPr>
          <w:vertAlign w:val="baseline"/>
        </w:rPr>
        <w:t xml:space="preserve">Tpvt.</w:t>
      </w:r>
      <w:r>
        <w:rPr>
          <w:vertAlign w:val="baseline"/>
        </w:rPr>
        <w:t xml:space="preserve"> 86. § (2) bekezdés e) pontját, a régi </w:t>
      </w:r>
      <w:r>
        <w:rPr>
          <w:vertAlign w:val="baseline"/>
        </w:rPr>
        <w:t xml:space="preserve">Ptk.</w:t>
      </w:r>
      <w:r>
        <w:rPr>
          <w:vertAlign w:val="baseline"/>
        </w:rPr>
        <w:t xml:space="preserve"> 310/A. § (1) és (2) bekezdését, 339. § (1) bekezdését, 355. § (4) bekezdését, a </w:t>
      </w:r>
      <w:r>
        <w:rPr>
          <w:vertAlign w:val="baseline"/>
        </w:rPr>
        <w:t xml:space="preserve">Pp.</w:t>
      </w:r>
      <w:r>
        <w:rPr>
          <w:vertAlign w:val="baseline"/>
        </w:rPr>
        <w:t xml:space="preserve"> </w:t>
      </w:r>
      <w:r>
        <w:rPr>
          <w:vertAlign w:val="baseline"/>
        </w:rPr>
        <w:t xml:space="preserve">266-268.</w:t>
      </w:r>
      <w:r>
        <w:rPr>
          <w:vertAlign w:val="baseline"/>
        </w:rPr>
        <w:t xml:space="preserve"> §-át, 369. § (3) bekezdés c) pontját és 370. § (1) bekezdését. </w:t>
      </w:r>
    </w:p>
    <w:p>
      <w:pPr>
        <w:jc w:val="left"/>
      </w:pPr>
      <w:r>
        <w:rPr>
          <w:vertAlign w:val="baseline"/>
        </w:rPr>
        <w:t xml:space="preserve">[19]     A </w:t>
      </w:r>
      <w:r>
        <w:rPr>
          <w:vertAlign w:val="baseline"/>
        </w:rPr>
        <w:t xml:space="preserve">II.</w:t>
      </w:r>
      <w:r>
        <w:rPr>
          <w:vertAlign w:val="baseline"/>
        </w:rPr>
        <w:t xml:space="preserve"> rendű alperes kifejtette, az </w:t>
      </w:r>
      <w:r>
        <w:rPr>
          <w:vertAlign w:val="baseline"/>
        </w:rPr>
        <w:t xml:space="preserve">Sztv.</w:t>
      </w:r>
      <w:r>
        <w:rPr>
          <w:vertAlign w:val="baseline"/>
        </w:rPr>
        <w:t xml:space="preserve">-ben szabályozott bizonylati elvet és a bizonylati fegyelemre vonatkozó rendelkezéseket amiatt sérti a jogerős ítélet, mert a szakvélemény egyértelmű abban, hogy a teljes kárösszeg részét képező kárpótlás, költség összegét a szakértő nulla forintban állapította meg, hasonlóan a szervező tevékenység, tapasztalat és kapcsolatrendszer értékéhez. A szakértő felhívta a figyelmet továbbá arra, hogy az 1989-ben kidolgozott rendszer legkésőbb 2010 elejétől a hasznos időtartamának végéhez közeledett, valamint a felperesi szervező tevékenység és kapcsolatrendszer a </w:t>
      </w:r>
      <w:r>
        <w:rPr>
          <w:vertAlign w:val="baseline"/>
        </w:rPr>
        <w:t xml:space="preserve">2009-2012.</w:t>
      </w:r>
      <w:r>
        <w:rPr>
          <w:vertAlign w:val="baseline"/>
        </w:rPr>
        <w:t xml:space="preserve"> üzleti években realizált árbevétel részét képezte, így külön kárértéket erre nem tartott indokoltnak. Hangsúlyozta, a szakértő által meghatározott know-how értéke nem feleltethető meg a </w:t>
      </w:r>
      <w:r>
        <w:rPr>
          <w:vertAlign w:val="baseline"/>
        </w:rPr>
        <w:t xml:space="preserve">Tpvt.</w:t>
      </w:r>
      <w:r>
        <w:rPr>
          <w:vertAlign w:val="baseline"/>
        </w:rPr>
        <w:t xml:space="preserve"> 2. §-ának megsértéséből eredő bármely kárnak. Iratellenes ezért a jogerős ítélet azon megállapítása, hogy a szakértő azt állapította meg, hogy a piac létrehozásához és üzemeltetéséhez szükséges ismeret felhasználása folytán a felperest </w:t>
      </w:r>
      <w:r>
        <w:rPr>
          <w:vertAlign w:val="baseline"/>
        </w:rPr>
        <w:t xml:space="preserve">4.087.008</w:t>
      </w:r>
      <w:r>
        <w:rPr>
          <w:vertAlign w:val="baseline"/>
        </w:rPr>
        <w:t xml:space="preserve"> forint kár érte. </w:t>
      </w:r>
    </w:p>
    <w:p>
      <w:pPr>
        <w:jc w:val="left"/>
      </w:pPr>
      <w:r>
        <w:rPr>
          <w:vertAlign w:val="baseline"/>
        </w:rPr>
        <w:t xml:space="preserve">[20]     </w:t>
      </w:r>
      <w:r>
        <w:rPr>
          <w:vertAlign w:val="baseline"/>
        </w:rPr>
        <w:t xml:space="preserve">Azért</w:t>
      </w:r>
      <w:r>
        <w:rPr>
          <w:vertAlign w:val="baseline"/>
        </w:rPr>
        <w:t xml:space="preserve"> sem helyes a másodfokú bíróság fenti álláspontja, mert a szakértő a know-how értékét becslési módszerrel, egyedül a felperes képviselőjének a nyilatkozata alapján számította ki, ami nem számviteli módszeren alapuló kárszámítás.  </w:t>
      </w:r>
    </w:p>
    <w:p>
      <w:pPr>
        <w:jc w:val="left"/>
      </w:pPr>
      <w:r>
        <w:rPr>
          <w:vertAlign w:val="baseline"/>
        </w:rPr>
        <w:t xml:space="preserve">[21]     A </w:t>
      </w:r>
      <w:r>
        <w:rPr>
          <w:vertAlign w:val="baseline"/>
        </w:rPr>
        <w:t xml:space="preserve">II.</w:t>
      </w:r>
      <w:r>
        <w:rPr>
          <w:vertAlign w:val="baseline"/>
        </w:rPr>
        <w:t xml:space="preserve"> rendű alperes a felülvizsgálati kérelmében változatlanul vitatta, hogy a szakértő által meghatározott elmaradt vagyoni előny a jogerős részítélet szerinti jogellenes magatartásokkal van összefüggésben. A piac üzemeltetése során nem történt értékkel bíró kapcsolatrendszer, illetve tevékenység eredményének jogellenes felhasználása, ugyanis annak értéke a szakvélemény szerint nem mutatható ki. A szakvélemény alapján ezért el kellett volna utasítani a </w:t>
      </w:r>
      <w:r>
        <w:rPr>
          <w:vertAlign w:val="baseline"/>
        </w:rPr>
        <w:t xml:space="preserve">Tpvt.</w:t>
      </w:r>
      <w:r>
        <w:rPr>
          <w:vertAlign w:val="baseline"/>
        </w:rPr>
        <w:t xml:space="preserve"> 86. § (2) bekezdés e) pontjára alapított kártérítési igényt. </w:t>
      </w:r>
    </w:p>
    <w:p>
      <w:pPr>
        <w:jc w:val="left"/>
      </w:pPr>
      <w:r>
        <w:rPr>
          <w:vertAlign w:val="baseline"/>
        </w:rPr>
        <w:t xml:space="preserve">[22]     A </w:t>
      </w:r>
      <w:r>
        <w:rPr>
          <w:vertAlign w:val="baseline"/>
        </w:rPr>
        <w:t xml:space="preserve">II.</w:t>
      </w:r>
      <w:r>
        <w:rPr>
          <w:vertAlign w:val="baseline"/>
        </w:rPr>
        <w:t xml:space="preserve"> rendű alperes kifejtette, mivel a felperesnek 2013-tól nem volt jogosultsága az üzemeltetésre, így vagyoni előnyre sem tehetett szert ebből. Álláspontja szerint az elmaradt vagyoni előny nem azért keletkezett, mert jogellenesen került üzemeltetési helyzetbe a </w:t>
      </w:r>
      <w:r>
        <w:rPr>
          <w:vertAlign w:val="baseline"/>
        </w:rPr>
        <w:t xml:space="preserve">II.</w:t>
      </w:r>
      <w:r>
        <w:rPr>
          <w:vertAlign w:val="baseline"/>
        </w:rPr>
        <w:t xml:space="preserve"> rendű alperes, és azt nem a felperes kapcsolatrendszere és tevékenysége eredményének felhasználása okozta, hanem az a tény, hogy a felperes már nem volt jogosult az éves közterület használati jog megújítása hiányában a piac üzemeltetésére. </w:t>
      </w:r>
    </w:p>
    <w:p>
      <w:pPr>
        <w:jc w:val="left"/>
      </w:pPr>
      <w:r>
        <w:rPr>
          <w:vertAlign w:val="baseline"/>
        </w:rPr>
        <w:t xml:space="preserve">[23]     A jogerős ítélet sérti a </w:t>
      </w:r>
      <w:r>
        <w:rPr>
          <w:vertAlign w:val="baseline"/>
        </w:rPr>
        <w:t xml:space="preserve">Pp.</w:t>
      </w:r>
      <w:r>
        <w:rPr>
          <w:vertAlign w:val="baseline"/>
        </w:rPr>
        <w:t xml:space="preserve"> 267. és 268. §-ait is, mert a szakértő az elmaradt haszon számítása azon a feltételezésen alapult, hogy a felperes továbbra is jogosult lett volna a piac további üzemeltetésére. Ez a feltételezett számítás azonban nincs ok-okozati összefüggésben az alperes által elkövetett jogsértéssel. </w:t>
      </w:r>
    </w:p>
    <w:p>
      <w:pPr>
        <w:jc w:val="left"/>
      </w:pPr>
      <w:r>
        <w:rPr>
          <w:vertAlign w:val="baseline"/>
        </w:rPr>
        <w:t xml:space="preserve">[24]     A jogerős ítélet a késedelmi kamat mértékére vonatkozó rendelkezéseket is sérti, mert a kereset szerződésen kívül okozott kár érvényesítésére irányult, a másodfokú bíróság viszont a gazdálkodó szervezetek közötti szerződések esetére előírt mértéket alkalmazta. </w:t>
      </w:r>
    </w:p>
    <w:p>
      <w:pPr>
        <w:jc w:val="left"/>
      </w:pPr>
      <w:r>
        <w:rPr>
          <w:vertAlign w:val="baseline"/>
        </w:rPr>
        <w:t xml:space="preserve">[25]     A másodfokú bíróság eljárási szabálysértéssel minősítette köztudomásúnak azt a perben kifejezetten vitatott és a szakvélemény által sem alátámasztott felperesi állítást, hogy „elorozás” történt, és ezzel együtt járt a felperes ötletén alapuló kapcsolatrendszernek és a tevékenysége eredményének felhasználása. A másodfokú bíróság által figyelembe vett tanulmány ítéleti bizonyossággal nem támasztja alá az „M... p...” újszerűségét. Ezen túlmenően, a másodfokú bíróság nem közölt hivatalból figyelembe vett tényt, így nem adott lehetőséget az ellenbizonyításra. </w:t>
      </w:r>
    </w:p>
    <w:p>
      <w:pPr>
        <w:jc w:val="left"/>
      </w:pPr>
      <w:r>
        <w:rPr>
          <w:vertAlign w:val="baseline"/>
        </w:rPr>
        <w:t xml:space="preserve">[26]     A jogerős ítélet amiatt sérti a </w:t>
      </w:r>
      <w:r>
        <w:rPr>
          <w:vertAlign w:val="baseline"/>
        </w:rPr>
        <w:t xml:space="preserve">Pp.</w:t>
      </w:r>
      <w:r>
        <w:rPr>
          <w:vertAlign w:val="baseline"/>
        </w:rPr>
        <w:t xml:space="preserve"> 369. § és 370. §-ait, mert a felperes a keresetét a védett ismeret, a know-how jogellenes felhasználásával kapcsolatosan felmerült kára megtérítése iránt terjesztette elő, így ettől eltérő anyagi jogi alapon, a know-how szintjét el nem érő ismeret megsértéséből eredő kárra nem hivatkozhatott a fellebbezési eljárásban, és a másodfokú bíróság nem állapíthatott volna meg kártérítést a keresettől eltérő jogalapon. A perben nem merült fel adat arra vonatkozóan, hogy mi az a konkrét kapcsolatrendszer vagy ismeret, amely felhasználásra került a </w:t>
      </w:r>
      <w:r>
        <w:rPr>
          <w:vertAlign w:val="baseline"/>
        </w:rPr>
        <w:t xml:space="preserve">II.</w:t>
      </w:r>
      <w:r>
        <w:rPr>
          <w:vertAlign w:val="baseline"/>
        </w:rPr>
        <w:t xml:space="preserve"> rendű alperes részéről, és a felhasználás milyen kárt okozott a felperesnek. Nem vitás, hogy a védett ismeretet továbbra is korlátozás nélkül használhatta a felperes, bármely más közterületen kamatoztathatta a tudását, ezért ebből kár nem érhette. A másodfokú bíróság a know-how szintjét el nem érő szellemi tulajdon jogellenes felhasználásával okozott kárt a know-how értékével azonosította. </w:t>
      </w:r>
    </w:p>
    <w:p>
      <w:pPr>
        <w:jc w:val="left"/>
      </w:pPr>
      <w:r>
        <w:rPr>
          <w:vertAlign w:val="baseline"/>
        </w:rPr>
        <w:t xml:space="preserve">[27]     A </w:t>
      </w:r>
      <w:r>
        <w:rPr>
          <w:vertAlign w:val="baseline"/>
        </w:rPr>
        <w:t xml:space="preserve">II.</w:t>
      </w:r>
      <w:r>
        <w:rPr>
          <w:vertAlign w:val="baseline"/>
        </w:rPr>
        <w:t xml:space="preserve"> rendű alperes hangsúlyozta, a versenyjogi jogsértés megállapítása nem jelenti minden további nélkül azt, hogy a felperest abból kár is érte. A piacszervezés mint tevékenység nem olyan egyedi, a felpereshez kötött gazdasági tevékenység, amely más általi elvégzése az üzleti tisztesség követelményébe ütközne. </w:t>
      </w:r>
    </w:p>
    <w:p>
      <w:pPr>
        <w:jc w:val="left"/>
      </w:pPr>
      <w:r>
        <w:rPr>
          <w:vertAlign w:val="baseline"/>
        </w:rPr>
        <w:t xml:space="preserve">[28]     A felperes felülvizsgálati ellenkérelmében a jogerős ítélet hatályában fenntartását kérte. A jogerős ítélet helytálló indokaira hivatkozott és hangsúlyozta, az a tény, hogy valamely vagyon, vagyoni értékű jog, adat, ismeret a könyvekben nincs feltüntetve, még nem jelenti azt, hogy az nem létezik. Ennélfogva nem jelentheti az </w:t>
      </w:r>
      <w:r>
        <w:rPr>
          <w:vertAlign w:val="baseline"/>
        </w:rPr>
        <w:t xml:space="preserve">Sztv.</w:t>
      </w:r>
      <w:r>
        <w:rPr>
          <w:vertAlign w:val="baseline"/>
        </w:rPr>
        <w:t xml:space="preserve"> megsértését az, ha adott esetben a számviteli könyvekben fel nem tüntetett tétel kapcsán állapít meg a bíróság kártérítést. A </w:t>
      </w:r>
      <w:r>
        <w:rPr>
          <w:vertAlign w:val="baseline"/>
        </w:rPr>
        <w:t xml:space="preserve">Pp.</w:t>
      </w:r>
      <w:r>
        <w:rPr>
          <w:vertAlign w:val="baseline"/>
        </w:rPr>
        <w:t xml:space="preserve"> 279. § (3) bekezdése biztosítja a bíróság részére, hogy a per összes körülményének mérlegelésével, belátása szerinti határozza meg a kártérítés összegét. Hangsúlyozta, a felülvizsgálati eljárásban nincs helye a bizonyítékok felülmérlegelésének. </w:t>
      </w:r>
    </w:p>
    <w:p>
      <w:pPr>
        <w:jc w:val="left"/>
      </w:pPr>
      <w:r>
        <w:rPr>
          <w:vertAlign w:val="baseline"/>
        </w:rPr>
        <w:t xml:space="preserve"> </w:t>
      </w:r>
    </w:p>
    <w:p>
      <w:pPr>
        <w:jc w:val="left"/>
      </w:pPr>
      <w:r>
        <w:rPr>
          <w:vertAlign w:val="baseline"/>
        </w:rPr>
        <w:t xml:space="preserve">     A </w:t>
      </w:r>
      <w:r>
        <w:rPr>
          <w:vertAlign w:val="baseline"/>
        </w:rPr>
        <w:t xml:space="preserve">Kúria</w:t>
      </w:r>
      <w:r>
        <w:rPr>
          <w:vertAlign w:val="baseline"/>
        </w:rPr>
        <w:t xml:space="preserve"> döntése és jogi indokai </w:t>
      </w:r>
    </w:p>
    <w:p>
      <w:pPr>
        <w:jc w:val="left"/>
      </w:pPr>
      <w:r>
        <w:rPr>
          <w:vertAlign w:val="baseline"/>
        </w:rPr>
        <w:t xml:space="preserve"> </w:t>
      </w:r>
    </w:p>
    <w:p>
      <w:pPr>
        <w:jc w:val="left"/>
      </w:pPr>
      <w:r>
        <w:rPr>
          <w:vertAlign w:val="baseline"/>
        </w:rPr>
        <w:t xml:space="preserve">[29]     A </w:t>
      </w:r>
      <w:r>
        <w:rPr>
          <w:vertAlign w:val="baseline"/>
        </w:rPr>
        <w:t xml:space="preserve">Kúria</w:t>
      </w:r>
      <w:r>
        <w:rPr>
          <w:vertAlign w:val="baseline"/>
        </w:rPr>
        <w:t xml:space="preserve"> a jogerős ítéletet a </w:t>
      </w:r>
      <w:r>
        <w:rPr>
          <w:vertAlign w:val="baseline"/>
        </w:rPr>
        <w:t xml:space="preserve">Pp.</w:t>
      </w:r>
      <w:r>
        <w:rPr>
          <w:vertAlign w:val="baseline"/>
        </w:rPr>
        <w:t xml:space="preserve"> 423. § (1) bekezdése alapján a felülvizsgálati kérelem keretei között vizsgálta, és azt az abban megjelölt okokból az alábbiak szerint jogszabálysértőnek találta. </w:t>
      </w:r>
    </w:p>
    <w:p>
      <w:pPr>
        <w:jc w:val="left"/>
      </w:pPr>
      <w:r>
        <w:rPr>
          <w:vertAlign w:val="baseline"/>
        </w:rPr>
        <w:t xml:space="preserve">[30]     A </w:t>
      </w:r>
      <w:r>
        <w:rPr>
          <w:vertAlign w:val="baseline"/>
        </w:rPr>
        <w:t xml:space="preserve">II.</w:t>
      </w:r>
      <w:r>
        <w:rPr>
          <w:vertAlign w:val="baseline"/>
        </w:rPr>
        <w:t xml:space="preserve"> rendű alperes a felülvizsgálati kérelmében egyaránt hivatkozott eljárási és anyagi jogi jogszabálysértésekre. A </w:t>
      </w:r>
      <w:r>
        <w:rPr>
          <w:vertAlign w:val="baseline"/>
        </w:rPr>
        <w:t xml:space="preserve">Kúria</w:t>
      </w:r>
      <w:r>
        <w:rPr>
          <w:vertAlign w:val="baseline"/>
        </w:rPr>
        <w:t xml:space="preserve"> először az állított eljárási jogszabálysértéseket vizsgálta, és e körben a felülvizsgálati kérelmet érdemben nem találta megalapozottnak. </w:t>
      </w:r>
    </w:p>
    <w:p>
      <w:pPr>
        <w:jc w:val="left"/>
      </w:pPr>
      <w:r>
        <w:rPr>
          <w:vertAlign w:val="baseline"/>
        </w:rPr>
        <w:t xml:space="preserve">[31]     A másodfokú bíróság a felperes fellebbezése alapján az elsőfokú ítélet anyagi jogi felülbírálatát végezte el, amelynek során jogszerűen vonhatott le az elsőfokú bíróságtól eltérő jogi következtetést, a jogerős ítélet ezért nem sérti a </w:t>
      </w:r>
      <w:r>
        <w:rPr>
          <w:vertAlign w:val="baseline"/>
        </w:rPr>
        <w:t xml:space="preserve">Pp.</w:t>
      </w:r>
      <w:r>
        <w:rPr>
          <w:vertAlign w:val="baseline"/>
        </w:rPr>
        <w:t xml:space="preserve"> 369. § (3) bekezdés c) pontját. Az, hogy a </w:t>
      </w:r>
      <w:r>
        <w:rPr>
          <w:vertAlign w:val="baseline"/>
        </w:rPr>
        <w:t xml:space="preserve">II.</w:t>
      </w:r>
      <w:r>
        <w:rPr>
          <w:vertAlign w:val="baseline"/>
        </w:rPr>
        <w:t xml:space="preserve"> rendű alperes nem ért egyet a másodfokú bíróság eltérő jogi álláspontjával, nem valósít meg eljárási szabálysértést. A felülvizsgálati kérelemben írtakkal szemben a másodfokú bíróság nem terjeszkedett túl a felülbírálati jogkörének korlátain. Bár a felperes a fellebbezésében valóban hivatkozott a régi </w:t>
      </w:r>
      <w:r>
        <w:rPr>
          <w:vertAlign w:val="baseline"/>
        </w:rPr>
        <w:t xml:space="preserve">Ptk.</w:t>
      </w:r>
      <w:r>
        <w:rPr>
          <w:vertAlign w:val="baseline"/>
        </w:rPr>
        <w:t xml:space="preserve"> 86. § (4) bekezdésére, azt a másodfokú bíróság a fellebbezésben meg nem engedett új hivatkozásnak tekintette, és a felperes szellemi tulajdon szintjét el nem érő, a jogerős részítéletben megállapított engedély nélkül elsajátított ismereteinek (kapcsolatrendszerének és tevékenysége eredményeinek) a megállapított jogsértéssel összefüggésben keletkezett kárát vizsgálta. A döntését nem helyezte a keresettől (fellebbezéstől) eltérő jogi alapra, az előterjesztett keresetnek megfelelően a régi </w:t>
      </w:r>
      <w:r>
        <w:rPr>
          <w:vertAlign w:val="baseline"/>
        </w:rPr>
        <w:t xml:space="preserve">Ptk.</w:t>
      </w:r>
      <w:r>
        <w:rPr>
          <w:vertAlign w:val="baseline"/>
        </w:rPr>
        <w:t xml:space="preserve"> 339. § (1) bekezdése alapján kötelezte a </w:t>
      </w:r>
      <w:r>
        <w:rPr>
          <w:vertAlign w:val="baseline"/>
        </w:rPr>
        <w:t xml:space="preserve">II.</w:t>
      </w:r>
      <w:r>
        <w:rPr>
          <w:vertAlign w:val="baseline"/>
        </w:rPr>
        <w:t xml:space="preserve"> rendű alperest kártérítés megfizetésére. </w:t>
      </w:r>
    </w:p>
    <w:p>
      <w:pPr>
        <w:jc w:val="left"/>
      </w:pPr>
      <w:r>
        <w:rPr>
          <w:vertAlign w:val="baseline"/>
        </w:rPr>
        <w:t xml:space="preserve">[32]     </w:t>
      </w:r>
      <w:r>
        <w:rPr>
          <w:vertAlign w:val="baseline"/>
        </w:rPr>
        <w:t xml:space="preserve">Arra</w:t>
      </w:r>
      <w:r>
        <w:rPr>
          <w:vertAlign w:val="baseline"/>
        </w:rPr>
        <w:t xml:space="preserve"> helytállóan hivatkozott a </w:t>
      </w:r>
      <w:r>
        <w:rPr>
          <w:vertAlign w:val="baseline"/>
        </w:rPr>
        <w:t xml:space="preserve">II.</w:t>
      </w:r>
      <w:r>
        <w:rPr>
          <w:vertAlign w:val="baseline"/>
        </w:rPr>
        <w:t xml:space="preserve"> rendű alperes a felülvizsgálati kérelmében, hogy a </w:t>
      </w:r>
      <w:r>
        <w:rPr>
          <w:vertAlign w:val="baseline"/>
        </w:rPr>
        <w:t xml:space="preserve">Pp.</w:t>
      </w:r>
      <w:r>
        <w:rPr>
          <w:vertAlign w:val="baseline"/>
        </w:rPr>
        <w:t xml:space="preserve"> 266. § (4) bekezdése alapján a bíróságot tájékoztatási kötelezettség terheli az általa köztudomásúnak tekintett, hivatalból figyelembe vett tények tekintetében, ennek elmulasztásával a bíróság eljárási szabálysértést követ el. A </w:t>
      </w:r>
      <w:r>
        <w:rPr>
          <w:vertAlign w:val="baseline"/>
        </w:rPr>
        <w:t xml:space="preserve">Kúria</w:t>
      </w:r>
      <w:r>
        <w:rPr>
          <w:vertAlign w:val="baseline"/>
        </w:rPr>
        <w:t xml:space="preserve"> ugyanakkor rámutat arra, hogy szemben a felülvizsgálati kérelemben írtakkal, a másodfokú bíróság nem azt minősítette köztudomású ténynek, hogy „elorozás történt és ez együtt járt a felperes ötletén alapuló kapcsolatrendszernek és a tevékenysége eredményeinek felhasználásával”, hanem az ún. M... p... ismertségét, azt, hogy azok a felperesi törvényes képviselő ötletén alapuló sikeres szervezési rendszer eredményeként jöttek létre. A másodfokú bíróság által elkövetett eljárási szabálysértésnek azonban – a később kifejtettek szerint – nincs az ügy érdemi elbírálására lényeges kihatása.   </w:t>
      </w:r>
    </w:p>
    <w:p>
      <w:pPr>
        <w:jc w:val="left"/>
      </w:pPr>
      <w:r>
        <w:rPr>
          <w:vertAlign w:val="baseline"/>
        </w:rPr>
        <w:t xml:space="preserve">[33]     A felülvizsgálati kérelemben megjelölt anyagi jogi jogszabálysértések kapcsán a </w:t>
      </w:r>
      <w:r>
        <w:rPr>
          <w:vertAlign w:val="baseline"/>
        </w:rPr>
        <w:t xml:space="preserve">Kúria</w:t>
      </w:r>
      <w:r>
        <w:rPr>
          <w:vertAlign w:val="baseline"/>
        </w:rPr>
        <w:t xml:space="preserve"> elsőként rögzíti, hogy a </w:t>
      </w:r>
      <w:r>
        <w:rPr>
          <w:vertAlign w:val="baseline"/>
        </w:rPr>
        <w:t xml:space="preserve">Kúria</w:t>
      </w:r>
      <w:r>
        <w:rPr>
          <w:vertAlign w:val="baseline"/>
        </w:rPr>
        <w:t xml:space="preserve"> jelen ügyben korábban hozott részítéletével hatályában fenntartott jogerős részítélet megállapította a </w:t>
      </w:r>
      <w:r>
        <w:rPr>
          <w:vertAlign w:val="baseline"/>
        </w:rPr>
        <w:t xml:space="preserve">II.</w:t>
      </w:r>
      <w:r>
        <w:rPr>
          <w:vertAlign w:val="baseline"/>
        </w:rPr>
        <w:t xml:space="preserve"> rendű alperes üzleti tisztesség követelményébe ütköző magatartását a </w:t>
      </w:r>
      <w:r>
        <w:rPr>
          <w:vertAlign w:val="baseline"/>
        </w:rPr>
        <w:t xml:space="preserve">Tpvt.</w:t>
      </w:r>
      <w:r>
        <w:rPr>
          <w:vertAlign w:val="baseline"/>
        </w:rPr>
        <w:t xml:space="preserve"> 86. § (2) bekezdés a) pontja alapján. A versenyjogi jogsértés megállapítása azonban – ahogyan azt a jogerős részítélet is helytállóan tartalmazza – nem jelenti minden további nélkül azt, hogy a felperest azzal okozati összefüggésben kár is érte. Hasonlóan foglalt állást a </w:t>
      </w:r>
      <w:r>
        <w:rPr>
          <w:vertAlign w:val="baseline"/>
        </w:rPr>
        <w:t xml:space="preserve">Legfelsőbb Bíróság</w:t>
      </w:r>
      <w:r>
        <w:rPr>
          <w:vertAlign w:val="baseline"/>
        </w:rPr>
        <w:t xml:space="preserve"> a </w:t>
      </w:r>
      <w:r>
        <w:rPr>
          <w:vertAlign w:val="baseline"/>
        </w:rPr>
        <w:t xml:space="preserve">Pf.25.804/1999</w:t>
      </w:r>
      <w:r>
        <w:rPr>
          <w:vertAlign w:val="baseline"/>
        </w:rPr>
        <w:t xml:space="preserve">. számú ügyben hozott határozatában, amikor rámutatott arra, a versenyjogi jogsértés esetén a </w:t>
      </w:r>
      <w:r>
        <w:rPr>
          <w:vertAlign w:val="baseline"/>
        </w:rPr>
        <w:t xml:space="preserve">Tpvt.</w:t>
      </w:r>
      <w:r>
        <w:rPr>
          <w:vertAlign w:val="baseline"/>
        </w:rPr>
        <w:t xml:space="preserve"> alapján önállóan igényelhető megállapítás, illetve egyéb jogkövetkezményként kártérítés iránti igény előterjesztése esetén a jogsértés megállapítása önmagában nem minősül a kárfelelősség alapját képező jogalap megállapításának. A jogsértés elkövetése a régi </w:t>
      </w:r>
      <w:r>
        <w:rPr>
          <w:vertAlign w:val="baseline"/>
        </w:rPr>
        <w:t xml:space="preserve">Ptk.</w:t>
      </w:r>
      <w:r>
        <w:rPr>
          <w:vertAlign w:val="baseline"/>
        </w:rPr>
        <w:t xml:space="preserve"> 339. §-ának (1) bekezdése alapján csak a kártérítő felelősség egyik eleme, amely önmagában kártérítő felelősséget még nem alapoz meg (</w:t>
      </w:r>
      <w:r>
        <w:rPr>
          <w:vertAlign w:val="baseline"/>
        </w:rPr>
        <w:t xml:space="preserve">BH2001</w:t>
      </w:r>
      <w:r>
        <w:rPr>
          <w:vertAlign w:val="baseline"/>
        </w:rPr>
        <w:t xml:space="preserve">. 73). </w:t>
      </w:r>
    </w:p>
    <w:p>
      <w:pPr>
        <w:jc w:val="left"/>
      </w:pPr>
      <w:r>
        <w:rPr>
          <w:vertAlign w:val="baseline"/>
        </w:rPr>
        <w:t xml:space="preserve">[34]     A felülvizsgálati eljárás tárgyát a felperes két kárelemből álló kártérítési igényének a megítélése képezte, amelyet a felperes a </w:t>
      </w:r>
      <w:r>
        <w:rPr>
          <w:vertAlign w:val="baseline"/>
        </w:rPr>
        <w:t xml:space="preserve">Tpvt.</w:t>
      </w:r>
      <w:r>
        <w:rPr>
          <w:vertAlign w:val="baseline"/>
        </w:rPr>
        <w:t xml:space="preserve"> 86. § (2) bekezdés e) pontja szerint alkalmazandó régi </w:t>
      </w:r>
      <w:r>
        <w:rPr>
          <w:vertAlign w:val="baseline"/>
        </w:rPr>
        <w:t xml:space="preserve">Ptk.</w:t>
      </w:r>
      <w:r>
        <w:rPr>
          <w:vertAlign w:val="baseline"/>
        </w:rPr>
        <w:t xml:space="preserve"> 339. § (1) bekezdése alapján érvényesített. Egyrészt a </w:t>
      </w:r>
      <w:r>
        <w:rPr>
          <w:vertAlign w:val="baseline"/>
        </w:rPr>
        <w:t xml:space="preserve">II.</w:t>
      </w:r>
      <w:r>
        <w:rPr>
          <w:vertAlign w:val="baseline"/>
        </w:rPr>
        <w:t xml:space="preserve"> rendű alperes jogellenes magatartása következtében az abból adódó elmaradt hasznát igényelte, hogy elesett attól, hogy a 2013. január 1-i időszakot megelőző időszakhoz hasonlóan „adományok” útján bevételt szerezzen, másrészt kárpótlásként a kapcsolatrendszerének és tevékenysége eredményének mint értékkel bíró szellemi terméknek, védett ismeretnek (know-how) az értékét kérte megtéríteni. </w:t>
      </w:r>
    </w:p>
    <w:p>
      <w:pPr>
        <w:jc w:val="left"/>
      </w:pPr>
      <w:r>
        <w:rPr>
          <w:vertAlign w:val="baseline"/>
        </w:rPr>
        <w:t xml:space="preserve">[35]     A másodfokú bíróság vizsgálta a felperesi kárigény és a </w:t>
      </w:r>
      <w:r>
        <w:rPr>
          <w:vertAlign w:val="baseline"/>
        </w:rPr>
        <w:t xml:space="preserve">II.</w:t>
      </w:r>
      <w:r>
        <w:rPr>
          <w:vertAlign w:val="baseline"/>
        </w:rPr>
        <w:t xml:space="preserve"> rendű alperes jogellenes magatartása közötti okozati összefüggést, és azt megállapíthatónak ítélte, azonban a </w:t>
      </w:r>
      <w:r>
        <w:rPr>
          <w:vertAlign w:val="baseline"/>
        </w:rPr>
        <w:t xml:space="preserve">Kúria</w:t>
      </w:r>
      <w:r>
        <w:rPr>
          <w:vertAlign w:val="baseline"/>
        </w:rPr>
        <w:t xml:space="preserve"> egyetértett a felülvizsgálati kérelemben írtakkal, miszerint tévesen jutott arra a másodfokú bíróság, hogy az elmaradt haszon tekintetében nem mérlegelendő körülmény az, hogy a </w:t>
      </w:r>
      <w:r>
        <w:rPr>
          <w:vertAlign w:val="baseline"/>
        </w:rPr>
        <w:t xml:space="preserve">II.</w:t>
      </w:r>
      <w:r>
        <w:rPr>
          <w:vertAlign w:val="baseline"/>
        </w:rPr>
        <w:t xml:space="preserve"> rendű alperes jogszerű közterület használati engedély alapján üzemeltette a piacot. Valójában nem is annak van döntő jelentősége, hogy a </w:t>
      </w:r>
      <w:r>
        <w:rPr>
          <w:vertAlign w:val="baseline"/>
        </w:rPr>
        <w:t xml:space="preserve">II.</w:t>
      </w:r>
      <w:r>
        <w:rPr>
          <w:vertAlign w:val="baseline"/>
        </w:rPr>
        <w:t xml:space="preserve"> rendű alperes azt jogszerűen üzemeltethette, hanem annak, hogy a felperesnek – szintén jogszerűen – már nem volt közterület használati engedélye a piac területére. A felperesnek ugyanis nem azért nem keletkezett 2013. január 1. és 2017. december 31. között a korábbi években elért nyeresége a piac üzemeltetéséből adódóan, mert azt a </w:t>
      </w:r>
      <w:r>
        <w:rPr>
          <w:vertAlign w:val="baseline"/>
        </w:rPr>
        <w:t xml:space="preserve">II.</w:t>
      </w:r>
      <w:r>
        <w:rPr>
          <w:vertAlign w:val="baseline"/>
        </w:rPr>
        <w:t xml:space="preserve"> rendű alperes üzemeltette, hanem azért, mert a felperes közterület használati jog hiányában nem rendezhetett ott a továbbiakban heti vásárt. Így abban az esetben sem realizálthatott volna a perbeli időszakban a korábbi évekhez hasonló nyereséget, ha senki nem kap arra engedélyt. Az elmaradt haszon tekintetében ezért nincs jelentősége a megállapított, a </w:t>
      </w:r>
      <w:r>
        <w:rPr>
          <w:vertAlign w:val="baseline"/>
        </w:rPr>
        <w:t xml:space="preserve">Tpvt.</w:t>
      </w:r>
      <w:r>
        <w:rPr>
          <w:vertAlign w:val="baseline"/>
        </w:rPr>
        <w:t xml:space="preserve"> 2. §-a által tilalmazott alperesi magatartásnak, azaz nincs jelentősége annak, hogy a </w:t>
      </w:r>
      <w:r>
        <w:rPr>
          <w:vertAlign w:val="baseline"/>
        </w:rPr>
        <w:t xml:space="preserve">II.</w:t>
      </w:r>
      <w:r>
        <w:rPr>
          <w:vertAlign w:val="baseline"/>
        </w:rPr>
        <w:t xml:space="preserve"> rendű alperes a piacot az üzleti tisztességet sértő módon üzemeltette-e vagy sem. </w:t>
      </w:r>
    </w:p>
    <w:p>
      <w:pPr>
        <w:jc w:val="left"/>
      </w:pPr>
      <w:r>
        <w:rPr>
          <w:vertAlign w:val="baseline"/>
        </w:rPr>
        <w:t xml:space="preserve">[36]     A </w:t>
      </w:r>
      <w:r>
        <w:rPr>
          <w:vertAlign w:val="baseline"/>
        </w:rPr>
        <w:t xml:space="preserve">Kúria</w:t>
      </w:r>
      <w:r>
        <w:rPr>
          <w:vertAlign w:val="baseline"/>
        </w:rPr>
        <w:t xml:space="preserve"> hangsúlyozza, az igazságügyi könyvszakértő által e körben megválaszolandó kérdés az volt, hogy határozza meg a korábbi évek tekintetében realizált és a várható felperesi bevételeket. A szakértő – az eljárt bíróságok egyező és helytálló megállapítása szerint, valamint a felülvizsgálati kérelemben sem vitatottan – aggálytalan szakvéleményében az elmaradt haszonból származó kárt – a levezett számítása alapján – egyértelműen és határozottan </w:t>
      </w:r>
      <w:r>
        <w:rPr>
          <w:vertAlign w:val="baseline"/>
        </w:rPr>
        <w:t xml:space="preserve">1.884.432</w:t>
      </w:r>
      <w:r>
        <w:rPr>
          <w:vertAlign w:val="baseline"/>
        </w:rPr>
        <w:t xml:space="preserve"> forintban állapította meg. A szakértő a személyes meghallgatása során egyértelműsítette, hogy ezt az összeget a rendelkezésére bocsátott dokumentumok és adatok alapján számszerűsítette, azt feltételezve, hogy a felperes a perbeli időszakban is jogosult lett volna a közterület használatára. Hangsúlyozta emellett, hogy a megállapításai szakértői módszeren alapulnak, az viszont a bíróság kompetenciájába tartozó kérdés (jogkérdés), hogy arról hogyan dönt. A </w:t>
      </w:r>
      <w:r>
        <w:rPr>
          <w:vertAlign w:val="baseline"/>
        </w:rPr>
        <w:t xml:space="preserve">Kúria</w:t>
      </w:r>
      <w:r>
        <w:rPr>
          <w:vertAlign w:val="baseline"/>
        </w:rPr>
        <w:t xml:space="preserve"> megítélése szerint e kárelem tekintetében az okozati összefüggés hiányában a felperes keresete nem megalapozott. </w:t>
      </w:r>
    </w:p>
    <w:p>
      <w:pPr>
        <w:jc w:val="left"/>
      </w:pPr>
      <w:r>
        <w:rPr>
          <w:vertAlign w:val="baseline"/>
        </w:rPr>
        <w:t xml:space="preserve">[37]     A felperes a továbbiakban a jogerős részítéletben megállapított jogsértéssel összefüggésben (a </w:t>
      </w:r>
      <w:r>
        <w:rPr>
          <w:vertAlign w:val="baseline"/>
        </w:rPr>
        <w:t xml:space="preserve">II.</w:t>
      </w:r>
      <w:r>
        <w:rPr>
          <w:vertAlign w:val="baseline"/>
        </w:rPr>
        <w:t xml:space="preserve"> rendű alperes 2013. január 1-jétől 2017. december 31-ig úgy üzemeltette az addig a felperes által üzemeltetett heti vásárt, hogy ehhez engedély nélkül felhasználta a felperes kapcsolatrendszerét és tevékenységének eredményeit) a </w:t>
      </w:r>
      <w:r>
        <w:rPr>
          <w:vertAlign w:val="baseline"/>
        </w:rPr>
        <w:t xml:space="preserve">II.</w:t>
      </w:r>
      <w:r>
        <w:rPr>
          <w:vertAlign w:val="baseline"/>
        </w:rPr>
        <w:t xml:space="preserve"> rendű alperes által a felperes szellemi termékének „eltulajdonításával” okozott kár megtérítését kérte. Helyesen mutatott rá a másodfokú bíróság az ítéletében a know-how értékének elvesztése körében arra, hogy a jogerős részítéletben a </w:t>
      </w:r>
      <w:r>
        <w:rPr>
          <w:vertAlign w:val="baseline"/>
        </w:rPr>
        <w:t xml:space="preserve">Tpvt.</w:t>
      </w:r>
      <w:r>
        <w:rPr>
          <w:vertAlign w:val="baseline"/>
        </w:rPr>
        <w:t xml:space="preserve"> 2. §-án alapuló, az üzleti tisztességet sértő magatartás alperesi tanúsítását állapította meg, amelynek körében nem képezte vizsgálat tárgyát a felperesi know-how létezése, fennállása, annak tartalma. Mindebből következően a perben kizárólag a know-how mint szellemi tulajdon megsértésének szintjét el nem érő tisztességtelen piaci magatartással okozati összefüggésben keletkezett kár volt vizsgálható. </w:t>
      </w:r>
    </w:p>
    <w:p>
      <w:pPr>
        <w:jc w:val="left"/>
      </w:pPr>
      <w:r>
        <w:rPr>
          <w:vertAlign w:val="baseline"/>
        </w:rPr>
        <w:t xml:space="preserve">[38]     A felterjesztett iratok alapján rögzíthető, hogy az elsőfokú eljárásban a szakértői bizonyítás e körben arra folyt a szakértőnek feltett kérdés alapján, hogy mekkora összegben határozható meg a piac létrehozásához és üzemeltetéséhez szükséges védett ismeret (know-how), illetve felperesi szervező tevékenység, tapasztalat és kapcsolatrendszer </w:t>
      </w:r>
      <w:r>
        <w:rPr>
          <w:vertAlign w:val="baseline"/>
        </w:rPr>
        <w:t xml:space="preserve">II.</w:t>
      </w:r>
      <w:r>
        <w:rPr>
          <w:vertAlign w:val="baseline"/>
        </w:rPr>
        <w:t xml:space="preserve"> rendű alperesi felhasználása folytán a felperest ért kár.  </w:t>
      </w:r>
    </w:p>
    <w:p>
      <w:pPr>
        <w:jc w:val="left"/>
      </w:pPr>
      <w:r>
        <w:rPr>
          <w:vertAlign w:val="baseline"/>
        </w:rPr>
        <w:t xml:space="preserve">[39]     A </w:t>
      </w:r>
      <w:r>
        <w:rPr>
          <w:vertAlign w:val="baseline"/>
        </w:rPr>
        <w:t xml:space="preserve">Kúria</w:t>
      </w:r>
      <w:r>
        <w:rPr>
          <w:vertAlign w:val="baseline"/>
        </w:rPr>
        <w:t xml:space="preserve"> hangsúlyozza, a </w:t>
      </w:r>
      <w:r>
        <w:rPr>
          <w:vertAlign w:val="baseline"/>
        </w:rPr>
        <w:t xml:space="preserve">II.</w:t>
      </w:r>
      <w:r>
        <w:rPr>
          <w:vertAlign w:val="baseline"/>
        </w:rPr>
        <w:t xml:space="preserve"> rendű alperes nem kifogásolta a felülvizsgálati kérelemben az eljárt bíróságok azon egyező megállapítását, hogy a perben beszerzett igazságügyi szakértői vélemény aggálytalan, erre tekintettel a </w:t>
      </w:r>
      <w:r>
        <w:rPr>
          <w:vertAlign w:val="baseline"/>
        </w:rPr>
        <w:t xml:space="preserve">Kúriának</w:t>
      </w:r>
      <w:r>
        <w:rPr>
          <w:vertAlign w:val="baseline"/>
        </w:rPr>
        <w:t xml:space="preserve"> is ebből kellett kiindulnia a döntése meghozatala során.   </w:t>
      </w:r>
    </w:p>
    <w:p>
      <w:pPr>
        <w:jc w:val="left"/>
      </w:pPr>
      <w:r>
        <w:rPr>
          <w:vertAlign w:val="baseline"/>
        </w:rPr>
        <w:t xml:space="preserve">[40]     A szakértő – a szóbeli meghallgatása során is fenntartott szakvéleményében – egyértelmű különbséget tett a piac létrehozásához és üzemeltetéséhez szükséges védett ismeret (know-how) értéke és a felperesi szervező tevékenység, tapasztalat és kapcsolatrendszer kárértéke között. Az előbbit – a felperes alapításkori vagyonából kiindulva – </w:t>
      </w:r>
      <w:r>
        <w:rPr>
          <w:vertAlign w:val="baseline"/>
        </w:rPr>
        <w:t xml:space="preserve">4.087.008</w:t>
      </w:r>
      <w:r>
        <w:rPr>
          <w:vertAlign w:val="baseline"/>
        </w:rPr>
        <w:t xml:space="preserve"> forintban, az utóbbit 0 (nulla) forintban határozta meg. Szakmai véleménye szerint a felperesi szervező tevékenység és kapcsolatrendszer a </w:t>
      </w:r>
      <w:r>
        <w:rPr>
          <w:vertAlign w:val="baseline"/>
        </w:rPr>
        <w:t xml:space="preserve">2009-2012.</w:t>
      </w:r>
      <w:r>
        <w:rPr>
          <w:vertAlign w:val="baseline"/>
        </w:rPr>
        <w:t xml:space="preserve"> üzleti években realizált árbevétel részét képezte, ennek megfelelően külön kárérték megállapítását nem tartotta indokoltnak (33. sorszám alatti szakvélemény 13. oldal). </w:t>
      </w:r>
    </w:p>
    <w:p>
      <w:pPr>
        <w:jc w:val="left"/>
      </w:pPr>
      <w:r>
        <w:rPr>
          <w:vertAlign w:val="baseline"/>
        </w:rPr>
        <w:t xml:space="preserve">[41]     </w:t>
      </w:r>
      <w:r>
        <w:rPr>
          <w:vertAlign w:val="baseline"/>
        </w:rPr>
        <w:t xml:space="preserve">Alappal</w:t>
      </w:r>
      <w:r>
        <w:rPr>
          <w:vertAlign w:val="baseline"/>
        </w:rPr>
        <w:t xml:space="preserve"> hivatkozott ezért a </w:t>
      </w:r>
      <w:r>
        <w:rPr>
          <w:vertAlign w:val="baseline"/>
        </w:rPr>
        <w:t xml:space="preserve">II.</w:t>
      </w:r>
      <w:r>
        <w:rPr>
          <w:vertAlign w:val="baseline"/>
        </w:rPr>
        <w:t xml:space="preserve"> rendű alperes a felülvizsgálati kérelmében arra, hogy a másodfokú bíróság tévesen azonosította a szakértő véleményében a know-how értékeként megállapított összeget a jogerős részítéletben megállapított jogsértő magatartással okozott kárral, mivel a szakvélemény alapján a </w:t>
      </w:r>
      <w:r>
        <w:rPr>
          <w:vertAlign w:val="baseline"/>
        </w:rPr>
        <w:t xml:space="preserve">II.</w:t>
      </w:r>
      <w:r>
        <w:rPr>
          <w:vertAlign w:val="baseline"/>
        </w:rPr>
        <w:t xml:space="preserve"> rendű alperes által a piac üzemeltetése során engedély nélkül felhasznált felperesi szervező tevékenység (eredménye), a felperes tapasztalata és kapcsolatrendszere (a másodfokú bíróság megfogalmazása szerint: a know-how szintjét el nem érő kapcsolatrendszer és piacszervezési ismeretek) értéke szakértői módszerrel nem volt kimutatható. </w:t>
      </w:r>
    </w:p>
    <w:p>
      <w:pPr>
        <w:jc w:val="left"/>
      </w:pPr>
      <w:r>
        <w:rPr>
          <w:vertAlign w:val="baseline"/>
        </w:rPr>
        <w:t xml:space="preserve">[42]     A </w:t>
      </w:r>
      <w:r>
        <w:rPr>
          <w:vertAlign w:val="baseline"/>
        </w:rPr>
        <w:t xml:space="preserve">Kúria</w:t>
      </w:r>
      <w:r>
        <w:rPr>
          <w:vertAlign w:val="baseline"/>
        </w:rPr>
        <w:t xml:space="preserve"> megítélése szerint is a megállapított jogellenes magatartás alapján valójában nem az ún. M... p... létrehozásához, kezdeti megszervezéséhez, kiépítéséhez szükséges, a  felperes alapításának idején meglévő újszerű – és a szakvélemény szerint legkésőbb a 2010. évek elejétől a hasznos időtartamának végéhez közeledő – ismereteknek van jelentősége, hanem a felperes piac átvételének idejében fennálló „kapcsolatrendszerének és tevékenysége eredményeinek”, a felperesi szervező tevékenységnek, tapasztalatnak és a bejáratott piaccal kapcsolatos, a </w:t>
      </w:r>
      <w:r>
        <w:rPr>
          <w:vertAlign w:val="baseline"/>
        </w:rPr>
        <w:t xml:space="preserve">II.</w:t>
      </w:r>
      <w:r>
        <w:rPr>
          <w:vertAlign w:val="baseline"/>
        </w:rPr>
        <w:t xml:space="preserve"> rendű alperes által engedély nélkül elsajátított előnyöknek, amelyeknek az „értékére” viszont a szakvélemény nem szolgál bizonyítékul, illetve ezek tekintetében a szakértő értéket nem tudott megállapítani, azt egyéb bizonyítékok sem támasztják alá. </w:t>
      </w:r>
    </w:p>
    <w:p>
      <w:pPr>
        <w:jc w:val="left"/>
      </w:pPr>
      <w:r>
        <w:rPr>
          <w:vertAlign w:val="baseline"/>
        </w:rPr>
        <w:t xml:space="preserve">[43]     </w:t>
      </w:r>
      <w:r>
        <w:rPr>
          <w:vertAlign w:val="baseline"/>
        </w:rPr>
        <w:t xml:space="preserve">Mindezért</w:t>
      </w:r>
      <w:r>
        <w:rPr>
          <w:vertAlign w:val="baseline"/>
        </w:rPr>
        <w:t xml:space="preserve"> a felperes e tekintetben az őt ért kár felmerültét, illetve mértékét a felperes oldalán fennálló bizonyítási érdek ellenére nem igazolta [régi </w:t>
      </w:r>
      <w:r>
        <w:rPr>
          <w:vertAlign w:val="baseline"/>
        </w:rPr>
        <w:t xml:space="preserve">Ptk.</w:t>
      </w:r>
      <w:r>
        <w:rPr>
          <w:vertAlign w:val="baseline"/>
        </w:rPr>
        <w:t xml:space="preserve"> 339. § (1) bekezdés, </w:t>
      </w:r>
      <w:r>
        <w:rPr>
          <w:vertAlign w:val="baseline"/>
        </w:rPr>
        <w:t xml:space="preserve">Pp.</w:t>
      </w:r>
      <w:r>
        <w:rPr>
          <w:vertAlign w:val="baseline"/>
        </w:rPr>
        <w:t xml:space="preserve"> 265. § (1) bekezdés). </w:t>
      </w:r>
    </w:p>
    <w:p>
      <w:pPr>
        <w:jc w:val="left"/>
      </w:pPr>
      <w:r>
        <w:rPr>
          <w:vertAlign w:val="baseline"/>
        </w:rPr>
        <w:t xml:space="preserve">[44]     A </w:t>
      </w:r>
      <w:r>
        <w:rPr>
          <w:vertAlign w:val="baseline"/>
        </w:rPr>
        <w:t xml:space="preserve">Kúria</w:t>
      </w:r>
      <w:r>
        <w:rPr>
          <w:vertAlign w:val="baseline"/>
        </w:rPr>
        <w:t xml:space="preserve"> ezért a </w:t>
      </w:r>
      <w:r>
        <w:rPr>
          <w:vertAlign w:val="baseline"/>
        </w:rPr>
        <w:t xml:space="preserve">Pp.</w:t>
      </w:r>
      <w:r>
        <w:rPr>
          <w:vertAlign w:val="baseline"/>
        </w:rPr>
        <w:t xml:space="preserve"> 424. § (3) bekezdése alapján a jogerős ítélet felülvizsgálati kérelemmel érintett rendelkezését hatályon kívül helyezte és ebben a részében az érdemben helytálló elsőfokú ítéletet helybenhagyta. </w:t>
      </w:r>
    </w:p>
    <w:p>
      <w:pPr>
        <w:jc w:val="left"/>
      </w:pPr>
      <w:r>
        <w:rPr>
          <w:vertAlign w:val="baseline"/>
        </w:rPr>
        <w:t xml:space="preserve">[45]     Az eredményes felülvizsgálati kérelemre tekintettel a </w:t>
      </w:r>
      <w:r>
        <w:rPr>
          <w:vertAlign w:val="baseline"/>
        </w:rPr>
        <w:t xml:space="preserve">Kúria</w:t>
      </w:r>
      <w:r>
        <w:rPr>
          <w:vertAlign w:val="baseline"/>
        </w:rPr>
        <w:t xml:space="preserve"> a </w:t>
      </w:r>
      <w:r>
        <w:rPr>
          <w:vertAlign w:val="baseline"/>
        </w:rPr>
        <w:t xml:space="preserve">Pp.</w:t>
      </w:r>
      <w:r>
        <w:rPr>
          <w:vertAlign w:val="baseline"/>
        </w:rPr>
        <w:t xml:space="preserve"> 83. § (1) bekezdése alapján kötelezte a felperest a </w:t>
      </w:r>
      <w:r>
        <w:rPr>
          <w:vertAlign w:val="baseline"/>
        </w:rPr>
        <w:t xml:space="preserve">II.</w:t>
      </w:r>
      <w:r>
        <w:rPr>
          <w:vertAlign w:val="baseline"/>
        </w:rPr>
        <w:t xml:space="preserve"> rendű alperes – felszámított – áfát is tartalmazó ügyvédi munkadíjból álló másodfokú perköltségének és szintén az ügyvédi munkadíjból és az általa megfizetett felülvizsgálati eljárási illetékből álló felülvizsgálati eljárási költségének megfizetésére. Annak mértékét a </w:t>
      </w:r>
      <w:r>
        <w:rPr>
          <w:vertAlign w:val="baseline"/>
        </w:rPr>
        <w:t xml:space="preserve">Kúria</w:t>
      </w:r>
      <w:r>
        <w:rPr>
          <w:vertAlign w:val="baseline"/>
        </w:rPr>
        <w:t xml:space="preserve"> a bírósági eljárásban megállapítható ügyvédi költségekről szóló </w:t>
      </w:r>
      <w:r>
        <w:rPr>
          <w:vertAlign w:val="baseline"/>
        </w:rPr>
        <w:t xml:space="preserve">32/2003</w:t>
      </w:r>
      <w:r>
        <w:rPr>
          <w:vertAlign w:val="baseline"/>
        </w:rPr>
        <w:t xml:space="preserve">. (VIII.22.) </w:t>
      </w:r>
      <w:r>
        <w:rPr>
          <w:vertAlign w:val="baseline"/>
        </w:rPr>
        <w:t xml:space="preserve">IM</w:t>
      </w:r>
      <w:r>
        <w:rPr>
          <w:vertAlign w:val="baseline"/>
        </w:rPr>
        <w:t xml:space="preserve"> rendelet 3. § (3) és (5) bekezdése alapján állapította meg. Ennek együttes összege </w:t>
      </w:r>
      <w:r>
        <w:rPr>
          <w:vertAlign w:val="baseline"/>
        </w:rPr>
        <w:t xml:space="preserve">1.338.515</w:t>
      </w:r>
      <w:r>
        <w:rPr>
          <w:vertAlign w:val="baseline"/>
        </w:rPr>
        <w:t xml:space="preserve"> forint, ami a másodfokú eljárásban a </w:t>
      </w:r>
      <w:r>
        <w:rPr>
          <w:vertAlign w:val="baseline"/>
        </w:rPr>
        <w:t xml:space="preserve">22.300.000</w:t>
      </w:r>
      <w:r>
        <w:rPr>
          <w:vertAlign w:val="baseline"/>
        </w:rPr>
        <w:t xml:space="preserve"> forint pertárgyérték után </w:t>
      </w:r>
      <w:r>
        <w:rPr>
          <w:vertAlign w:val="baseline"/>
        </w:rPr>
        <w:t xml:space="preserve">551.815</w:t>
      </w:r>
      <w:r>
        <w:rPr>
          <w:vertAlign w:val="baseline"/>
        </w:rPr>
        <w:t xml:space="preserve"> forint, míg a felülvizsgálati eljárásban </w:t>
      </w:r>
      <w:r>
        <w:rPr>
          <w:vertAlign w:val="baseline"/>
        </w:rPr>
        <w:t xml:space="preserve">5.971.440</w:t>
      </w:r>
      <w:r>
        <w:rPr>
          <w:vertAlign w:val="baseline"/>
        </w:rPr>
        <w:t xml:space="preserve"> forint pertárgyértékkel számolva </w:t>
      </w:r>
      <w:r>
        <w:rPr>
          <w:vertAlign w:val="baseline"/>
        </w:rPr>
        <w:t xml:space="preserve">189.600</w:t>
      </w:r>
      <w:r>
        <w:rPr>
          <w:vertAlign w:val="baseline"/>
        </w:rPr>
        <w:t xml:space="preserve"> forint ügyvédi munkadíjból, továbbá </w:t>
      </w:r>
      <w:r>
        <w:rPr>
          <w:vertAlign w:val="baseline"/>
        </w:rPr>
        <w:t xml:space="preserve">597.100</w:t>
      </w:r>
      <w:r>
        <w:rPr>
          <w:vertAlign w:val="baseline"/>
        </w:rPr>
        <w:t xml:space="preserve"> forint felülvizsgálati eljárási illetékből tevődik össze.  </w:t>
      </w:r>
    </w:p>
    <w:p>
      <w:pPr>
        <w:jc w:val="left"/>
      </w:pPr>
      <w:r>
        <w:rPr>
          <w:vertAlign w:val="baseline"/>
        </w:rPr>
        <w:t xml:space="preserve">[46]     A személyes illetékmentes felperes által meg nem fizetett </w:t>
      </w:r>
      <w:r>
        <w:rPr>
          <w:vertAlign w:val="baseline"/>
        </w:rPr>
        <w:t xml:space="preserve">1.784.000</w:t>
      </w:r>
      <w:r>
        <w:rPr>
          <w:vertAlign w:val="baseline"/>
        </w:rPr>
        <w:t xml:space="preserve"> fellebbezési eljárási illeték a </w:t>
      </w:r>
      <w:r>
        <w:rPr>
          <w:vertAlign w:val="baseline"/>
        </w:rPr>
        <w:t xml:space="preserve">Pp.</w:t>
      </w:r>
      <w:r>
        <w:rPr>
          <w:vertAlign w:val="baseline"/>
        </w:rPr>
        <w:t xml:space="preserve"> 96. § (1) bekezdés b) pontja alapján az állam terhén marad. </w:t>
      </w:r>
    </w:p>
    <w:p>
      <w:pPr>
        <w:jc w:val="left"/>
      </w:pPr>
      <w:r>
        <w:rPr>
          <w:vertAlign w:val="baseline"/>
        </w:rPr>
        <w:t xml:space="preserve">[47]     Az ítélet elleni felülvizsgálatot a </w:t>
      </w:r>
      <w:r>
        <w:rPr>
          <w:vertAlign w:val="baseline"/>
        </w:rPr>
        <w:t xml:space="preserve">Pp.</w:t>
      </w:r>
      <w:r>
        <w:rPr>
          <w:vertAlign w:val="baseline"/>
        </w:rPr>
        <w:t xml:space="preserve"> 407. § (1) bekezdés d) pontja zárja ki. </w:t>
      </w:r>
    </w:p>
    <w:p>
      <w:pPr>
        <w:jc w:val="left"/>
      </w:pPr>
      <w:r>
        <w:rPr>
          <w:vertAlign w:val="baseline"/>
        </w:rPr>
        <w:t xml:space="preserve">[48]     A </w:t>
      </w:r>
      <w:r>
        <w:rPr>
          <w:vertAlign w:val="baseline"/>
        </w:rPr>
        <w:t xml:space="preserve">Kúria</w:t>
      </w:r>
      <w:r>
        <w:rPr>
          <w:vertAlign w:val="baseline"/>
        </w:rPr>
        <w:t xml:space="preserve"> a felülvizsgálati kérelmet a </w:t>
      </w:r>
      <w:r>
        <w:rPr>
          <w:vertAlign w:val="baseline"/>
        </w:rPr>
        <w:t xml:space="preserve">Pp.</w:t>
      </w:r>
      <w:r>
        <w:rPr>
          <w:vertAlign w:val="baseline"/>
        </w:rPr>
        <w:t xml:space="preserve"> 405. § (1) bekezdése szerint alkalmazandó 376. § (1) bekezdése alapján tárgyaláson kívül bírálta el. </w:t>
      </w:r>
    </w:p>
    <w:p>
      <w:pPr>
        <w:jc w:val="left"/>
      </w:pPr>
      <w:r>
        <w:rPr>
          <w:vertAlign w:val="baseline"/>
        </w:rPr>
        <w:t xml:space="preserve"> </w:t>
      </w:r>
    </w:p>
    <w:p>
      <w:pPr>
        <w:jc w:val="left"/>
      </w:pPr>
      <w:r>
        <w:rPr>
          <w:vertAlign w:val="baseline"/>
        </w:rPr>
        <w:t xml:space="preserve">Alkalmazott jogszabályok és joggyakorlat </w:t>
      </w:r>
    </w:p>
    <w:p>
      <w:pPr>
        <w:jc w:val="left"/>
      </w:pPr>
      <w:r>
        <w:rPr>
          <w:vertAlign w:val="baseline"/>
        </w:rPr>
        <w:t xml:space="preserve"> </w:t>
      </w:r>
    </w:p>
    <w:p>
      <w:pPr>
        <w:jc w:val="left"/>
      </w:pPr>
      <w:r>
        <w:rPr>
          <w:vertAlign w:val="baseline"/>
        </w:rPr>
        <w:t xml:space="preserve">[49]     1996. évi </w:t>
      </w:r>
      <w:r>
        <w:rPr>
          <w:vertAlign w:val="baseline"/>
        </w:rPr>
        <w:t xml:space="preserve">LVII.</w:t>
      </w:r>
      <w:r>
        <w:rPr>
          <w:vertAlign w:val="baseline"/>
        </w:rPr>
        <w:t xml:space="preserve"> törvény 86. § (2) bekezdés e) pont </w:t>
      </w:r>
    </w:p>
    <w:p>
      <w:pPr>
        <w:jc w:val="left"/>
      </w:pPr>
      <w:r>
        <w:rPr>
          <w:vertAlign w:val="baseline"/>
        </w:rPr>
        <w:t xml:space="preserve">[50]     1959. évi </w:t>
      </w:r>
      <w:r>
        <w:rPr>
          <w:vertAlign w:val="baseline"/>
        </w:rPr>
        <w:t xml:space="preserve">IV.</w:t>
      </w:r>
      <w:r>
        <w:rPr>
          <w:vertAlign w:val="baseline"/>
        </w:rPr>
        <w:t xml:space="preserve"> törvény 339. § (1) bekezdés </w:t>
      </w:r>
    </w:p>
    <w:p>
      <w:pPr>
        <w:jc w:val="left"/>
      </w:pPr>
      <w:r>
        <w:rPr>
          <w:vertAlign w:val="baseline"/>
        </w:rPr>
        <w:t xml:space="preserve"> </w:t>
      </w:r>
    </w:p>
    <w:p>
      <w:pPr>
        <w:jc w:val="left"/>
      </w:pPr>
      <w:r>
        <w:rPr>
          <w:vertAlign w:val="baseline"/>
        </w:rPr>
        <w:t xml:space="preserve">A döntés elvi tartalma </w:t>
      </w:r>
    </w:p>
    <w:p>
      <w:pPr>
        <w:jc w:val="left"/>
      </w:pPr>
      <w:r>
        <w:rPr>
          <w:vertAlign w:val="baseline"/>
        </w:rPr>
        <w:t xml:space="preserve"> </w:t>
      </w:r>
    </w:p>
    <w:p>
      <w:pPr>
        <w:jc w:val="left"/>
      </w:pPr>
      <w:r>
        <w:rPr>
          <w:vertAlign w:val="baseline"/>
        </w:rPr>
        <w:t xml:space="preserve">[51]     A versenyjogi jogsértés megállapítása önmagában nem jelenti azt, hogy a felperest azzal okozati összefüggésben kár is érte. </w:t>
      </w:r>
    </w:p>
    <w:p>
      <w:pPr>
        <w:jc w:val="left"/>
      </w:pPr>
      <w:r>
        <w:rPr>
          <w:vertAlign w:val="baseline"/>
        </w:rPr>
        <w:t xml:space="preserve"> </w:t>
      </w:r>
    </w:p>
    <w:p>
      <w:pPr>
        <w:jc w:val="left"/>
      </w:pPr>
      <w:r>
        <w:rPr>
          <w:vertAlign w:val="baseline"/>
        </w:rPr>
        <w:t xml:space="preserve">Budapest, 2025. január 15.                       </w:t>
      </w:r>
    </w:p>
    <w:p>
      <w:pPr>
        <w:jc w:val="left"/>
      </w:pPr>
      <w:r>
        <w:rPr>
          <w:vertAlign w:val="baseline"/>
        </w:rPr>
        <w:t xml:space="preserve"> </w:t>
      </w:r>
    </w:p>
    <w:p>
      <w:pPr>
        <w:jc w:val="left"/>
      </w:pPr>
      <w:r>
        <w:rPr>
          <w:vertAlign w:val="baseline"/>
        </w:rPr>
        <w:t xml:space="preserve">Dr. Simonné</w:t>
      </w:r>
      <w:r>
        <w:rPr>
          <w:vertAlign w:val="baseline"/>
        </w:rPr>
        <w:t xml:space="preserve"> </w:t>
      </w:r>
      <w:r>
        <w:rPr>
          <w:vertAlign w:val="baseline"/>
        </w:rPr>
        <w:t xml:space="preserve">dr. Gombos Katalin</w:t>
      </w:r>
      <w:r>
        <w:rPr>
          <w:vertAlign w:val="baseline"/>
        </w:rPr>
        <w:t xml:space="preserve"> s.k. a tanács elnöke, </w:t>
      </w:r>
      <w:r>
        <w:rPr>
          <w:vertAlign w:val="baseline"/>
        </w:rPr>
        <w:t xml:space="preserve">Dr. Tibold Ágnes</w:t>
      </w:r>
      <w:r>
        <w:rPr>
          <w:vertAlign w:val="baseline"/>
        </w:rPr>
        <w:t xml:space="preserve"> s.k. előadó bíró, </w:t>
      </w:r>
      <w:r>
        <w:rPr>
          <w:vertAlign w:val="baseline"/>
        </w:rPr>
        <w:t xml:space="preserve">Dr. Döme Attila</w:t>
      </w:r>
      <w:r>
        <w:rPr>
          <w:vertAlign w:val="baseline"/>
        </w:rPr>
        <w:t xml:space="preserve"> s.k. bíró, </w:t>
      </w:r>
      <w:r>
        <w:rPr>
          <w:vertAlign w:val="baseline"/>
        </w:rPr>
        <w:t xml:space="preserve">Dr. Farkas Antónia</w:t>
      </w:r>
      <w:r>
        <w:rPr>
          <w:vertAlign w:val="baseline"/>
        </w:rPr>
        <w:t xml:space="preserve"> s.k. bíró, </w:t>
      </w:r>
      <w:r>
        <w:rPr>
          <w:vertAlign w:val="baseline"/>
        </w:rPr>
        <w:t xml:space="preserve">Dr. Madarász Anna</w:t>
      </w:r>
      <w:r>
        <w:rPr>
          <w:vertAlign w:val="baseline"/>
        </w:rPr>
        <w:t xml:space="preserve"> s.k. bíró  </w:t>
      </w:r>
    </w:p>
    <w:p>
      <w:pPr>
        <w:jc w:val="left"/>
      </w:pPr>
      <w:r>
        <w:rPr>
          <w:vertAlign w:val="baseline"/>
        </w:rPr>
        <w:t xml:space="preserve"> </w:t>
      </w:r>
    </w:p>
    <w:p>
      <w:pPr>
        <w:jc w:val="left"/>
      </w:pPr>
      <w:r>
        <w:rPr>
          <w:vertAlign w:val="baseline"/>
        </w:rPr>
        <w:t xml:space="preserve">                                                       A kiadmány hiteléül: </w:t>
      </w:r>
    </w:p>
    <w:p>
      <w:pPr>
        <w:jc w:val="left"/>
      </w:pPr>
      <w:r>
        <w:rPr>
          <w:vertAlign w:val="baseline"/>
        </w:rPr>
        <w:t xml:space="preserve"> </w:t>
      </w:r>
    </w:p>
    <w:p>
      <w:pPr>
        <w:jc w:val="left"/>
      </w:pPr>
      <w:r>
        <w:rPr>
          <w:vertAlign w:val="baseline"/>
        </w:rPr>
        <w:t xml:space="preserve">S.K.                                             bírósági ügyintéző </w:t>
      </w:r>
    </w:p>
    <w:p>
      <w:pPr>
        <w:jc w:val="left"/>
      </w:pPr>
      <w:r>
        <w:rPr>
          <w:vertAlign w:val="baseline"/>
        </w:rPr>
        <w:t xml:space="preserve"> </w:t>
      </w:r>
    </w:p>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215" w:rsidRDefault="009A6215" w:rsidP="0014128E">
      <w:pPr>
        <w:spacing w:after="0"/>
      </w:pPr>
      <w:r>
        <w:separator/>
      </w:r>
    </w:p>
  </w:endnote>
  <w:endnote w:type="continuationSeparator" w:id="0">
    <w:p w:rsidR="009A6215" w:rsidRDefault="009A6215" w:rsidP="001412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52C" w:rsidRDefault="0093752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52C" w:rsidRDefault="0093752C">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801434"/>
      <w:docPartObj>
        <w:docPartGallery w:val="Page Numbers (Bottom of Page)"/>
        <w:docPartUnique/>
      </w:docPartObj>
    </w:sdtPr>
    <w:sdtEndPr/>
    <w:sdtContent>
      <w:p w:rsidR="0079103E" w:rsidRDefault="009A6215" w:rsidP="000061FE">
        <w:pPr>
          <w:pStyle w:val="llb"/>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215" w:rsidRDefault="009A6215" w:rsidP="0014128E">
      <w:pPr>
        <w:spacing w:after="0"/>
      </w:pPr>
      <w:r>
        <w:separator/>
      </w:r>
    </w:p>
  </w:footnote>
  <w:footnote w:type="continuationSeparator" w:id="0">
    <w:p w:rsidR="009A6215" w:rsidRDefault="009A6215" w:rsidP="001412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52C" w:rsidRDefault="0093752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FE" w:rsidRDefault="00136C87">
    <w:pPr>
      <w:pStyle w:val="lfej"/>
    </w:pPr>
    <w:r>
      <w:t>Kúria</w:t>
    </w:r>
    <w:r w:rsidR="000061FE">
      <w:tab/>
    </w:r>
    <w:r w:rsidR="000061FE">
      <w:fldChar w:fldCharType="begin"/>
    </w:r>
    <w:r w:rsidR="000061FE">
      <w:instrText xml:space="preserve"> PAGE  \* Arabic  \* MERGEFORMAT </w:instrText>
    </w:r>
    <w:r w:rsidR="000061FE">
      <w:fldChar w:fldCharType="separate"/>
    </w:r>
    <w:r w:rsidR="00666525">
      <w:rPr>
        <w:noProof/>
      </w:rPr>
      <w:t>2</w:t>
    </w:r>
    <w:r w:rsidR="000061FE">
      <w:fldChar w:fldCharType="end"/>
    </w:r>
  </w:p>
  <w:p w:rsidR="0093752C" w:rsidRDefault="0093752C">
    <w:pPr>
      <w:pStyle w:val="lfej"/>
    </w:pPr>
    <w:r>
      <w:t>VI.Gfv.30.132/2024/4</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03E" w:rsidP="00D354AC" w:rsidRDefault="0079103E">
    <w:pPr>
      <w:pStyle w:val="lfej"/>
      <w:spacing w:after="480"/>
    </w:pPr>
  </w:p>
</w:hdr>
</file>

<file path=word/numbering.xml><?xml version="1.0" encoding="utf-8"?>
<w:numbering xmlns:w="http://schemas.openxmlformats.org/wordprocessingml/2006/main">
  <w:abstractNum w:abstractNumId="1">
    <w:multiLevelType w:val="singleLevel"/>
    <w:lvl w:ilvl="0">
      <w:numFmt w:val="bullet"/>
      <w:lvlText w:val=""/>
      <w:lvlJc w:val="left"/>
      <w:pStyle w:val="Cmsor1Char"/>
      <w:pPr/>
      <w:pPr>
        <w:ind w:start="0" w:firstLine="0"/>
      </w:pPr>
      <w:rPr>
        <w:rFonts w:hint="default" w:ascii="Symbol" w:hAnsi="Symbol"/>
      </w:rPr>
      <w:suff w:val="space"/>
    </w:lvl>
  </w:abstractNum>
  <w:abstractNum w:abstractNumId="2">
    <w:multiLevelType w:val="singleLevel"/>
    <w:lvl w:ilvl="0">
      <w:numFmt w:val="decimal"/>
      <w:start w:val="1"/>
      <w:lvlText w:val="%1."/>
      <w:lvlJc w:val="left"/>
      <w:pStyle w:val="Cmsor1Char"/>
      <w:pPr/>
      <w:pPr>
        <w:ind w:start="0" w:firstLine="0"/>
      </w:pPr>
      <w:rPr>
        <w:rFonts w:hint="default" w:ascii="Symbol" w:hAnsi="Symbol"/>
      </w:rPr>
      <w:suff w:val="space"/>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279"/>
    <w:rsid w:val="000061FE"/>
    <w:rsid w:val="00034476"/>
    <w:rsid w:val="00034963"/>
    <w:rsid w:val="0005723F"/>
    <w:rsid w:val="00065DC3"/>
    <w:rsid w:val="0008220C"/>
    <w:rsid w:val="00091769"/>
    <w:rsid w:val="000B782D"/>
    <w:rsid w:val="000F498D"/>
    <w:rsid w:val="00136C87"/>
    <w:rsid w:val="0014128E"/>
    <w:rsid w:val="001719C9"/>
    <w:rsid w:val="001E0961"/>
    <w:rsid w:val="002029FA"/>
    <w:rsid w:val="002B4E04"/>
    <w:rsid w:val="003602E1"/>
    <w:rsid w:val="00377D7B"/>
    <w:rsid w:val="003D2E21"/>
    <w:rsid w:val="00400075"/>
    <w:rsid w:val="00445C9F"/>
    <w:rsid w:val="004852DC"/>
    <w:rsid w:val="004A5423"/>
    <w:rsid w:val="004F3F8A"/>
    <w:rsid w:val="00562FCC"/>
    <w:rsid w:val="005752C5"/>
    <w:rsid w:val="00645E89"/>
    <w:rsid w:val="006575A4"/>
    <w:rsid w:val="006652E2"/>
    <w:rsid w:val="00666525"/>
    <w:rsid w:val="006754E2"/>
    <w:rsid w:val="00757E57"/>
    <w:rsid w:val="007660D3"/>
    <w:rsid w:val="0079103E"/>
    <w:rsid w:val="00853160"/>
    <w:rsid w:val="008E2EA8"/>
    <w:rsid w:val="008E6F0B"/>
    <w:rsid w:val="0093752C"/>
    <w:rsid w:val="00994AF4"/>
    <w:rsid w:val="009A6215"/>
    <w:rsid w:val="00B54D1F"/>
    <w:rsid w:val="00B76174"/>
    <w:rsid w:val="00BE3D8F"/>
    <w:rsid w:val="00C811EB"/>
    <w:rsid w:val="00CB591D"/>
    <w:rsid w:val="00CD4772"/>
    <w:rsid w:val="00D322E0"/>
    <w:rsid w:val="00D354AC"/>
    <w:rsid w:val="00D506F1"/>
    <w:rsid w:val="00E15F75"/>
    <w:rsid w:val="00FA2D4D"/>
    <w:rsid w:val="00FB62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B5CFB"/>
  <w15:chartTrackingRefBased/>
  <w15:docId w15:val="{60EC4AFF-CC39-491D-BBEE-2CA624DE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52C5"/>
    <w:pPr>
      <w:spacing w:after="80" w:line="240" w:lineRule="auto"/>
      <w:jc w:val="both"/>
    </w:pPr>
    <w:rPr>
      <w:rFonts w:ascii="Times New Roman" w:hAnsi="Times New Roman"/>
      <w:sz w:val="24"/>
    </w:rPr>
  </w:style>
  <w:style w:type="paragraph" w:styleId="Cmsor1">
    <w:name w:val="heading 1"/>
    <w:basedOn w:val="Norml"/>
    <w:next w:val="Norml"/>
    <w:link w:val="Cmsor1Char"/>
    <w:uiPriority w:val="9"/>
    <w:qFormat/>
    <w:rsid w:val="00D506F1"/>
    <w:pPr>
      <w:keepNext/>
      <w:keepLines/>
      <w:spacing w:before="240" w:after="0"/>
      <w:outlineLvl w:val="0"/>
    </w:pPr>
    <w:rPr>
      <w:rFonts w:eastAsiaTheme="majorEastAsia" w:cstheme="majorBidi"/>
      <w:sz w:val="32"/>
      <w:szCs w:val="32"/>
    </w:rPr>
  </w:style>
  <w:style w:type="paragraph" w:styleId="Cmsor2">
    <w:name w:val="heading 2"/>
    <w:basedOn w:val="Norml"/>
    <w:next w:val="Norml"/>
    <w:link w:val="Cmsor2Char"/>
    <w:uiPriority w:val="9"/>
    <w:semiHidden/>
    <w:unhideWhenUsed/>
    <w:qFormat/>
    <w:rsid w:val="00D506F1"/>
    <w:pPr>
      <w:keepNext/>
      <w:keepLines/>
      <w:spacing w:before="40" w:after="0"/>
      <w:outlineLvl w:val="1"/>
    </w:pPr>
    <w:rPr>
      <w:rFonts w:eastAsiaTheme="majorEastAsia" w:cstheme="majorBidi"/>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506F1"/>
    <w:rPr>
      <w:rFonts w:ascii="Times New Roman" w:eastAsiaTheme="majorEastAsia" w:hAnsi="Times New Roman" w:cstheme="majorBidi"/>
      <w:sz w:val="32"/>
      <w:szCs w:val="32"/>
    </w:rPr>
  </w:style>
  <w:style w:type="paragraph" w:styleId="lfej">
    <w:name w:val="header"/>
    <w:basedOn w:val="Norml"/>
    <w:link w:val="lfejChar"/>
    <w:uiPriority w:val="99"/>
    <w:unhideWhenUsed/>
    <w:rsid w:val="0014128E"/>
    <w:pPr>
      <w:tabs>
        <w:tab w:val="center" w:pos="4536"/>
        <w:tab w:val="right" w:pos="9072"/>
      </w:tabs>
      <w:spacing w:after="0"/>
    </w:pPr>
  </w:style>
  <w:style w:type="character" w:customStyle="1" w:styleId="lfejChar">
    <w:name w:val="Élőfej Char"/>
    <w:basedOn w:val="Bekezdsalapbettpusa"/>
    <w:link w:val="lfej"/>
    <w:uiPriority w:val="99"/>
    <w:rsid w:val="0014128E"/>
  </w:style>
  <w:style w:type="paragraph" w:styleId="llb">
    <w:name w:val="footer"/>
    <w:basedOn w:val="Norml"/>
    <w:link w:val="llbChar"/>
    <w:uiPriority w:val="99"/>
    <w:unhideWhenUsed/>
    <w:rsid w:val="0014128E"/>
    <w:pPr>
      <w:tabs>
        <w:tab w:val="center" w:pos="4536"/>
        <w:tab w:val="right" w:pos="9072"/>
      </w:tabs>
      <w:spacing w:after="0"/>
    </w:pPr>
  </w:style>
  <w:style w:type="character" w:customStyle="1" w:styleId="llbChar">
    <w:name w:val="Élőláb Char"/>
    <w:basedOn w:val="Bekezdsalapbettpusa"/>
    <w:link w:val="llb"/>
    <w:uiPriority w:val="99"/>
    <w:rsid w:val="0014128E"/>
  </w:style>
  <w:style w:type="paragraph" w:styleId="Listaszerbekezds">
    <w:name w:val="List Paragraph"/>
    <w:basedOn w:val="Norml"/>
    <w:uiPriority w:val="34"/>
    <w:qFormat/>
    <w:rsid w:val="0008220C"/>
    <w:pPr>
      <w:ind w:left="720"/>
      <w:contextualSpacing/>
    </w:pPr>
  </w:style>
  <w:style w:type="character" w:customStyle="1" w:styleId="Cmsor2Char">
    <w:name w:val="Címsor 2 Char"/>
    <w:basedOn w:val="Bekezdsalapbettpusa"/>
    <w:link w:val="Cmsor2"/>
    <w:uiPriority w:val="9"/>
    <w:semiHidden/>
    <w:rsid w:val="00D506F1"/>
    <w:rPr>
      <w:rFonts w:ascii="Times New Roman" w:eastAsiaTheme="majorEastAsia" w:hAnsi="Times New Roman" w:cstheme="majorBidi"/>
      <w:sz w:val="26"/>
      <w:szCs w:val="26"/>
    </w:rPr>
  </w:style>
  <w:style w:type="character" w:styleId="Erskiemels">
    <w:name w:val="Intense Emphasis"/>
    <w:basedOn w:val="Bekezdsalapbettpusa"/>
    <w:uiPriority w:val="21"/>
    <w:qFormat/>
    <w:rsid w:val="00D506F1"/>
    <w:rPr>
      <w:rFonts w:ascii="Times New Roman" w:hAnsi="Times New Roman"/>
      <w:i/>
      <w:iCs/>
      <w:color w:val="auto"/>
      <w:sz w:val="24"/>
    </w:rPr>
  </w:style>
  <w:style w:type="paragraph" w:styleId="Kiemeltidzet">
    <w:name w:val="Intense Quote"/>
    <w:basedOn w:val="Norml"/>
    <w:next w:val="Norml"/>
    <w:link w:val="KiemeltidzetChar"/>
    <w:uiPriority w:val="30"/>
    <w:qFormat/>
    <w:rsid w:val="00D506F1"/>
    <w:pPr>
      <w:pBdr>
        <w:top w:val="single" w:sz="4" w:space="10" w:color="000000" w:themeColor="text1"/>
        <w:bottom w:val="single" w:sz="4" w:space="10" w:color="000000" w:themeColor="text1"/>
      </w:pBdr>
      <w:spacing w:before="360" w:after="360"/>
      <w:ind w:left="864" w:right="864"/>
      <w:jc w:val="center"/>
    </w:pPr>
    <w:rPr>
      <w:i/>
      <w:iCs/>
    </w:rPr>
  </w:style>
  <w:style w:type="character" w:customStyle="1" w:styleId="KiemeltidzetChar">
    <w:name w:val="Kiemelt idézet Char"/>
    <w:basedOn w:val="Bekezdsalapbettpusa"/>
    <w:link w:val="Kiemeltidzet"/>
    <w:uiPriority w:val="30"/>
    <w:rsid w:val="00D506F1"/>
    <w:rPr>
      <w:i/>
      <w:iCs/>
    </w:rPr>
  </w:style>
  <w:style w:type="character" w:styleId="Ershivatkozs">
    <w:name w:val="Intense Reference"/>
    <w:basedOn w:val="Bekezdsalapbettpusa"/>
    <w:uiPriority w:val="32"/>
    <w:qFormat/>
    <w:rsid w:val="00D506F1"/>
    <w:rPr>
      <w:rFonts w:ascii="Times New Roman" w:hAnsi="Times New Roman"/>
      <w:b/>
      <w:bCs/>
      <w:smallCaps/>
      <w:color w:val="auto"/>
      <w:spacing w:val="5"/>
      <w:sz w:val="24"/>
    </w:rPr>
  </w:style>
  <w:style w:type="paragraph" w:styleId="Nincstrkz">
    <w:name w:val="No Spacing"/>
    <w:uiPriority w:val="1"/>
    <w:qFormat/>
    <w:rsid w:val="00091769"/>
    <w:pPr>
      <w:spacing w:after="0" w:line="240" w:lineRule="auto"/>
      <w:jc w:val="both"/>
    </w:pPr>
    <w:rPr>
      <w:rFonts w:ascii="Times New Roman" w:hAnsi="Times New Roman"/>
      <w:sz w:val="24"/>
    </w:rPr>
  </w:style>
  <w:style w:type="paragraph" w:styleId="Cm">
    <w:name w:val="Title"/>
    <w:basedOn w:val="Norml"/>
    <w:next w:val="Norml"/>
    <w:link w:val="CmChar"/>
    <w:uiPriority w:val="10"/>
    <w:qFormat/>
    <w:rsid w:val="00D506F1"/>
    <w:pPr>
      <w:spacing w:after="0"/>
      <w:contextualSpacing/>
    </w:pPr>
    <w:rPr>
      <w:rFonts w:eastAsiaTheme="majorEastAsia" w:cstheme="majorBidi"/>
      <w:spacing w:val="-10"/>
      <w:kern w:val="28"/>
      <w:sz w:val="56"/>
      <w:szCs w:val="56"/>
    </w:rPr>
  </w:style>
  <w:style w:type="character" w:customStyle="1" w:styleId="CmChar">
    <w:name w:val="Cím Char"/>
    <w:basedOn w:val="Bekezdsalapbettpusa"/>
    <w:link w:val="Cm"/>
    <w:uiPriority w:val="10"/>
    <w:rsid w:val="00D506F1"/>
    <w:rPr>
      <w:rFonts w:ascii="Times New Roman" w:eastAsiaTheme="majorEastAsia" w:hAnsi="Times New Roman" w:cstheme="majorBidi"/>
      <w:spacing w:val="-10"/>
      <w:kern w:val="28"/>
      <w:sz w:val="56"/>
      <w:szCs w:val="56"/>
    </w:rPr>
  </w:style>
  <w:style w:type="paragraph" w:styleId="Alcm">
    <w:name w:val="Subtitle"/>
    <w:basedOn w:val="Norml"/>
    <w:next w:val="Norml"/>
    <w:link w:val="AlcmChar"/>
    <w:uiPriority w:val="11"/>
    <w:qFormat/>
    <w:rsid w:val="00D506F1"/>
    <w:pPr>
      <w:numPr>
        <w:ilvl w:val="1"/>
      </w:numPr>
    </w:pPr>
    <w:rPr>
      <w:rFonts w:eastAsiaTheme="minorEastAsia"/>
      <w:spacing w:val="15"/>
    </w:rPr>
  </w:style>
  <w:style w:type="character" w:customStyle="1" w:styleId="AlcmChar">
    <w:name w:val="Alcím Char"/>
    <w:basedOn w:val="Bekezdsalapbettpusa"/>
    <w:link w:val="Alcm"/>
    <w:uiPriority w:val="11"/>
    <w:rsid w:val="00D506F1"/>
    <w:rPr>
      <w:rFonts w:ascii="Times New Roman" w:eastAsiaTheme="minorEastAsia" w:hAnsi="Times New Roman"/>
      <w:spacing w:val="15"/>
      <w:sz w:val="24"/>
    </w:rPr>
  </w:style>
  <w:style w:type="character" w:styleId="Finomkiemels">
    <w:name w:val="Subtle Emphasis"/>
    <w:basedOn w:val="Bekezdsalapbettpusa"/>
    <w:uiPriority w:val="19"/>
    <w:qFormat/>
    <w:rsid w:val="00D506F1"/>
    <w:rPr>
      <w:rFonts w:ascii="Times New Roman" w:hAnsi="Times New Roman"/>
      <w:i/>
      <w:iCs/>
      <w:color w:val="auto"/>
      <w:sz w:val="24"/>
    </w:rPr>
  </w:style>
  <w:style w:type="character" w:styleId="Kiemels">
    <w:name w:val="Emphasis"/>
    <w:basedOn w:val="Bekezdsalapbettpusa"/>
    <w:uiPriority w:val="20"/>
    <w:qFormat/>
    <w:rsid w:val="00D506F1"/>
    <w:rPr>
      <w:rFonts w:ascii="Times New Roman" w:hAnsi="Times New Roman"/>
      <w:i/>
      <w:iCs/>
      <w:color w:val="auto"/>
      <w:sz w:val="24"/>
    </w:rPr>
  </w:style>
  <w:style w:type="character" w:styleId="Kiemels2">
    <w:name w:val="Strong"/>
    <w:basedOn w:val="Bekezdsalapbettpusa"/>
    <w:uiPriority w:val="22"/>
    <w:qFormat/>
    <w:rsid w:val="00D506F1"/>
    <w:rPr>
      <w:rFonts w:ascii="Times New Roman" w:hAnsi="Times New Roman"/>
      <w:b/>
      <w:bCs/>
      <w:sz w:val="24"/>
    </w:rPr>
  </w:style>
  <w:style w:type="paragraph" w:styleId="Idzet">
    <w:name w:val="Quote"/>
    <w:basedOn w:val="Norml"/>
    <w:next w:val="Norml"/>
    <w:link w:val="IdzetChar"/>
    <w:uiPriority w:val="29"/>
    <w:qFormat/>
    <w:rsid w:val="00D506F1"/>
    <w:pPr>
      <w:spacing w:before="200"/>
      <w:ind w:left="864" w:right="864"/>
      <w:jc w:val="center"/>
    </w:pPr>
    <w:rPr>
      <w:i/>
      <w:iCs/>
    </w:rPr>
  </w:style>
  <w:style w:type="character" w:customStyle="1" w:styleId="IdzetChar">
    <w:name w:val="Idézet Char"/>
    <w:basedOn w:val="Bekezdsalapbettpusa"/>
    <w:link w:val="Idzet"/>
    <w:uiPriority w:val="29"/>
    <w:rsid w:val="00D506F1"/>
    <w:rPr>
      <w:rFonts w:ascii="Times New Roman" w:hAnsi="Times New Roman"/>
      <w:i/>
      <w:iCs/>
      <w:sz w:val="24"/>
    </w:rPr>
  </w:style>
  <w:style w:type="character" w:styleId="Finomhivatkozs">
    <w:name w:val="Subtle Reference"/>
    <w:basedOn w:val="Bekezdsalapbettpusa"/>
    <w:uiPriority w:val="31"/>
    <w:qFormat/>
    <w:rsid w:val="00D506F1"/>
    <w:rPr>
      <w:rFonts w:ascii="Times New Roman" w:hAnsi="Times New Roman"/>
      <w:smallCaps/>
      <w:color w:val="auto"/>
      <w:sz w:val="24"/>
    </w:rPr>
  </w:style>
  <w:style w:type="character" w:styleId="Knyvcme">
    <w:name w:val="Book Title"/>
    <w:basedOn w:val="Bekezdsalapbettpusa"/>
    <w:uiPriority w:val="33"/>
    <w:qFormat/>
    <w:rsid w:val="00D506F1"/>
    <w:rPr>
      <w:rFonts w:ascii="Times New Roman" w:hAnsi="Times New Roman"/>
      <w:b/>
      <w:bCs/>
      <w:i/>
      <w:iCs/>
      <w:spacing w:val="5"/>
      <w:sz w:val="24"/>
    </w:rPr>
  </w:style>
  <w:style w:type="character" w:styleId="Helyrzszveg">
    <w:name w:val="Placeholder Text"/>
    <w:basedOn w:val="Bekezdsalapbettpusa"/>
    <w:uiPriority w:val="99"/>
    <w:semiHidden/>
    <w:rsid w:val="000061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6EE93-D828-4236-8F83-A310B912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0</Words>
  <Characters>0</Characters>
  <DocSecurity>0</DocSecurity>
  <Lines>0</Lines>
  <Paragraphs>0</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2018-09-19T09:52:00Z</dcterms:created>
  <dcterms:modified xsi:type="dcterms:W3CDTF">2020-01-21T10:01:00Z</dcterms:modified>
</cp:coreProperties>
</file>