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ectPr w:rsidRPr="00A06AEC" w:rsidR="008333F1" w:rsidSect="00FA2D4D">
      <w:headerReference w:type="default" r:id="rId8"/>
      <w:headerReference w:type="first" r:id="rId9"/>
      <w:footerReference w:type="first" r:id="rId10"/>
      <w:pgSz w:w="11906" w:h="16838"/>
      <w:pgMar w:top="1417" w:right="1417" w:bottom="1417" w:left="1417" w:header="709" w:footer="709" w:gutter="0"/>
      <w:cols w:space="708"/>
      <w:titlePg/>
      <w:docGrid w:linePitch="360"/>
    </w:sectPr>
    <w:p>
      <w:pPr>
        <w:jc w:val="both"/>
      </w:pPr>
      <w:r>
        <w:rPr>
          <w:vertAlign w:val="baseline"/>
        </w:rPr>
        <w:t xml:space="preserve">Fővárosi </w:t>
      </w:r>
      <w:r>
        <w:rPr>
          <w:vertAlign w:val="baseline"/>
        </w:rPr>
        <w:t xml:space="preserve">Törvényszék</w:t>
      </w:r>
    </w:p>
    <w:p>
      <w:pPr>
        <w:jc w:val="both"/>
      </w:pPr>
      <w:r>
        <w:rPr>
          <w:vertAlign w:val="baseline"/>
        </w:rPr>
        <w:t xml:space="preserve">30.G.42.023/2021/62</w:t>
      </w:r>
      <w:r>
        <w:rPr>
          <w:vertAlign w:val="baseline"/>
        </w:rPr>
        <w:t xml:space="preserve">.</w:t>
      </w:r>
    </w:p>
    <w:p>
      <w:pPr>
        <w:jc w:val="left"/>
      </w:pPr>
      <w:r>
        <w:rPr>
          <w:vertAlign w:val="baseline"/>
        </w:rPr>
        <w:t xml:space="preserve"> </w:t>
      </w:r>
      <w:r>
        <w:br/>
      </w:r>
    </w:p>
    <w:p>
      <w:pPr>
        <w:jc w:val="both"/>
      </w:pPr>
      <w:r>
        <w:rPr>
          <w:vertAlign w:val="baseline"/>
        </w:rPr>
        <w:t xml:space="preserve">A </w:t>
      </w:r>
      <w:r>
        <w:rPr>
          <w:vertAlign w:val="baseline"/>
        </w:rPr>
        <w:t xml:space="preserve">Fővárosi Törvényszék</w:t>
      </w:r>
      <w:r>
        <w:rPr>
          <w:vertAlign w:val="baseline"/>
        </w:rPr>
        <w:t xml:space="preserve"> a </w:t>
      </w:r>
      <w:r>
        <w:rPr>
          <w:vertAlign w:val="baseline"/>
        </w:rPr>
        <w:t xml:space="preserve">dr. Gaudi-Nagy Tamás</w:t>
      </w:r>
      <w:r>
        <w:rPr>
          <w:vertAlign w:val="baseline"/>
        </w:rPr>
        <w:t xml:space="preserve"> (</w:t>
      </w:r>
      <w:r>
        <w:rPr>
          <w:vertAlign w:val="baseline"/>
        </w:rPr>
        <w:t xml:space="preserve">cím1</w:t>
      </w:r>
      <w:r>
        <w:rPr>
          <w:vertAlign w:val="baseline"/>
        </w:rPr>
        <w:t xml:space="preserve">) ügyvéd által képviselt </w:t>
      </w:r>
      <w:r>
        <w:rPr>
          <w:vertAlign w:val="baseline"/>
        </w:rPr>
        <w:t xml:space="preserve">felperes1</w:t>
      </w:r>
      <w:r>
        <w:rPr>
          <w:vertAlign w:val="baseline"/>
        </w:rPr>
        <w:t xml:space="preserve"> (</w:t>
      </w:r>
      <w:r>
        <w:rPr>
          <w:vertAlign w:val="baseline"/>
        </w:rPr>
        <w:t xml:space="preserve">cím2</w:t>
      </w:r>
      <w:r>
        <w:rPr>
          <w:vertAlign w:val="baseline"/>
        </w:rPr>
        <w:t xml:space="preserve">) felperesnek a </w:t>
      </w:r>
      <w:r>
        <w:rPr>
          <w:vertAlign w:val="baseline"/>
        </w:rPr>
        <w:t xml:space="preserve">Dávid Társas Ügyvédi Iroda</w:t>
      </w:r>
      <w:r>
        <w:rPr>
          <w:vertAlign w:val="baseline"/>
        </w:rPr>
        <w:t xml:space="preserve"> (</w:t>
      </w:r>
      <w:r>
        <w:rPr>
          <w:vertAlign w:val="baseline"/>
        </w:rPr>
        <w:t xml:space="preserve">cím3</w:t>
      </w:r>
      <w:r>
        <w:rPr>
          <w:vertAlign w:val="baseline"/>
        </w:rPr>
        <w:t xml:space="preserve">) által képviselt </w:t>
      </w:r>
      <w:r>
        <w:rPr>
          <w:vertAlign w:val="baseline"/>
        </w:rPr>
        <w:t xml:space="preserve">alperes1</w:t>
      </w:r>
      <w:r>
        <w:rPr>
          <w:vertAlign w:val="baseline"/>
        </w:rPr>
        <w:t xml:space="preserve"> (</w:t>
      </w:r>
      <w:r>
        <w:rPr>
          <w:vertAlign w:val="baseline"/>
        </w:rPr>
        <w:t xml:space="preserve">cím4</w:t>
      </w:r>
      <w:r>
        <w:rPr>
          <w:vertAlign w:val="baseline"/>
        </w:rPr>
        <w:t xml:space="preserve">) </w:t>
      </w:r>
      <w:r>
        <w:rPr>
          <w:vertAlign w:val="baseline"/>
        </w:rPr>
        <w:t xml:space="preserve">II.</w:t>
      </w:r>
      <w:r>
        <w:rPr>
          <w:vertAlign w:val="baseline"/>
        </w:rPr>
        <w:t xml:space="preserve"> rendű alperes ellen tisztességtelen piaci magatartás megállapítása és jogkövetkezményeinek alkalmazása iránt indított perében meghozta az alábbi</w:t>
      </w:r>
    </w:p>
    <w:p>
      <w:pPr>
        <w:jc w:val="left"/>
      </w:pPr>
      <w:r>
        <w:rPr>
          <w:vertAlign w:val="baseline"/>
        </w:rPr>
        <w:t xml:space="preserve"> </w:t>
      </w:r>
      <w:r>
        <w:br/>
      </w:r>
    </w:p>
    <w:p>
      <w:pPr>
        <w:jc w:val="center"/>
      </w:pPr>
      <w:r>
        <w:rPr>
          <w:vertAlign w:val="baseline"/>
        </w:rPr>
        <w:t xml:space="preserve">Í t é l e t e t:</w:t>
      </w:r>
    </w:p>
    <w:p>
      <w:pPr>
        <w:jc w:val="left"/>
      </w:pPr>
      <w:r>
        <w:rPr>
          <w:vertAlign w:val="baseline"/>
        </w:rPr>
        <w:t xml:space="preserve"> </w:t>
      </w:r>
      <w:r>
        <w:br/>
      </w:r>
    </w:p>
    <w:p>
      <w:pPr>
        <w:jc w:val="both"/>
      </w:pPr>
      <w:r>
        <w:rPr>
          <w:i/>
          <w:vertAlign w:val="baseline"/>
        </w:rPr>
        <w:t xml:space="preserve">A bíróság a keresetet elutasítja és kötelezi a felperest, hogy 15 (tizenöt) napon belül fizessen meg a </w:t>
      </w:r>
      <w:r>
        <w:rPr>
          <w:i/>
          <w:vertAlign w:val="baseline"/>
        </w:rPr>
        <w:t xml:space="preserve">II.</w:t>
      </w:r>
      <w:r>
        <w:rPr>
          <w:i/>
          <w:vertAlign w:val="baseline"/>
        </w:rPr>
        <w:t xml:space="preserve"> rendű alperesnek </w:t>
      </w:r>
      <w:r>
        <w:rPr>
          <w:i/>
          <w:vertAlign w:val="baseline"/>
        </w:rPr>
        <w:t xml:space="preserve">545.000,-</w:t>
      </w:r>
      <w:r>
        <w:rPr>
          <w:i/>
          <w:vertAlign w:val="baseline"/>
        </w:rPr>
        <w:t xml:space="preserve"> (ötszáznegyvenötezer) forint + áfa perköltséget. </w:t>
      </w:r>
    </w:p>
    <w:p>
      <w:pPr>
        <w:jc w:val="left"/>
      </w:pPr>
      <w:r>
        <w:rPr>
          <w:vertAlign w:val="baseline"/>
        </w:rPr>
        <w:t xml:space="preserve"> </w:t>
      </w:r>
      <w:r>
        <w:br/>
      </w:r>
    </w:p>
    <w:p>
      <w:pPr>
        <w:jc w:val="both"/>
      </w:pPr>
      <w:r>
        <w:rPr>
          <w:i/>
          <w:vertAlign w:val="baseline"/>
        </w:rPr>
        <w:t xml:space="preserve">Az </w:t>
      </w:r>
      <w:r>
        <w:rPr>
          <w:i/>
          <w:vertAlign w:val="baseline"/>
        </w:rPr>
        <w:t xml:space="preserve">1.338.000,-</w:t>
      </w:r>
      <w:r>
        <w:rPr>
          <w:i/>
          <w:vertAlign w:val="baseline"/>
        </w:rPr>
        <w:t xml:space="preserve"> (egymillió-háromszázharmincnyolcezer) forint eljárási, valamint az </w:t>
      </w:r>
      <w:r>
        <w:rPr>
          <w:i/>
          <w:vertAlign w:val="baseline"/>
        </w:rPr>
        <w:t xml:space="preserve">1.784.000,-</w:t>
      </w:r>
      <w:r>
        <w:rPr>
          <w:i/>
          <w:vertAlign w:val="baseline"/>
        </w:rPr>
        <w:t xml:space="preserve"> (egymillió-hétszáznyolcvannégyezer) forint</w:t>
      </w:r>
      <w:r>
        <w:rPr>
          <w:i/>
          <w:vertAlign w:val="baseline"/>
        </w:rPr>
        <w:t xml:space="preserve">  </w:t>
      </w:r>
      <w:r>
        <w:rPr>
          <w:vertAlign w:val="baseline"/>
        </w:rPr>
        <w:t xml:space="preserve">fellebbezési illetéket az állam viseli.</w:t>
      </w:r>
      <w:r>
        <w:rPr>
          <w:i/>
          <w:vertAlign w:val="baseline"/>
        </w:rPr>
        <w:t xml:space="preserve">  </w:t>
      </w:r>
    </w:p>
    <w:p>
      <w:pPr>
        <w:jc w:val="left"/>
      </w:pPr>
      <w:r>
        <w:rPr>
          <w:vertAlign w:val="baseline"/>
        </w:rPr>
        <w:t xml:space="preserve"> </w:t>
      </w:r>
      <w:r>
        <w:br/>
      </w:r>
    </w:p>
    <w:p>
      <w:pPr>
        <w:jc w:val="both"/>
      </w:pPr>
      <w:r>
        <w:rPr>
          <w:vertAlign w:val="baseline"/>
        </w:rPr>
        <w:t xml:space="preserve">Az ítélet ellen a kézbesítéstől számított 15 (tizenöt) napon belül fellebbezésnek van helye, melyet a </w:t>
      </w:r>
      <w:r>
        <w:rPr>
          <w:vertAlign w:val="baseline"/>
        </w:rPr>
        <w:t xml:space="preserve">Fővárosi Ítélőtáblához</w:t>
      </w:r>
      <w:r>
        <w:rPr>
          <w:vertAlign w:val="baseline"/>
        </w:rPr>
        <w:t xml:space="preserve"> címezve, a </w:t>
      </w:r>
      <w:r>
        <w:rPr>
          <w:vertAlign w:val="baseline"/>
        </w:rPr>
        <w:t xml:space="preserve">Fővárosi Törvényszéken,</w:t>
      </w:r>
      <w:r>
        <w:rPr>
          <w:vertAlign w:val="baseline"/>
        </w:rPr>
        <w:t xml:space="preserve"> írásban lehet benyújtani.</w:t>
      </w:r>
      <w:r>
        <w:rPr>
          <w:vertAlign w:val="baseline"/>
        </w:rPr>
        <w:t xml:space="preserve">  </w:t>
      </w:r>
    </w:p>
    <w:p>
      <w:pPr>
        <w:jc w:val="left"/>
      </w:pPr>
      <w:r>
        <w:rPr>
          <w:vertAlign w:val="baseline"/>
        </w:rPr>
        <w:t xml:space="preserve"> </w:t>
      </w:r>
      <w:r>
        <w:br/>
      </w:r>
    </w:p>
    <w:p>
      <w:pPr>
        <w:jc w:val="both"/>
      </w:pPr>
      <w:r>
        <w:rPr>
          <w:vertAlign w:val="baseline"/>
        </w:rPr>
        <w:t xml:space="preserve">A másodfokú eljárásban kötelező a jogi képviselet. A jogi képviselő közreműködése nélkül eljáró fél perbeli cselekménye és nyilatkozata hatálytalan, úgy kell tekinteni, hogy a fél perbeli cselekményt, nyilatkozatot egyáltalán nem tesz. A jogi képviselet a képviselő részére adott, a per vitelére, vagy egyes perbeli cselekményekre szóló meghatalmazáson alapul. Ha a fellebbezést előterjesztő fél jogi képviselővel nem rendelkezik, a fellebbezést a bíróság hiánypótlási felhívás kiadása nélkül visszautasítja. Ha a fél a fellebbezését nem elektronikus úton, vagy elektronikus úton, de nem a 2015. évi </w:t>
      </w:r>
      <w:r>
        <w:rPr>
          <w:vertAlign w:val="baseline"/>
        </w:rPr>
        <w:t xml:space="preserve">CCXXII</w:t>
      </w:r>
      <w:r>
        <w:rPr>
          <w:vertAlign w:val="baseline"/>
        </w:rPr>
        <w:t xml:space="preserve">. törvényben és végrehajtási rendeleteiben meghatározott módon terjeszti elő, fellebbezését a bíróság visszautasítja. </w:t>
      </w:r>
    </w:p>
    <w:p>
      <w:pPr>
        <w:jc w:val="left"/>
      </w:pPr>
      <w:r>
        <w:rPr>
          <w:vertAlign w:val="baseline"/>
        </w:rPr>
        <w:t xml:space="preserve"> </w:t>
      </w:r>
      <w:r>
        <w:br/>
      </w:r>
    </w:p>
    <w:p>
      <w:pPr>
        <w:jc w:val="both"/>
      </w:pPr>
      <w:r>
        <w:rPr>
          <w:vertAlign w:val="baseline"/>
        </w:rPr>
        <w:t xml:space="preserve">A másodfokú bíróság a fellebbezést tárgyaláson kívül bírálja el, kivéve, ha a felek bármelyike tárgyalás tartását kéri, a bíróság azt indokoltnak tartja, vagy tárgyaláson foganatosítható bizonyítást kell lefolytatni. A fellebbező félnek a tárgyalás tartására irányuló kérelmét a fellebbezésében kell előterjesztenie. A fellebbező fél ellenfele a fellebbezés kézbesítésétől számított 15 (tizenöt) napon belül tárgyalás tartását kérheti. A felek kérelme alapján sem kell tárgyalást tartani, ha az elsőfokú bíróság ítélete kötelező hatályon kívül helyezésének van helye az eljárás megszüntetése vagy eljárási szabálysértés miatt, a fellebbezés csak a perköltség viselésére vagy összegére, illetve a meg nem fizetett illeték vagy az állam által előlegezett költség megfizetésére vonatkozik, a fellebbezés csak a teljesítési határidővel vagy a részletfizetés engedélyezésével, illetve az előzetes végrehajthatósággal kapcsolatos, vagy a fellebbezés csak az ítélet indokolása ellen irányul.</w:t>
      </w:r>
    </w:p>
    <w:p>
      <w:pPr>
        <w:jc w:val="left"/>
      </w:pPr>
      <w:r>
        <w:rPr>
          <w:vertAlign w:val="baseline"/>
        </w:rPr>
        <w:t xml:space="preserve"> </w:t>
      </w:r>
      <w:r>
        <w:br/>
      </w:r>
    </w:p>
    <w:p>
      <w:pPr>
        <w:jc w:val="center"/>
      </w:pPr>
      <w:r>
        <w:rPr>
          <w:vertAlign w:val="baseline"/>
        </w:rPr>
        <w:t xml:space="preserve">Indokolás</w:t>
      </w:r>
    </w:p>
    <w:p>
      <w:pPr>
        <w:jc w:val="left"/>
      </w:pPr>
      <w:r>
        <w:rPr>
          <w:vertAlign w:val="baseline"/>
        </w:rPr>
        <w:t xml:space="preserve"> </w:t>
      </w:r>
      <w:r>
        <w:br/>
      </w:r>
    </w:p>
    <w:p>
      <w:pPr>
        <w:jc w:val="both"/>
      </w:pPr>
      <w:r>
        <w:rPr>
          <w:vertAlign w:val="baseline"/>
        </w:rPr>
        <w:t xml:space="preserve">A bíróság által megállapított tények: </w:t>
      </w:r>
    </w:p>
    <w:p>
      <w:pPr>
        <w:jc w:val="left"/>
      </w:pPr>
      <w:r>
        <w:rPr>
          <w:vertAlign w:val="baseline"/>
        </w:rPr>
        <w:t xml:space="preserve"> </w:t>
      </w:r>
      <w:r>
        <w:br/>
      </w:r>
    </w:p>
    <w:p>
      <w:pPr>
        <w:jc w:val="both"/>
      </w:pPr>
      <w:r>
        <w:rPr>
          <w:vertAlign w:val="baseline"/>
        </w:rPr>
        <w:t xml:space="preserve">A felperes alapítványi formában működő szervezet. Alapító </w:t>
      </w:r>
      <w:r>
        <w:rPr>
          <w:vertAlign w:val="baseline"/>
        </w:rPr>
        <w:t xml:space="preserve">Okiratának</w:t>
      </w:r>
      <w:r>
        <w:rPr>
          <w:vertAlign w:val="baseline"/>
        </w:rPr>
        <w:t xml:space="preserve"> 1./ pontja értelmében az </w:t>
      </w:r>
      <w:r>
        <w:rPr>
          <w:vertAlign w:val="baseline"/>
        </w:rPr>
        <w:t xml:space="preserve">Alapítvány</w:t>
      </w:r>
      <w:r>
        <w:rPr>
          <w:vertAlign w:val="baseline"/>
        </w:rPr>
        <w:t xml:space="preserve"> neve „</w:t>
      </w:r>
      <w:r>
        <w:rPr>
          <w:vertAlign w:val="baseline"/>
        </w:rPr>
        <w:t xml:space="preserve">felperes1</w:t>
      </w:r>
      <w:r>
        <w:rPr>
          <w:vertAlign w:val="baseline"/>
        </w:rPr>
        <w:t xml:space="preserve">”, angol neve „</w:t>
      </w:r>
      <w:r>
        <w:rPr>
          <w:vertAlign w:val="baseline"/>
        </w:rPr>
        <w:t xml:space="preserve">felperes1 angol neve</w:t>
      </w:r>
      <w:r>
        <w:rPr>
          <w:vertAlign w:val="baseline"/>
        </w:rPr>
        <w:t xml:space="preserve">”. A 3./ pontban rögzítetten az </w:t>
      </w:r>
      <w:r>
        <w:rPr>
          <w:vertAlign w:val="baseline"/>
        </w:rPr>
        <w:t xml:space="preserve">Alapítvány</w:t>
      </w:r>
      <w:r>
        <w:rPr>
          <w:vertAlign w:val="baseline"/>
        </w:rPr>
        <w:t xml:space="preserve"> célja: </w:t>
      </w:r>
    </w:p>
    <w:p>
      <w:pPr>
        <w:jc w:val="both"/>
      </w:pPr>
      <w:r>
        <w:rPr>
          <w:vertAlign w:val="baseline"/>
        </w:rPr>
        <w:t xml:space="preserve">Az </w:t>
      </w:r>
      <w:r>
        <w:rPr>
          <w:vertAlign w:val="baseline"/>
        </w:rPr>
        <w:t xml:space="preserve">Alapítvánnyal</w:t>
      </w:r>
      <w:r>
        <w:rPr>
          <w:vertAlign w:val="baseline"/>
        </w:rPr>
        <w:t xml:space="preserve"> az </w:t>
      </w:r>
      <w:r>
        <w:rPr>
          <w:vertAlign w:val="baseline"/>
        </w:rPr>
        <w:t xml:space="preserve">Alapító</w:t>
      </w:r>
      <w:r>
        <w:rPr>
          <w:vertAlign w:val="baseline"/>
        </w:rPr>
        <w:t xml:space="preserve"> ösztönözni és támogatni kívánja: </w:t>
      </w:r>
    </w:p>
    <w:p>
      <w:pPr>
        <w:jc w:val="both"/>
      </w:pPr>
      <w:r>
        <w:rPr>
          <w:vertAlign w:val="baseline"/>
        </w:rPr>
        <w:t xml:space="preserve">az egyéni és közösségi formában termelő magánszemélyek és érdekközösségek termelési és értékesítési biztonságát javító és növelő tevékenységeket és szervezeti formák (kül- és belföldi) létrehozását; </w:t>
      </w:r>
    </w:p>
    <w:p>
      <w:pPr>
        <w:jc w:val="both"/>
      </w:pPr>
      <w:r>
        <w:rPr>
          <w:vertAlign w:val="baseline"/>
        </w:rPr>
        <w:t xml:space="preserve">a természet- és környezetbarát, valamint a biotechnológiák és technikák elterjesztését, </w:t>
      </w:r>
    </w:p>
    <w:p>
      <w:pPr>
        <w:jc w:val="both"/>
      </w:pPr>
      <w:r>
        <w:rPr>
          <w:vertAlign w:val="baseline"/>
        </w:rPr>
        <w:t xml:space="preserve">a korszerű és hatékony termeléshez, értékesítéshez szükséges kutatási és fejlesztési tevékenységeket, valamint a marketing- és managerképzést, </w:t>
      </w:r>
    </w:p>
    <w:p>
      <w:pPr>
        <w:jc w:val="both"/>
      </w:pPr>
      <w:r>
        <w:rPr>
          <w:vertAlign w:val="baseline"/>
        </w:rPr>
        <w:t xml:space="preserve">új munkahelyek teremtését, valamint a munkaadók és munkavállalók közötti információáramlást. </w:t>
      </w:r>
    </w:p>
    <w:p>
      <w:pPr>
        <w:jc w:val="both"/>
      </w:pPr>
      <w:r>
        <w:rPr>
          <w:vertAlign w:val="baseline"/>
        </w:rPr>
        <w:t xml:space="preserve">Finanszírozni kívánja a fentiekhez szükséges információk gyűjtését. </w:t>
      </w:r>
    </w:p>
    <w:p>
      <w:pPr>
        <w:jc w:val="both"/>
      </w:pPr>
      <w:r>
        <w:rPr>
          <w:vertAlign w:val="baseline"/>
        </w:rPr>
        <w:t xml:space="preserve">Anyagi támogatást kíván nyújtani továbbképzések, tanfolyamok, ösztöndíjak és külföldi tanulmányutak megvalósításához. </w:t>
      </w:r>
    </w:p>
    <w:p>
      <w:pPr>
        <w:jc w:val="both"/>
      </w:pPr>
      <w:r>
        <w:rPr>
          <w:vertAlign w:val="baseline"/>
        </w:rPr>
        <w:t xml:space="preserve">Meg kívánja teremteni a mezőgazdasági és élelmiszeripari termelők és vásárlók közvetlen piaci kapcsolatainak feltételeit, alternatív értékesítési lehetőségek útján.</w:t>
      </w:r>
    </w:p>
    <w:p>
      <w:pPr>
        <w:jc w:val="both"/>
      </w:pPr>
      <w:r>
        <w:rPr>
          <w:vertAlign w:val="baseline"/>
        </w:rPr>
        <w:t xml:space="preserve">Valamint a piaci monopóliumok és monopóliumhelyzetek megszüntetését kívánja a rendelkezésre álló eszközökkel támogatni a közvetlen termelői és fogyasztói kapcsolatok megteremtése útján, a verseny biztosítása érdekébe. </w:t>
      </w:r>
    </w:p>
    <w:p>
      <w:pPr>
        <w:jc w:val="both"/>
      </w:pPr>
      <w:r>
        <w:rPr>
          <w:vertAlign w:val="baseline"/>
        </w:rPr>
        <w:t xml:space="preserve">A 4./ pont az </w:t>
      </w:r>
      <w:r>
        <w:rPr>
          <w:vertAlign w:val="baseline"/>
        </w:rPr>
        <w:t xml:space="preserve">Alapítvány</w:t>
      </w:r>
      <w:r>
        <w:rPr>
          <w:vertAlign w:val="baseline"/>
        </w:rPr>
        <w:t xml:space="preserve"> vagyonát akként határozta meg, hogy az az alapítók által alaptőkeként a következők szerint rendelkezésre bocsátott készpénz: </w:t>
      </w:r>
      <w:r>
        <w:rPr>
          <w:vertAlign w:val="baseline"/>
        </w:rPr>
        <w:t xml:space="preserve">tanú1</w:t>
      </w:r>
      <w:r>
        <w:rPr>
          <w:vertAlign w:val="baseline"/>
        </w:rPr>
        <w:t xml:space="preserve"> </w:t>
      </w:r>
      <w:r>
        <w:rPr>
          <w:vertAlign w:val="baseline"/>
        </w:rPr>
        <w:t xml:space="preserve">10.000,-</w:t>
      </w:r>
      <w:r>
        <w:rPr>
          <w:vertAlign w:val="baseline"/>
        </w:rPr>
        <w:t xml:space="preserve"> forint, </w:t>
      </w:r>
      <w:r>
        <w:rPr>
          <w:vertAlign w:val="baseline"/>
        </w:rPr>
        <w:t xml:space="preserve">bank1</w:t>
      </w:r>
      <w:r>
        <w:rPr>
          <w:vertAlign w:val="baseline"/>
        </w:rPr>
        <w:t xml:space="preserve"> </w:t>
      </w:r>
      <w:r>
        <w:rPr>
          <w:vertAlign w:val="baseline"/>
        </w:rPr>
        <w:t xml:space="preserve">5.000.000,-</w:t>
      </w:r>
      <w:r>
        <w:rPr>
          <w:vertAlign w:val="baseline"/>
        </w:rPr>
        <w:t xml:space="preserve"> forint, </w:t>
      </w:r>
      <w:r>
        <w:rPr>
          <w:vertAlign w:val="baseline"/>
        </w:rPr>
        <w:t xml:space="preserve">párt1</w:t>
      </w:r>
      <w:r>
        <w:rPr>
          <w:vertAlign w:val="baseline"/>
        </w:rPr>
        <w:t xml:space="preserve"> </w:t>
      </w:r>
      <w:r>
        <w:rPr>
          <w:vertAlign w:val="baseline"/>
        </w:rPr>
        <w:t xml:space="preserve">1.000.000,-</w:t>
      </w:r>
      <w:r>
        <w:rPr>
          <w:vertAlign w:val="baseline"/>
        </w:rPr>
        <w:t xml:space="preserve"> forint. E pont azt is rögzítette, hogy az </w:t>
      </w:r>
      <w:r>
        <w:rPr>
          <w:vertAlign w:val="baseline"/>
        </w:rPr>
        <w:t xml:space="preserve">Alapítvány</w:t>
      </w:r>
      <w:r>
        <w:rPr>
          <w:vertAlign w:val="baseline"/>
        </w:rPr>
        <w:t xml:space="preserve"> alaptőkéjének legfeljebb 49%-át fordíthatja vállalkozásokra. Gazdálkodása keretében meghatározott hozadékú, vagy kamatmentes finanszírozást vállalhat, illetve vissza nem térítendő támogatást nyújthat. </w:t>
      </w:r>
    </w:p>
    <w:p>
      <w:pPr>
        <w:jc w:val="left"/>
      </w:pPr>
      <w:r>
        <w:rPr>
          <w:vertAlign w:val="baseline"/>
        </w:rPr>
        <w:t xml:space="preserve"> </w:t>
      </w:r>
      <w:r>
        <w:br/>
      </w:r>
    </w:p>
    <w:p>
      <w:pPr>
        <w:jc w:val="both"/>
      </w:pPr>
      <w:r>
        <w:rPr>
          <w:vertAlign w:val="baseline"/>
        </w:rPr>
        <w:t xml:space="preserve">A felperes 1989-től 2012. december 31-ig üzemeltette a </w:t>
      </w:r>
      <w:r>
        <w:rPr>
          <w:vertAlign w:val="baseline"/>
        </w:rPr>
        <w:t xml:space="preserve">Budapest,</w:t>
      </w:r>
      <w:r>
        <w:rPr>
          <w:vertAlign w:val="baseline"/>
        </w:rPr>
        <w:t xml:space="preserve"> </w:t>
      </w:r>
      <w:r>
        <w:rPr>
          <w:vertAlign w:val="baseline"/>
        </w:rPr>
        <w:t xml:space="preserve">kerület1</w:t>
      </w:r>
      <w:r>
        <w:rPr>
          <w:vertAlign w:val="baseline"/>
        </w:rPr>
        <w:t xml:space="preserve"> </w:t>
      </w:r>
      <w:r>
        <w:rPr>
          <w:vertAlign w:val="baseline"/>
        </w:rPr>
        <w:t xml:space="preserve">út1</w:t>
      </w:r>
      <w:r>
        <w:rPr>
          <w:vertAlign w:val="baseline"/>
        </w:rPr>
        <w:t xml:space="preserve"> úti ún. </w:t>
      </w:r>
      <w:r>
        <w:rPr>
          <w:vertAlign w:val="baseline"/>
        </w:rPr>
        <w:t xml:space="preserve">párt1</w:t>
      </w:r>
      <w:r>
        <w:rPr>
          <w:vertAlign w:val="baseline"/>
        </w:rPr>
        <w:t xml:space="preserve"> piacot </w:t>
      </w:r>
      <w:r>
        <w:rPr>
          <w:vertAlign w:val="baseline"/>
        </w:rPr>
        <w:t xml:space="preserve">út1</w:t>
      </w:r>
      <w:r>
        <w:rPr>
          <w:vertAlign w:val="baseline"/>
        </w:rPr>
        <w:t xml:space="preserve"> úti </w:t>
      </w:r>
      <w:r>
        <w:rPr>
          <w:vertAlign w:val="baseline"/>
        </w:rPr>
        <w:t xml:space="preserve">Heti Vásár</w:t>
      </w:r>
      <w:r>
        <w:rPr>
          <w:vertAlign w:val="baseline"/>
        </w:rPr>
        <w:t xml:space="preserve"> néven. A vásár területe, a </w:t>
      </w:r>
      <w:r>
        <w:rPr>
          <w:vertAlign w:val="baseline"/>
        </w:rPr>
        <w:t xml:space="preserve">út1</w:t>
      </w:r>
      <w:r>
        <w:rPr>
          <w:vertAlign w:val="baseline"/>
        </w:rPr>
        <w:t xml:space="preserve"> úti rendelőintézet előtti 2.359 m2 nagyságú parkoló Budapest Főváros </w:t>
      </w:r>
      <w:r>
        <w:rPr>
          <w:vertAlign w:val="baseline"/>
        </w:rPr>
        <w:t xml:space="preserve">kerület1</w:t>
      </w:r>
      <w:r>
        <w:rPr>
          <w:vertAlign w:val="baseline"/>
        </w:rPr>
        <w:t xml:space="preserve"> </w:t>
      </w:r>
      <w:r>
        <w:rPr>
          <w:vertAlign w:val="baseline"/>
        </w:rPr>
        <w:t xml:space="preserve">önkormányzat1</w:t>
      </w:r>
      <w:r>
        <w:rPr>
          <w:vertAlign w:val="baseline"/>
        </w:rPr>
        <w:t xml:space="preserve">a (a per korábbi I. rendű alperese, a továbbiakban: </w:t>
      </w:r>
      <w:r>
        <w:rPr>
          <w:vertAlign w:val="baseline"/>
        </w:rPr>
        <w:t xml:space="preserve">Önkormányzat</w:t>
      </w:r>
      <w:r>
        <w:rPr>
          <w:vertAlign w:val="baseline"/>
        </w:rPr>
        <w:t xml:space="preserve">) tulajdonában van. A felperes a piac területét évenként megkötött közterület-felhasználási megállapodás alapján használta.</w:t>
      </w:r>
      <w:r>
        <w:rPr>
          <w:vertAlign w:val="baseline"/>
        </w:rPr>
        <w:t xml:space="preserve">  </w:t>
      </w:r>
    </w:p>
    <w:p>
      <w:pPr>
        <w:jc w:val="left"/>
      </w:pPr>
      <w:r>
        <w:rPr>
          <w:vertAlign w:val="baseline"/>
        </w:rPr>
        <w:t xml:space="preserve"> </w:t>
      </w:r>
      <w:r>
        <w:br/>
      </w:r>
    </w:p>
    <w:p>
      <w:pPr>
        <w:jc w:val="both"/>
      </w:pPr>
      <w:r>
        <w:rPr>
          <w:vertAlign w:val="baseline"/>
        </w:rPr>
        <w:t xml:space="preserve">Budapest Főváros </w:t>
      </w:r>
      <w:r>
        <w:rPr>
          <w:vertAlign w:val="baseline"/>
        </w:rPr>
        <w:t xml:space="preserve">kerület1</w:t>
      </w:r>
      <w:r>
        <w:rPr>
          <w:vertAlign w:val="baseline"/>
        </w:rPr>
        <w:t xml:space="preserve"> </w:t>
      </w:r>
      <w:r>
        <w:rPr>
          <w:vertAlign w:val="baseline"/>
        </w:rPr>
        <w:t xml:space="preserve">önkormányzat1</w:t>
      </w:r>
      <w:r>
        <w:rPr>
          <w:vertAlign w:val="baseline"/>
        </w:rPr>
        <w:t xml:space="preserve"> Polgármesteri Hivatala (a per korábbi </w:t>
      </w:r>
      <w:r>
        <w:rPr>
          <w:vertAlign w:val="baseline"/>
        </w:rPr>
        <w:t xml:space="preserve">III.</w:t>
      </w:r>
      <w:r>
        <w:rPr>
          <w:vertAlign w:val="baseline"/>
        </w:rPr>
        <w:t xml:space="preserve"> rendű alperese, a továbbiakban: </w:t>
      </w:r>
      <w:r>
        <w:rPr>
          <w:vertAlign w:val="baseline"/>
        </w:rPr>
        <w:t xml:space="preserve">Polgármesteri Hivatal</w:t>
      </w:r>
      <w:r>
        <w:rPr>
          <w:vertAlign w:val="baseline"/>
        </w:rPr>
        <w:t xml:space="preserve">) 2012. szeptember 11-én kelt végzésével a vásárokról, a piacokról és a bevásárlóközpontokról szóló </w:t>
      </w:r>
      <w:r>
        <w:rPr>
          <w:vertAlign w:val="baseline"/>
        </w:rPr>
        <w:t xml:space="preserve">55/2009</w:t>
      </w:r>
      <w:r>
        <w:rPr>
          <w:vertAlign w:val="baseline"/>
        </w:rPr>
        <w:t xml:space="preserve">. (III. 13.) </w:t>
      </w:r>
      <w:r>
        <w:rPr>
          <w:vertAlign w:val="baseline"/>
        </w:rPr>
        <w:t xml:space="preserve">Korm.</w:t>
      </w:r>
      <w:r>
        <w:rPr>
          <w:vertAlign w:val="baseline"/>
        </w:rPr>
        <w:t xml:space="preserve"> rendelet 9. §-ára és 7. § (3) bekezdésére hivatkozással adategyeztetés céljából ügyfélként idézte a felperest azzal, hogy az üzemeltetéssel kapcsolatos iratokkal (üzemeltetésre való jogosultságot igazoló irat, érvényes közterület-használati megállapodás, a kereskedőkről vezetett naprakész nyilvántartás térképpel, piacüzemeltetési szabályzat) jelenjen meg a hivatalában.</w:t>
      </w:r>
    </w:p>
    <w:p>
      <w:pPr>
        <w:jc w:val="left"/>
      </w:pPr>
      <w:r>
        <w:rPr>
          <w:vertAlign w:val="baseline"/>
        </w:rPr>
        <w:t xml:space="preserve"> </w:t>
      </w:r>
      <w:r>
        <w:br/>
      </w:r>
    </w:p>
    <w:p>
      <w:pPr>
        <w:jc w:val="both"/>
      </w:pPr>
      <w:r>
        <w:rPr>
          <w:vertAlign w:val="baseline"/>
        </w:rPr>
        <w:t xml:space="preserve">A felperes 2012. december 4-én újabb kérelmet terjesztett elő a közterület használatára a 2013. évre vonatkozóan, azonban az </w:t>
      </w:r>
      <w:r>
        <w:rPr>
          <w:vertAlign w:val="baseline"/>
        </w:rPr>
        <w:t xml:space="preserve">Önkormányzat</w:t>
      </w:r>
      <w:r>
        <w:rPr>
          <w:vertAlign w:val="baseline"/>
        </w:rPr>
        <w:t xml:space="preserve"> a </w:t>
      </w:r>
      <w:r>
        <w:rPr>
          <w:vertAlign w:val="baseline"/>
        </w:rPr>
        <w:t xml:space="preserve">határozatszám1</w:t>
      </w:r>
      <w:r>
        <w:rPr>
          <w:vertAlign w:val="baseline"/>
        </w:rPr>
        <w:t xml:space="preserve"> számú határozatában ehhez nem járult hozzá figyelemmel arra, hogy az adott területre korábban már más kérelmet adott be. A döntés ellen benyújtott felperesi fellebbezést az </w:t>
      </w:r>
      <w:r>
        <w:rPr>
          <w:vertAlign w:val="baseline"/>
        </w:rPr>
        <w:t xml:space="preserve">Önkormányzat</w:t>
      </w:r>
      <w:r>
        <w:rPr>
          <w:vertAlign w:val="baseline"/>
        </w:rPr>
        <w:t xml:space="preserve"> 2013. február 6-án kelt, 48/Ö</w:t>
      </w:r>
      <w:r>
        <w:rPr>
          <w:vertAlign w:val="baseline"/>
        </w:rPr>
        <w:t xml:space="preserve">K/2013</w:t>
      </w:r>
      <w:r>
        <w:rPr>
          <w:vertAlign w:val="baseline"/>
        </w:rPr>
        <w:t xml:space="preserve">. (I.31.) számú határozatával elutasította, egyben tájékoztatta a felperest, hogy az adott közterület használatára a </w:t>
      </w:r>
      <w:r>
        <w:rPr>
          <w:vertAlign w:val="baseline"/>
        </w:rPr>
        <w:t xml:space="preserve">II.</w:t>
      </w:r>
      <w:r>
        <w:rPr>
          <w:vertAlign w:val="baseline"/>
        </w:rPr>
        <w:t xml:space="preserve"> rendű alperes nyújtott be kérelmet 2012. november 26-án, ami alapján közte és a </w:t>
      </w:r>
      <w:r>
        <w:rPr>
          <w:vertAlign w:val="baseline"/>
        </w:rPr>
        <w:t xml:space="preserve">II.</w:t>
      </w:r>
      <w:r>
        <w:rPr>
          <w:vertAlign w:val="baseline"/>
        </w:rPr>
        <w:t xml:space="preserve"> rendű alperes között közterület-használati szerződés jött létre. Ennek értelmében a </w:t>
      </w:r>
      <w:r>
        <w:rPr>
          <w:vertAlign w:val="baseline"/>
        </w:rPr>
        <w:t xml:space="preserve">II.</w:t>
      </w:r>
      <w:r>
        <w:rPr>
          <w:vertAlign w:val="baseline"/>
        </w:rPr>
        <w:t xml:space="preserve"> rendű alperesnek engedélyezte 2013. január 1-től a perbeli közterület használatát, ahol a </w:t>
      </w:r>
      <w:r>
        <w:rPr>
          <w:vertAlign w:val="baseline"/>
        </w:rPr>
        <w:t xml:space="preserve">II.</w:t>
      </w:r>
      <w:r>
        <w:rPr>
          <w:vertAlign w:val="baseline"/>
        </w:rPr>
        <w:t xml:space="preserve"> rendű alperes továbbra is piacot üzemeltetett.</w:t>
      </w:r>
    </w:p>
    <w:p>
      <w:pPr>
        <w:jc w:val="left"/>
      </w:pPr>
      <w:r>
        <w:rPr>
          <w:vertAlign w:val="baseline"/>
        </w:rPr>
        <w:t xml:space="preserve"> </w:t>
      </w:r>
      <w:r>
        <w:br/>
      </w:r>
    </w:p>
    <w:p>
      <w:pPr>
        <w:jc w:val="both"/>
      </w:pPr>
      <w:r>
        <w:rPr>
          <w:vertAlign w:val="baseline"/>
        </w:rPr>
        <w:t xml:space="preserve">A </w:t>
      </w:r>
      <w:r>
        <w:rPr>
          <w:vertAlign w:val="baseline"/>
        </w:rPr>
        <w:t xml:space="preserve">II.</w:t>
      </w:r>
      <w:r>
        <w:rPr>
          <w:vertAlign w:val="baseline"/>
        </w:rPr>
        <w:t xml:space="preserve"> rendű alperes 2012. november 26. és 2012. december 31. napja között szórólapokat osztott ki a piac területén, amellyel az ott működő árusokat arról tájékoztatták, hogy „2013. január 1-től az </w:t>
      </w:r>
      <w:r>
        <w:rPr>
          <w:vertAlign w:val="baseline"/>
        </w:rPr>
        <w:t xml:space="preserve">alperes1</w:t>
      </w:r>
      <w:r>
        <w:rPr>
          <w:vertAlign w:val="baseline"/>
        </w:rPr>
        <w:t xml:space="preserve"> veszi át az </w:t>
      </w:r>
      <w:r>
        <w:rPr>
          <w:vertAlign w:val="baseline"/>
        </w:rPr>
        <w:t xml:space="preserve">párt1</w:t>
      </w:r>
      <w:r>
        <w:rPr>
          <w:vertAlign w:val="baseline"/>
        </w:rPr>
        <w:t xml:space="preserve"> piacok üzemeltetését, változatlan nyitvatartási rend mellett”. Megkérték a bérlőket, hogy a 2013. január 5-én tartandó piacra hozzák magukkal vagy adják le a piacfelügyelőnek a szükséges irataikat. A </w:t>
      </w:r>
      <w:r>
        <w:rPr>
          <w:vertAlign w:val="baseline"/>
        </w:rPr>
        <w:t xml:space="preserve">II.</w:t>
      </w:r>
      <w:r>
        <w:rPr>
          <w:vertAlign w:val="baseline"/>
        </w:rPr>
        <w:t xml:space="preserve"> rendű alperes 2013. január 1-jétől 2017. december 31-ig üzemeltette a piacot. </w:t>
      </w:r>
    </w:p>
    <w:p>
      <w:pPr>
        <w:jc w:val="left"/>
      </w:pPr>
      <w:r>
        <w:rPr>
          <w:vertAlign w:val="baseline"/>
        </w:rPr>
        <w:t xml:space="preserve"> </w:t>
      </w:r>
      <w:r>
        <w:br/>
      </w:r>
    </w:p>
    <w:p>
      <w:pPr>
        <w:jc w:val="both"/>
      </w:pPr>
      <w:r>
        <w:rPr>
          <w:vertAlign w:val="baseline"/>
        </w:rPr>
        <w:t xml:space="preserve">A felperes 2013. január 22-én ügyvédi felszólítással fordult a </w:t>
      </w:r>
      <w:r>
        <w:rPr>
          <w:vertAlign w:val="baseline"/>
        </w:rPr>
        <w:t xml:space="preserve">II.</w:t>
      </w:r>
      <w:r>
        <w:rPr>
          <w:vertAlign w:val="baseline"/>
        </w:rPr>
        <w:t xml:space="preserve"> rendű alperes felé, melyben </w:t>
      </w:r>
      <w:r>
        <w:rPr>
          <w:vertAlign w:val="baseline"/>
        </w:rPr>
        <w:t xml:space="preserve">18.000.000,-</w:t>
      </w:r>
      <w:r>
        <w:rPr>
          <w:vertAlign w:val="baseline"/>
        </w:rPr>
        <w:t xml:space="preserve"> forintban határozta meg a </w:t>
      </w:r>
      <w:r>
        <w:rPr>
          <w:vertAlign w:val="baseline"/>
        </w:rPr>
        <w:t xml:space="preserve">II.</w:t>
      </w:r>
      <w:r>
        <w:rPr>
          <w:vertAlign w:val="baseline"/>
        </w:rPr>
        <w:t xml:space="preserve"> rendű alperes által neki okozott károk összegét a versenyjogi szabályokat sértő jogellenes cselekménysorozat, a heti vásár jogosulatlan átvétele miatt. A </w:t>
      </w:r>
      <w:r>
        <w:rPr>
          <w:vertAlign w:val="baseline"/>
        </w:rPr>
        <w:t xml:space="preserve">II.</w:t>
      </w:r>
      <w:r>
        <w:rPr>
          <w:vertAlign w:val="baseline"/>
        </w:rPr>
        <w:t xml:space="preserve"> rendű alperes a levélre 2018. február 2-ai keltezéssel elutasító választ adott. </w:t>
      </w:r>
    </w:p>
    <w:p>
      <w:pPr>
        <w:jc w:val="left"/>
      </w:pPr>
      <w:r>
        <w:rPr>
          <w:vertAlign w:val="baseline"/>
        </w:rPr>
        <w:t xml:space="preserve"> </w:t>
      </w:r>
      <w:r>
        <w:br/>
      </w:r>
    </w:p>
    <w:p>
      <w:pPr>
        <w:jc w:val="both"/>
      </w:pPr>
      <w:r>
        <w:rPr>
          <w:vertAlign w:val="baseline"/>
        </w:rPr>
        <w:t xml:space="preserve">A felperes 2018. július 25-én nyújtotta be keresetlevelét a </w:t>
      </w:r>
      <w:r>
        <w:rPr>
          <w:vertAlign w:val="baseline"/>
        </w:rPr>
        <w:t xml:space="preserve">Fővárosi Törvényszéken,</w:t>
      </w:r>
      <w:r>
        <w:rPr>
          <w:vertAlign w:val="baseline"/>
        </w:rPr>
        <w:t xml:space="preserve"> melyben az </w:t>
      </w:r>
      <w:r>
        <w:rPr>
          <w:vertAlign w:val="baseline"/>
        </w:rPr>
        <w:t xml:space="preserve">Önkormányzat</w:t>
      </w:r>
      <w:r>
        <w:rPr>
          <w:vertAlign w:val="baseline"/>
        </w:rPr>
        <w:t xml:space="preserve"> I. rendű alperessel, a </w:t>
      </w:r>
      <w:r>
        <w:rPr>
          <w:vertAlign w:val="baseline"/>
        </w:rPr>
        <w:t xml:space="preserve">II.</w:t>
      </w:r>
      <w:r>
        <w:rPr>
          <w:vertAlign w:val="baseline"/>
        </w:rPr>
        <w:t xml:space="preserve"> rendű alperessel, valamint a </w:t>
      </w:r>
      <w:r>
        <w:rPr>
          <w:vertAlign w:val="baseline"/>
        </w:rPr>
        <w:t xml:space="preserve">Polgármesteri Hivatal III.</w:t>
      </w:r>
      <w:r>
        <w:rPr>
          <w:vertAlign w:val="baseline"/>
        </w:rPr>
        <w:t xml:space="preserve"> rendű alperessel szemben terjesztett elő keresetet az 1996. évi </w:t>
      </w:r>
      <w:r>
        <w:rPr>
          <w:vertAlign w:val="baseline"/>
        </w:rPr>
        <w:t xml:space="preserve">XVII.</w:t>
      </w:r>
      <w:r>
        <w:rPr>
          <w:vertAlign w:val="baseline"/>
        </w:rPr>
        <w:t xml:space="preserve"> törvény (a továbbiakban: </w:t>
      </w:r>
      <w:r>
        <w:rPr>
          <w:vertAlign w:val="baseline"/>
        </w:rPr>
        <w:t xml:space="preserve">Tpvt.</w:t>
      </w:r>
      <w:r>
        <w:rPr>
          <w:vertAlign w:val="baseline"/>
        </w:rPr>
        <w:t xml:space="preserve">) egyes rendelkezéseire alapítottan. A bíróság a 2021. március 9-én meghozott, </w:t>
      </w:r>
      <w:r>
        <w:rPr>
          <w:vertAlign w:val="baseline"/>
        </w:rPr>
        <w:t xml:space="preserve">10.G.42.160/2018/77</w:t>
      </w:r>
      <w:r>
        <w:rPr>
          <w:vertAlign w:val="baseline"/>
        </w:rPr>
        <w:t xml:space="preserve">. számú ítéletével a keresetet elutasította.</w:t>
      </w:r>
    </w:p>
    <w:p>
      <w:pPr>
        <w:jc w:val="left"/>
      </w:pPr>
      <w:r>
        <w:rPr>
          <w:vertAlign w:val="baseline"/>
        </w:rPr>
        <w:t xml:space="preserve"> </w:t>
      </w:r>
      <w:r>
        <w:br/>
      </w:r>
    </w:p>
    <w:p>
      <w:pPr>
        <w:jc w:val="both"/>
      </w:pPr>
      <w:r>
        <w:rPr>
          <w:vertAlign w:val="baseline"/>
        </w:rPr>
        <w:t xml:space="preserve">A felperes fellebbezése folytán eljáró </w:t>
      </w:r>
      <w:r>
        <w:rPr>
          <w:vertAlign w:val="baseline"/>
        </w:rPr>
        <w:t xml:space="preserve">Fővárosi Ítélőtábla,</w:t>
      </w:r>
      <w:r>
        <w:rPr>
          <w:vertAlign w:val="baseline"/>
        </w:rPr>
        <w:t xml:space="preserve"> mint másodfokú bíróság a 2021. október 13-án meghozott, </w:t>
      </w:r>
      <w:r>
        <w:rPr>
          <w:vertAlign w:val="baseline"/>
        </w:rPr>
        <w:t xml:space="preserve">20.Gf.40.123/2021/15</w:t>
      </w:r>
      <w:r>
        <w:rPr>
          <w:vertAlign w:val="baseline"/>
        </w:rPr>
        <w:t xml:space="preserve">/II. részítéletével az első fokú bíróság ítéletét az I. és a </w:t>
      </w:r>
      <w:r>
        <w:rPr>
          <w:vertAlign w:val="baseline"/>
        </w:rPr>
        <w:t xml:space="preserve">III.</w:t>
      </w:r>
      <w:r>
        <w:rPr>
          <w:vertAlign w:val="baseline"/>
        </w:rPr>
        <w:t xml:space="preserve"> rendű alperesek tekintetében – a perköltségre is kiterjedően – helybenhagyta; a </w:t>
      </w:r>
      <w:r>
        <w:rPr>
          <w:vertAlign w:val="baseline"/>
        </w:rPr>
        <w:t xml:space="preserve">II.</w:t>
      </w:r>
      <w:r>
        <w:rPr>
          <w:vertAlign w:val="baseline"/>
        </w:rPr>
        <w:t xml:space="preserve"> rendű alperesre vonatkozóan részben megváltoztatta és megállapította, hogy a </w:t>
      </w:r>
      <w:r>
        <w:rPr>
          <w:vertAlign w:val="baseline"/>
        </w:rPr>
        <w:t xml:space="preserve">II.</w:t>
      </w:r>
      <w:r>
        <w:rPr>
          <w:vertAlign w:val="baseline"/>
        </w:rPr>
        <w:t xml:space="preserve"> rendű alperes az üzleti tisztesség követelményeibe ütköző magatartást tanúsított azzal, hogy 2012. november 26. és december 31. közötti időszakban szórólapozással és a piacon jelenlévő árusok közvetlen megkeresésével toborozta a </w:t>
      </w:r>
      <w:r>
        <w:rPr>
          <w:vertAlign w:val="baseline"/>
        </w:rPr>
        <w:t xml:space="preserve">Budapest,</w:t>
      </w:r>
      <w:r>
        <w:rPr>
          <w:vertAlign w:val="baseline"/>
        </w:rPr>
        <w:t xml:space="preserve"> </w:t>
      </w:r>
      <w:r>
        <w:rPr>
          <w:vertAlign w:val="baseline"/>
        </w:rPr>
        <w:t xml:space="preserve">III.</w:t>
      </w:r>
      <w:r>
        <w:rPr>
          <w:vertAlign w:val="baseline"/>
        </w:rPr>
        <w:t xml:space="preserve"> </w:t>
      </w:r>
      <w:r>
        <w:rPr>
          <w:vertAlign w:val="baseline"/>
        </w:rPr>
        <w:t xml:space="preserve">út1</w:t>
      </w:r>
      <w:r>
        <w:rPr>
          <w:vertAlign w:val="baseline"/>
        </w:rPr>
        <w:t xml:space="preserve"> úton felperes által üzemeltetett piac szereplőit a saját maga által üzemeltetni piacon való részvételre; továbbá 2013. január 1-től 2017. december 31-ig úgy üzemeltetett a felperes által üzemeltetett heti vásárt, hogy ehhez engedély nélkül felhasználta a felperes kapcsolatrendszerét és tevékenységének eredményeit. A </w:t>
      </w:r>
      <w:r>
        <w:rPr>
          <w:vertAlign w:val="baseline"/>
        </w:rPr>
        <w:t xml:space="preserve">II.</w:t>
      </w:r>
      <w:r>
        <w:rPr>
          <w:vertAlign w:val="baseline"/>
        </w:rPr>
        <w:t xml:space="preserve"> rendű alperessel szembeni kártérítési kereset vonatkozásában – a perköltségre is kiterjedően – az elsőfokú bíróság ítéletét hatályon kívül helyezte és ebben a körben az elsőfokú bíróságot a per újabb tárgyalására és újabb határozathozatalára utasította; egyebekben a </w:t>
      </w:r>
      <w:r>
        <w:rPr>
          <w:vertAlign w:val="baseline"/>
        </w:rPr>
        <w:t xml:space="preserve">II.</w:t>
      </w:r>
      <w:r>
        <w:rPr>
          <w:vertAlign w:val="baseline"/>
        </w:rPr>
        <w:t xml:space="preserve"> rendű alperessel szembeni elutasító rendelkezést helybenhagyta. Kötelezte a felperest, hogy 15 napon belül fizesse meg az I. és </w:t>
      </w:r>
      <w:r>
        <w:rPr>
          <w:vertAlign w:val="baseline"/>
        </w:rPr>
        <w:t xml:space="preserve">III.</w:t>
      </w:r>
      <w:r>
        <w:rPr>
          <w:vertAlign w:val="baseline"/>
        </w:rPr>
        <w:t xml:space="preserve"> rendű alperesnek személyenként </w:t>
      </w:r>
      <w:r>
        <w:rPr>
          <w:vertAlign w:val="baseline"/>
        </w:rPr>
        <w:t xml:space="preserve">50.000,-</w:t>
      </w:r>
      <w:r>
        <w:rPr>
          <w:vertAlign w:val="baseline"/>
        </w:rPr>
        <w:t xml:space="preserve"> forint + áfa ügyvédi munkadíjból álló másodfokú perköltséget. Megállapította, hogy a másodfokú eljárásban a felperesnek </w:t>
      </w:r>
      <w:r>
        <w:rPr>
          <w:vertAlign w:val="baseline"/>
        </w:rPr>
        <w:t xml:space="preserve">100.000,-</w:t>
      </w:r>
      <w:r>
        <w:rPr>
          <w:vertAlign w:val="baseline"/>
        </w:rPr>
        <w:t xml:space="preserve"> forint + áfa, a </w:t>
      </w:r>
      <w:r>
        <w:rPr>
          <w:vertAlign w:val="baseline"/>
        </w:rPr>
        <w:t xml:space="preserve">II.</w:t>
      </w:r>
      <w:r>
        <w:rPr>
          <w:vertAlign w:val="baseline"/>
        </w:rPr>
        <w:t xml:space="preserve"> rendű alperesnek </w:t>
      </w:r>
      <w:r>
        <w:rPr>
          <w:vertAlign w:val="baseline"/>
        </w:rPr>
        <w:t xml:space="preserve">50.000,-</w:t>
      </w:r>
      <w:r>
        <w:rPr>
          <w:vertAlign w:val="baseline"/>
        </w:rPr>
        <w:t xml:space="preserve"> forint + áfa ügyvédi munkadíjból álló költsége, valamint </w:t>
      </w:r>
      <w:r>
        <w:rPr>
          <w:vertAlign w:val="baseline"/>
        </w:rPr>
        <w:t xml:space="preserve">1.784.000,-</w:t>
      </w:r>
      <w:r>
        <w:rPr>
          <w:vertAlign w:val="baseline"/>
        </w:rPr>
        <w:t xml:space="preserve"> forint le nem rótt fellebbezési illeték merült fel. </w:t>
      </w:r>
    </w:p>
    <w:p>
      <w:pPr>
        <w:jc w:val="left"/>
      </w:pPr>
      <w:r>
        <w:rPr>
          <w:vertAlign w:val="baseline"/>
        </w:rPr>
        <w:t xml:space="preserve"> </w:t>
      </w:r>
      <w:r>
        <w:br/>
      </w:r>
    </w:p>
    <w:p>
      <w:pPr>
        <w:jc w:val="both"/>
      </w:pPr>
      <w:r>
        <w:rPr>
          <w:vertAlign w:val="baseline"/>
        </w:rPr>
        <w:t xml:space="preserve">A </w:t>
      </w:r>
      <w:r>
        <w:rPr>
          <w:vertAlign w:val="baseline"/>
        </w:rPr>
        <w:t xml:space="preserve">II.</w:t>
      </w:r>
      <w:r>
        <w:rPr>
          <w:vertAlign w:val="baseline"/>
        </w:rPr>
        <w:t xml:space="preserve"> rendű alperes jogerős részítélettel szembeni felülvizsgálati kérelme folytán eljáró </w:t>
      </w:r>
      <w:r>
        <w:rPr>
          <w:vertAlign w:val="baseline"/>
        </w:rPr>
        <w:t xml:space="preserve">Kúria,</w:t>
      </w:r>
      <w:r>
        <w:rPr>
          <w:vertAlign w:val="baseline"/>
        </w:rPr>
        <w:t xml:space="preserve"> mint felülvizsgálati bíróság a 2023. január 25-én meghozott, </w:t>
      </w:r>
      <w:r>
        <w:rPr>
          <w:vertAlign w:val="baseline"/>
        </w:rPr>
        <w:t xml:space="preserve">Gfv.VI.30.156/2022/9</w:t>
      </w:r>
      <w:r>
        <w:rPr>
          <w:vertAlign w:val="baseline"/>
        </w:rPr>
        <w:t xml:space="preserve">. számú részítéletével a jogerős részítéletet – a felülvizsgálati kérelemmel támadott részében – részben hatályon kívül helyezte, és az elsőfokú bíróság ítéletének a </w:t>
      </w:r>
      <w:r>
        <w:rPr>
          <w:vertAlign w:val="baseline"/>
        </w:rPr>
        <w:t xml:space="preserve">II.</w:t>
      </w:r>
      <w:r>
        <w:rPr>
          <w:vertAlign w:val="baseline"/>
        </w:rPr>
        <w:t xml:space="preserve"> rendű alperes 2012. november 26. és december 31. közötti időszakban szórólapozással és toborzással tanúsított magatartásának az üzleti tisztesség követelményeibe ütköző megállapítására irányuló keresetet elutasító rendelkezését helybenhagyta. Egyebekben a jogerős részítélet felülvizsgálati kérelemmel támadott rendelkezését hatályában fenntartotta. Kötelezte a felperest, hogy 15 napon belül fizesse meg a </w:t>
      </w:r>
      <w:r>
        <w:rPr>
          <w:vertAlign w:val="baseline"/>
        </w:rPr>
        <w:t xml:space="preserve">II.</w:t>
      </w:r>
      <w:r>
        <w:rPr>
          <w:vertAlign w:val="baseline"/>
        </w:rPr>
        <w:t xml:space="preserve"> rendű alperesnek </w:t>
      </w:r>
      <w:r>
        <w:rPr>
          <w:vertAlign w:val="baseline"/>
        </w:rPr>
        <w:t xml:space="preserve">35.000,-</w:t>
      </w:r>
      <w:r>
        <w:rPr>
          <w:vertAlign w:val="baseline"/>
        </w:rPr>
        <w:t xml:space="preserve"> forint felülvizsgálati eljárási költséget. Megállapította, hogy a felperes és a </w:t>
      </w:r>
      <w:r>
        <w:rPr>
          <w:vertAlign w:val="baseline"/>
        </w:rPr>
        <w:t xml:space="preserve">II.</w:t>
      </w:r>
      <w:r>
        <w:rPr>
          <w:vertAlign w:val="baseline"/>
        </w:rPr>
        <w:t xml:space="preserve"> rendű alperes az ezt meghaladóan felmerült költségeiket maguk viselik. </w:t>
      </w:r>
    </w:p>
    <w:p>
      <w:pPr>
        <w:jc w:val="left"/>
      </w:pPr>
      <w:r>
        <w:rPr>
          <w:vertAlign w:val="baseline"/>
        </w:rPr>
        <w:t xml:space="preserve"> </w:t>
      </w:r>
      <w:r>
        <w:br/>
      </w:r>
    </w:p>
    <w:p>
      <w:pPr>
        <w:jc w:val="both"/>
      </w:pPr>
      <w:r>
        <w:rPr>
          <w:vertAlign w:val="baseline"/>
        </w:rPr>
        <w:t xml:space="preserve">Felperes per tárgyára vonatkozó kérelme, illetve nyilatkozata és azok alapjának ismertetése:</w:t>
      </w:r>
    </w:p>
    <w:p>
      <w:pPr>
        <w:jc w:val="left"/>
      </w:pPr>
      <w:r>
        <w:rPr>
          <w:vertAlign w:val="baseline"/>
        </w:rPr>
        <w:t xml:space="preserve"> </w:t>
      </w:r>
      <w:r>
        <w:br/>
      </w:r>
    </w:p>
    <w:p>
      <w:pPr>
        <w:jc w:val="both"/>
      </w:pPr>
      <w:r>
        <w:rPr>
          <w:vertAlign w:val="baseline"/>
        </w:rPr>
        <w:t xml:space="preserve">Felperes az alapeljárás során előterjesztett keresetében annak megállapítását kérte a </w:t>
      </w:r>
      <w:r>
        <w:rPr>
          <w:vertAlign w:val="baseline"/>
        </w:rPr>
        <w:t xml:space="preserve">Tpvt.</w:t>
      </w:r>
      <w:r>
        <w:rPr>
          <w:vertAlign w:val="baseline"/>
        </w:rPr>
        <w:t xml:space="preserve"> 86. § (2) bekezdés a) pontja alapján, hogy az I. rendű alperes azon magatartásával, hogy kötelezte a kereskedelmi hatósági szervezete útján a piaci árusításban résztvevő partnerek listájának bejelentésére a felperest, a </w:t>
      </w:r>
      <w:r>
        <w:rPr>
          <w:vertAlign w:val="baseline"/>
        </w:rPr>
        <w:t xml:space="preserve">Tpvt.</w:t>
      </w:r>
      <w:r>
        <w:rPr>
          <w:vertAlign w:val="baseline"/>
        </w:rPr>
        <w:t xml:space="preserve"> 4. §-a szerinti üzleti titok jogosulatlan elorzásának jogellenes magatartását követte el. Az I. rendű alperes továbbá azon magatartásával, amely 2010-től kezdődően a közterület-használatba adás és annak ellenőrzése kapcsán módszeresen arra irányult, hogy az általa üzemeltetett heti vásárt ellehetetlenítse, és ennek eredményeként a 2013. február 6-án kelt </w:t>
      </w:r>
      <w:r>
        <w:rPr>
          <w:vertAlign w:val="baseline"/>
        </w:rPr>
        <w:t xml:space="preserve">határozatszám1</w:t>
      </w:r>
      <w:r>
        <w:rPr>
          <w:vertAlign w:val="baseline"/>
        </w:rPr>
        <w:t xml:space="preserve"> számú jogerős határozattal a </w:t>
      </w:r>
      <w:r>
        <w:rPr>
          <w:vertAlign w:val="baseline"/>
        </w:rPr>
        <w:t xml:space="preserve">II.</w:t>
      </w:r>
      <w:r>
        <w:rPr>
          <w:vertAlign w:val="baseline"/>
        </w:rPr>
        <w:t xml:space="preserve"> rendű alperes számára biztosította a közterület-használat jogát, megvalósította a </w:t>
      </w:r>
      <w:r>
        <w:rPr>
          <w:vertAlign w:val="baseline"/>
        </w:rPr>
        <w:t xml:space="preserve">Tpvt.</w:t>
      </w:r>
      <w:r>
        <w:rPr>
          <w:vertAlign w:val="baseline"/>
        </w:rPr>
        <w:t xml:space="preserve"> 2. §-ba ütköző tisztességtelen gazdasági tevékenységet. Kérte annak megállapítását, hogy a </w:t>
      </w:r>
      <w:r>
        <w:rPr>
          <w:vertAlign w:val="baseline"/>
        </w:rPr>
        <w:t xml:space="preserve">II.</w:t>
      </w:r>
      <w:r>
        <w:rPr>
          <w:vertAlign w:val="baseline"/>
        </w:rPr>
        <w:t xml:space="preserve"> rendű alperes azon magatartásával, hogy a 2012. november 26, és 2012. december 31. közötti időszakban megtartott piacokon szórólapozással és más olyan magatartásokkal, amelyek tisztességtelen piaci magatartásnak minősülnek, toborozta a felperes által üzemeltetett piac szereplőit a saját maga által üzemeltetni tervezett piacon való részvételre, megvalósította a </w:t>
      </w:r>
      <w:r>
        <w:rPr>
          <w:vertAlign w:val="baseline"/>
        </w:rPr>
        <w:t xml:space="preserve">Tpvt.</w:t>
      </w:r>
      <w:r>
        <w:rPr>
          <w:vertAlign w:val="baseline"/>
        </w:rPr>
        <w:t xml:space="preserve"> 2. §-ába ütköző tisztességtelen gazdasági tevékenységet, valamint azon magatartásával, hogy úgy üzemeltette tovább a heti vásárt, hogy engedély nélkül felhasználta ehhez a felperes kapcsolatrendszerét, üzleti titkait, és jelentős piaci jóhírnevet elért tevékenységének eredményeit, valamint változatlan profillal, névvel, partnerkörrel és terület-felhasználással üzemelt a piac, megvalósította a </w:t>
      </w:r>
      <w:r>
        <w:rPr>
          <w:vertAlign w:val="baseline"/>
        </w:rPr>
        <w:t xml:space="preserve">Tpvt.</w:t>
      </w:r>
      <w:r>
        <w:rPr>
          <w:vertAlign w:val="baseline"/>
        </w:rPr>
        <w:t xml:space="preserve"> 2. §-ába ütköző tisztességtelen gazdasági tevékenységet, és megsértette a </w:t>
      </w:r>
      <w:r>
        <w:rPr>
          <w:vertAlign w:val="baseline"/>
        </w:rPr>
        <w:t xml:space="preserve">Tpvt.</w:t>
      </w:r>
      <w:r>
        <w:rPr>
          <w:vertAlign w:val="baseline"/>
        </w:rPr>
        <w:t xml:space="preserve"> 6. §-át. A </w:t>
      </w:r>
      <w:r>
        <w:rPr>
          <w:vertAlign w:val="baseline"/>
        </w:rPr>
        <w:t xml:space="preserve">III.</w:t>
      </w:r>
      <w:r>
        <w:rPr>
          <w:vertAlign w:val="baseline"/>
        </w:rPr>
        <w:t xml:space="preserve"> rendű alperes tekintetében kérte, hogy a bíróság a </w:t>
      </w:r>
      <w:r>
        <w:rPr>
          <w:vertAlign w:val="baseline"/>
        </w:rPr>
        <w:t xml:space="preserve">Tpvt.</w:t>
      </w:r>
      <w:r>
        <w:rPr>
          <w:vertAlign w:val="baseline"/>
        </w:rPr>
        <w:t xml:space="preserve"> 86. § (2) bekezdés a) pontja alapján állapítsa meg, hogy azon magatartásával, hogy kötelezte a heti vásár árusításában résztvevő partnerek listájának bejelentésére, és ezen adatokat a </w:t>
      </w:r>
      <w:r>
        <w:rPr>
          <w:vertAlign w:val="baseline"/>
        </w:rPr>
        <w:t xml:space="preserve">II.</w:t>
      </w:r>
      <w:r>
        <w:rPr>
          <w:vertAlign w:val="baseline"/>
        </w:rPr>
        <w:t xml:space="preserve"> rendű alperes részére átadta, a </w:t>
      </w:r>
      <w:r>
        <w:rPr>
          <w:vertAlign w:val="baseline"/>
        </w:rPr>
        <w:t xml:space="preserve">Tpvt.</w:t>
      </w:r>
      <w:r>
        <w:rPr>
          <w:vertAlign w:val="baseline"/>
        </w:rPr>
        <w:t xml:space="preserve"> 4. §-a szerinti, az üzleti titok jogosulatlan elorzásának jogellenes magatartását követte el. Kérte továbbá, hogy a bíróság az alpereseket egyetemlegesen kötelezze </w:t>
      </w:r>
      <w:r>
        <w:rPr>
          <w:vertAlign w:val="baseline"/>
        </w:rPr>
        <w:t xml:space="preserve">22.300.000,-</w:t>
      </w:r>
      <w:r>
        <w:rPr>
          <w:vertAlign w:val="baseline"/>
        </w:rPr>
        <w:t xml:space="preserve"> forint kártérítés és ezen összegnek 2012. december 31. napjától a kifizetésig terjedő időre a késedelemmel érintett naptári félév első napján érvényes jegybanki alapkamat 8%-kal növelt mértékű késedelmi kamatai megfizetésére.</w:t>
      </w:r>
    </w:p>
    <w:p>
      <w:pPr>
        <w:jc w:val="left"/>
      </w:pPr>
      <w:r>
        <w:rPr>
          <w:vertAlign w:val="baseline"/>
        </w:rPr>
        <w:t xml:space="preserve"> </w:t>
      </w:r>
      <w:r>
        <w:br/>
      </w:r>
    </w:p>
    <w:p>
      <w:pPr>
        <w:jc w:val="both"/>
      </w:pPr>
      <w:r>
        <w:rPr>
          <w:vertAlign w:val="baseline"/>
        </w:rPr>
        <w:t xml:space="preserve">Előadta, hogy 1989 óta üzemeltette a Budapest </w:t>
      </w:r>
      <w:r>
        <w:rPr>
          <w:vertAlign w:val="baseline"/>
        </w:rPr>
        <w:t xml:space="preserve">kerület1</w:t>
      </w:r>
      <w:r>
        <w:rPr>
          <w:vertAlign w:val="baseline"/>
        </w:rPr>
        <w:t xml:space="preserve"> </w:t>
      </w:r>
      <w:r>
        <w:rPr>
          <w:vertAlign w:val="baseline"/>
        </w:rPr>
        <w:t xml:space="preserve">út1</w:t>
      </w:r>
      <w:r>
        <w:rPr>
          <w:vertAlign w:val="baseline"/>
        </w:rPr>
        <w:t xml:space="preserve"> úti, úgynevezett </w:t>
      </w:r>
      <w:r>
        <w:rPr>
          <w:vertAlign w:val="baseline"/>
        </w:rPr>
        <w:t xml:space="preserve">párt1</w:t>
      </w:r>
      <w:r>
        <w:rPr>
          <w:vertAlign w:val="baseline"/>
        </w:rPr>
        <w:t xml:space="preserve"> piacot, </w:t>
      </w:r>
      <w:r>
        <w:rPr>
          <w:vertAlign w:val="baseline"/>
        </w:rPr>
        <w:t xml:space="preserve">út1</w:t>
      </w:r>
      <w:r>
        <w:rPr>
          <w:vertAlign w:val="baseline"/>
        </w:rPr>
        <w:t xml:space="preserve"> úti </w:t>
      </w:r>
      <w:r>
        <w:rPr>
          <w:vertAlign w:val="baseline"/>
        </w:rPr>
        <w:t xml:space="preserve">Heti Vásár</w:t>
      </w:r>
      <w:r>
        <w:rPr>
          <w:vertAlign w:val="baseline"/>
        </w:rPr>
        <w:t xml:space="preserve"> néven. A vásár területe az I. rendű alperes tulajdona, amit évente megkötött közterület-használati megállapodás alapján használt. Az </w:t>
      </w:r>
      <w:r>
        <w:rPr>
          <w:vertAlign w:val="baseline"/>
        </w:rPr>
        <w:t xml:space="preserve">párt1</w:t>
      </w:r>
      <w:r>
        <w:rPr>
          <w:vertAlign w:val="baseline"/>
        </w:rPr>
        <w:t xml:space="preserve"> piacokat </w:t>
      </w:r>
      <w:r>
        <w:rPr>
          <w:vertAlign w:val="baseline"/>
        </w:rPr>
        <w:t xml:space="preserve">tanú1</w:t>
      </w:r>
      <w:r>
        <w:rPr>
          <w:vertAlign w:val="baseline"/>
        </w:rPr>
        <w:t xml:space="preserve"> hozta létre, azok működtetésére pedig megalapította a felperest. A felperes kitartó és eredményes szervező munkájának köszönhetően jelentős közérdeklődéssel és sikerrel, valamint profittermelési képességgel működött a piac, amit az alperesek meg akartak szerezni. Ennek érdekében jogalkotási és hatósági eszközöket is felhasználtak, így 2013 januárjától a </w:t>
      </w:r>
      <w:r>
        <w:rPr>
          <w:vertAlign w:val="baseline"/>
        </w:rPr>
        <w:t xml:space="preserve">II.</w:t>
      </w:r>
      <w:r>
        <w:rPr>
          <w:vertAlign w:val="baseline"/>
        </w:rPr>
        <w:t xml:space="preserve"> rendű alperes a felperes belegyezése nélkül átvette a vásár üzemeltetését. A hatósági ellenőrzések a vásár ellehetetlenítésére irányultak, majd a </w:t>
      </w:r>
      <w:r>
        <w:rPr>
          <w:vertAlign w:val="baseline"/>
        </w:rPr>
        <w:t xml:space="preserve">III.</w:t>
      </w:r>
      <w:r>
        <w:rPr>
          <w:vertAlign w:val="baseline"/>
        </w:rPr>
        <w:t xml:space="preserve"> rendű alperes 2012. szeptember 11-én az üzemeltetéssel kapcsolatos iratok, így a kereskedői lista bemutatására kötelezte. Az így megszerzett, üzleti titkot képező adatbázist átadták a </w:t>
      </w:r>
      <w:r>
        <w:rPr>
          <w:vertAlign w:val="baseline"/>
        </w:rPr>
        <w:t xml:space="preserve">II.</w:t>
      </w:r>
      <w:r>
        <w:rPr>
          <w:vertAlign w:val="baseline"/>
        </w:rPr>
        <w:t xml:space="preserve"> rendű alperesnek, aki annak felhasználásával, továbbá a piacon szórólapozással toborozta a kereskedőket. A közterület használatát 2013-tól kezdődően az I. rendű alperes a </w:t>
      </w:r>
      <w:r>
        <w:rPr>
          <w:vertAlign w:val="baseline"/>
        </w:rPr>
        <w:t xml:space="preserve">II.</w:t>
      </w:r>
      <w:r>
        <w:rPr>
          <w:vertAlign w:val="baseline"/>
        </w:rPr>
        <w:t xml:space="preserve"> rendű alperesnek engedélyezte, a felperes kérelmét pedig elutasította. Annak érdekében, hogy a </w:t>
      </w:r>
      <w:r>
        <w:rPr>
          <w:vertAlign w:val="baseline"/>
        </w:rPr>
        <w:t xml:space="preserve">II.</w:t>
      </w:r>
      <w:r>
        <w:rPr>
          <w:vertAlign w:val="baseline"/>
        </w:rPr>
        <w:t xml:space="preserve"> rendű alperes a kérelmével megelőzhesse a felperest, az I. rendű alperes még az erre vonatkozó önkormányzati rendeletet is módosította. A </w:t>
      </w:r>
      <w:r>
        <w:rPr>
          <w:vertAlign w:val="baseline"/>
        </w:rPr>
        <w:t xml:space="preserve">II.</w:t>
      </w:r>
      <w:r>
        <w:rPr>
          <w:vertAlign w:val="baseline"/>
        </w:rPr>
        <w:t xml:space="preserve"> rendű alperes 2013 januárja óta változatlan névvel, profillal és partnerkörrel üzemelteti a piacot.</w:t>
      </w:r>
    </w:p>
    <w:p>
      <w:pPr>
        <w:jc w:val="left"/>
      </w:pPr>
      <w:r>
        <w:rPr>
          <w:vertAlign w:val="baseline"/>
        </w:rPr>
        <w:t xml:space="preserve"> </w:t>
      </w:r>
      <w:r>
        <w:br/>
      </w:r>
    </w:p>
    <w:p>
      <w:pPr>
        <w:jc w:val="both"/>
      </w:pPr>
      <w:r>
        <w:rPr>
          <w:vertAlign w:val="baseline"/>
        </w:rPr>
        <w:t xml:space="preserve">A megismételt eljárásban pontosította keresetét a jogerős részítéletre és a bíróság anyagi pervezetésére tekintettel, ebben kérte a bíróságot, hogy a </w:t>
      </w:r>
      <w:r>
        <w:rPr>
          <w:vertAlign w:val="baseline"/>
        </w:rPr>
        <w:t xml:space="preserve">Fővárosi Ítélőtábla</w:t>
      </w:r>
      <w:r>
        <w:rPr>
          <w:vertAlign w:val="baseline"/>
        </w:rPr>
        <w:t xml:space="preserve"> részítélete, a </w:t>
      </w:r>
      <w:r>
        <w:rPr>
          <w:vertAlign w:val="baseline"/>
        </w:rPr>
        <w:t xml:space="preserve">Tpvt.</w:t>
      </w:r>
      <w:r>
        <w:rPr>
          <w:vertAlign w:val="baseline"/>
        </w:rPr>
        <w:t xml:space="preserve"> 86. § (2) bekezdésének e) pontja és a károkozó tevékenység megkezdése idején hatályos 1959. évi </w:t>
      </w:r>
      <w:r>
        <w:rPr>
          <w:vertAlign w:val="baseline"/>
        </w:rPr>
        <w:t xml:space="preserve">IV.</w:t>
      </w:r>
      <w:r>
        <w:rPr>
          <w:vertAlign w:val="baseline"/>
        </w:rPr>
        <w:t xml:space="preserve"> törvény (a továbbiakban: rPtk.) 339. § (1) bekezdése alapján kötelezze a </w:t>
      </w:r>
      <w:r>
        <w:rPr>
          <w:vertAlign w:val="baseline"/>
        </w:rPr>
        <w:t xml:space="preserve">II.</w:t>
      </w:r>
      <w:r>
        <w:rPr>
          <w:vertAlign w:val="baseline"/>
        </w:rPr>
        <w:t xml:space="preserve"> rendű alperest a felperessel szemben tanúsított, üzleti tisztesség követelményeibe ütköző magatartással okozott </w:t>
      </w:r>
      <w:r>
        <w:rPr>
          <w:vertAlign w:val="baseline"/>
        </w:rPr>
        <w:t xml:space="preserve">22.300.000,-</w:t>
      </w:r>
      <w:r>
        <w:rPr>
          <w:vertAlign w:val="baseline"/>
        </w:rPr>
        <w:t xml:space="preserve"> forint kártérítés és a rPtk. 360. § (1) bekezdés alapján ezen összeg után 2013. január 1-től a kifizetésig terjedő időre, a késedelembe esés időpontjától kezdődően a késedelemben érintett naptári félév első napján érvényes jegybanki alapkamat 8 % ponttal növelt mértékkel megegyező késedelmi kamat megfizetésére. Kérte továbbá a </w:t>
      </w:r>
      <w:r>
        <w:rPr>
          <w:vertAlign w:val="baseline"/>
        </w:rPr>
        <w:t xml:space="preserve">II.</w:t>
      </w:r>
      <w:r>
        <w:rPr>
          <w:vertAlign w:val="baseline"/>
        </w:rPr>
        <w:t xml:space="preserve"> rendű alperes perköltségben marasztalását. Perköltség-marasztalási indítványát annyiban módosította, hogy mellékelte a módosított díjmegállapodást, továbbá előadta, hogy a részleges pernyertesség esetére szólóan kéri alkalmazni a felperes tekintetében a perköltségviselés körében a 2016. évi </w:t>
      </w:r>
      <w:r>
        <w:rPr>
          <w:vertAlign w:val="baseline"/>
        </w:rPr>
        <w:t xml:space="preserve">CXXX.</w:t>
      </w:r>
      <w:r>
        <w:rPr>
          <w:vertAlign w:val="baseline"/>
        </w:rPr>
        <w:t xml:space="preserve"> törvény (a továbbiakban: </w:t>
      </w:r>
      <w:r>
        <w:rPr>
          <w:vertAlign w:val="baseline"/>
        </w:rPr>
        <w:t xml:space="preserve">Pp.</w:t>
      </w:r>
      <w:r>
        <w:rPr>
          <w:vertAlign w:val="baseline"/>
        </w:rPr>
        <w:t xml:space="preserve">) 83. § (3) bekezdését. Kérte továbbá az általa előlegezett szakértői díj visszatérítését. </w:t>
      </w:r>
    </w:p>
    <w:p>
      <w:pPr>
        <w:jc w:val="left"/>
      </w:pPr>
      <w:r>
        <w:rPr>
          <w:vertAlign w:val="baseline"/>
        </w:rPr>
        <w:t xml:space="preserve"> </w:t>
      </w:r>
      <w:r>
        <w:br/>
      </w:r>
    </w:p>
    <w:p>
      <w:pPr>
        <w:jc w:val="both"/>
      </w:pPr>
      <w:r>
        <w:rPr>
          <w:vertAlign w:val="baseline"/>
        </w:rPr>
        <w:t xml:space="preserve">A megismételt eljárás során előadta, hogy tényállítása szerint a </w:t>
      </w:r>
      <w:r>
        <w:rPr>
          <w:vertAlign w:val="baseline"/>
        </w:rPr>
        <w:t xml:space="preserve">II.</w:t>
      </w:r>
      <w:r>
        <w:rPr>
          <w:vertAlign w:val="baseline"/>
        </w:rPr>
        <w:t xml:space="preserve"> rendű alperes jogsértő tevékenységével, a piac üzemeltetésének elorozásával megfosztotta személyét attól, hogy az általa létrehozott </w:t>
      </w:r>
      <w:r>
        <w:rPr>
          <w:vertAlign w:val="baseline"/>
        </w:rPr>
        <w:t xml:space="preserve">út1</w:t>
      </w:r>
      <w:r>
        <w:rPr>
          <w:vertAlign w:val="baseline"/>
        </w:rPr>
        <w:t xml:space="preserve"> úti heti vásár üzemeltetése során a 2013. január 1-i időszakot megelőző időszakhoz hasonlóan adományok útján bevételt szerezzen, továbbá a </w:t>
      </w:r>
      <w:r>
        <w:rPr>
          <w:vertAlign w:val="baseline"/>
        </w:rPr>
        <w:t xml:space="preserve">II.</w:t>
      </w:r>
      <w:r>
        <w:rPr>
          <w:vertAlign w:val="baseline"/>
        </w:rPr>
        <w:t xml:space="preserve"> rendű alperes jogsértő tevékenységével, azzal, hogy a kapcsolatrendszere és tevékenysége engedély nélküli felhasználásával elorozta tőle a </w:t>
      </w:r>
      <w:r>
        <w:rPr>
          <w:vertAlign w:val="baseline"/>
        </w:rPr>
        <w:t xml:space="preserve">út1</w:t>
      </w:r>
      <w:r>
        <w:rPr>
          <w:vertAlign w:val="baseline"/>
        </w:rPr>
        <w:t xml:space="preserve"> úti heti vásárt, egy komoly értékkel bíró szellemi terméket, úgynevezett védett ismeretet (know-how) tulajdonított el tőle, továbbá az elorzással jelentős presztízs veszteséget, úgynevezett goodwill-csökkenést is okozott a felperes számára. Felperes értéke, társadalmi és szakmai megítélése jelentős csorbát szenvedett azáltal, hogy elvesztette a perbeli </w:t>
      </w:r>
      <w:r>
        <w:rPr>
          <w:vertAlign w:val="baseline"/>
        </w:rPr>
        <w:t xml:space="preserve">párt1</w:t>
      </w:r>
      <w:r>
        <w:rPr>
          <w:vertAlign w:val="baseline"/>
        </w:rPr>
        <w:t xml:space="preserve"> Piac üzemeltetését, ráadásul a részítélet szerint tisztességtelen magatartást megvalósító módon. </w:t>
      </w:r>
    </w:p>
    <w:p>
      <w:pPr>
        <w:jc w:val="left"/>
      </w:pPr>
      <w:r>
        <w:rPr>
          <w:vertAlign w:val="baseline"/>
        </w:rPr>
        <w:t xml:space="preserve"> </w:t>
      </w:r>
      <w:r>
        <w:br/>
      </w:r>
    </w:p>
    <w:p>
      <w:pPr>
        <w:jc w:val="both"/>
      </w:pPr>
      <w:r>
        <w:rPr>
          <w:vertAlign w:val="baseline"/>
        </w:rPr>
        <w:t xml:space="preserve">Az összegszerűség körében hangsúlyozta, hogy a kár egyik része eleve a bevételkiesés (elmaradt jövedelem), amelyet a </w:t>
      </w:r>
      <w:r>
        <w:rPr>
          <w:vertAlign w:val="baseline"/>
        </w:rPr>
        <w:t xml:space="preserve">II.</w:t>
      </w:r>
      <w:r>
        <w:rPr>
          <w:vertAlign w:val="baseline"/>
        </w:rPr>
        <w:t xml:space="preserve"> rendű alperes a heti vásár csalárd elorozásával okozott, mivel tisztességtelen piaci magatartásával megfosztotta a felperest attól, hogy a piac üzemeltetése során a 2013. január 1-i időszakot megelőző időszakhoz hasonlóan adományok útján bevételt szerezzen és ebből működésének költségeit, továbbá általa folytatott kutatás-fejlesztési tevékenységet és más közhasznú tevékenységet finanszírozza. Előadta, hogy a felperesi alapítvány pénzügyi adminisztrációjában az </w:t>
      </w:r>
      <w:r>
        <w:rPr>
          <w:vertAlign w:val="baseline"/>
        </w:rPr>
        <w:t xml:space="preserve">párt1</w:t>
      </w:r>
      <w:r>
        <w:rPr>
          <w:vertAlign w:val="baseline"/>
        </w:rPr>
        <w:t xml:space="preserve"> Piacon gyűjtött adományok nevesítve kerültek bevételezésre és csatolta a vonatkozó összegző kimutatást, valamint a </w:t>
      </w:r>
      <w:r>
        <w:rPr>
          <w:vertAlign w:val="baseline"/>
        </w:rPr>
        <w:t xml:space="preserve">2009-2012-</w:t>
      </w:r>
      <w:r>
        <w:rPr>
          <w:vertAlign w:val="baseline"/>
        </w:rPr>
        <w:t xml:space="preserve">es évekre vonatkozó időszaki pénztárjelentéseket. </w:t>
      </w:r>
    </w:p>
    <w:p>
      <w:pPr>
        <w:jc w:val="left"/>
      </w:pPr>
      <w:r>
        <w:rPr>
          <w:vertAlign w:val="baseline"/>
        </w:rPr>
        <w:t xml:space="preserve"> </w:t>
      </w:r>
      <w:r>
        <w:br/>
      </w:r>
    </w:p>
    <w:p>
      <w:pPr>
        <w:jc w:val="both"/>
      </w:pPr>
      <w:r>
        <w:rPr>
          <w:vertAlign w:val="baseline"/>
        </w:rPr>
        <w:t xml:space="preserve">Hangsúlyozta, hogy a perbeli heti vásár komoly értékkel bíró piac volt, amely miatt egyértelműen megállapítható az is, hogy az egykori </w:t>
      </w:r>
      <w:r>
        <w:rPr>
          <w:vertAlign w:val="baseline"/>
        </w:rPr>
        <w:t xml:space="preserve">párt1</w:t>
      </w:r>
      <w:r>
        <w:rPr>
          <w:vertAlign w:val="baseline"/>
        </w:rPr>
        <w:t xml:space="preserve"> Piacok máig sikeres és jelentős vagyoni értékkel bíró gazdasági egységek. A bevételkiesés a felperes működésére alapvetően rendkívül hátrányos. A know-how vonatkozásában előadta, hogy részletes tényállítást tett törvényes képviselője útján a per korábbi szakában, a törvényes képviselő hivatkozott többek között arra, hogy részéről és alapítója részéről hatalmas elméleti, gyakorlati és abszolút úttörő jellegűnek minősülő munkával járt az </w:t>
      </w:r>
      <w:r>
        <w:rPr>
          <w:vertAlign w:val="baseline"/>
        </w:rPr>
        <w:t xml:space="preserve">párt1</w:t>
      </w:r>
      <w:r>
        <w:rPr>
          <w:vertAlign w:val="baseline"/>
        </w:rPr>
        <w:t xml:space="preserve"> Piacok létrehozása és működtetési feltételeinek, szabályainak kidolgozása. A goodwill kapcsán ugyancsak a törvényes képviselő nyilatkozataira hivatkozott, e tekintetben utalt egyebek között arra, hogy a felperesi szervezői tevékenységnek a történelmi léptékű és hatású elemzését mutatja be a mellékletként csatolt, </w:t>
      </w:r>
      <w:r>
        <w:rPr>
          <w:vertAlign w:val="baseline"/>
        </w:rPr>
        <w:t xml:space="preserve">tanácsadó1</w:t>
      </w:r>
      <w:r>
        <w:rPr>
          <w:vertAlign w:val="baseline"/>
        </w:rPr>
        <w:t xml:space="preserve"> által írt tanulmány. </w:t>
      </w:r>
    </w:p>
    <w:p>
      <w:pPr>
        <w:jc w:val="left"/>
      </w:pPr>
      <w:r>
        <w:rPr>
          <w:vertAlign w:val="baseline"/>
        </w:rPr>
        <w:t xml:space="preserve"> </w:t>
      </w:r>
      <w:r>
        <w:br/>
      </w:r>
    </w:p>
    <w:p>
      <w:pPr>
        <w:jc w:val="both"/>
      </w:pPr>
      <w:r>
        <w:rPr>
          <w:vertAlign w:val="baseline"/>
        </w:rPr>
        <w:t xml:space="preserve">Az állított bevételkiesés alátámasztására </w:t>
      </w:r>
      <w:r>
        <w:rPr>
          <w:vertAlign w:val="baseline"/>
        </w:rPr>
        <w:t xml:space="preserve">szakértő1</w:t>
      </w:r>
      <w:r>
        <w:rPr>
          <w:vertAlign w:val="baseline"/>
        </w:rPr>
        <w:t xml:space="preserve"> könyvvizsgáló és adószakértő magánszakértői szakvéleményére saját tényállításaként is hivatkozott. Utalt arra, hogy </w:t>
      </w:r>
      <w:r>
        <w:rPr>
          <w:vertAlign w:val="baseline"/>
        </w:rPr>
        <w:t xml:space="preserve">szakértő1</w:t>
      </w:r>
      <w:r>
        <w:rPr>
          <w:vertAlign w:val="baseline"/>
        </w:rPr>
        <w:t xml:space="preserve"> könyvvizsgáló és adószakértő értékbecslése végén felhívta a figyelmet arra, nem került sor az </w:t>
      </w:r>
      <w:r>
        <w:rPr>
          <w:vertAlign w:val="baseline"/>
        </w:rPr>
        <w:t xml:space="preserve">párt1</w:t>
      </w:r>
      <w:r>
        <w:rPr>
          <w:vertAlign w:val="baseline"/>
        </w:rPr>
        <w:t xml:space="preserve"> Piac mint márkanév elvesztése miatti károk vizsgálatára, azonban a jogerős részítéletre tekintettel felperes erre felkérte a szakértőt, aki összegzésében arra jutott, hogy a </w:t>
      </w:r>
      <w:r>
        <w:rPr>
          <w:vertAlign w:val="baseline"/>
        </w:rPr>
        <w:t xml:space="preserve">16-22.000.000,-</w:t>
      </w:r>
      <w:r>
        <w:rPr>
          <w:vertAlign w:val="baseline"/>
        </w:rPr>
        <w:t xml:space="preserve"> forint közötti mértékre tehető adomány-bevétel kiesésen túl a felperes által megteremtett </w:t>
      </w:r>
      <w:r>
        <w:rPr>
          <w:vertAlign w:val="baseline"/>
        </w:rPr>
        <w:t xml:space="preserve">út1</w:t>
      </w:r>
      <w:r>
        <w:rPr>
          <w:vertAlign w:val="baseline"/>
        </w:rPr>
        <w:t xml:space="preserve"> úti heti vásárnak a </w:t>
      </w:r>
      <w:r>
        <w:rPr>
          <w:vertAlign w:val="baseline"/>
        </w:rPr>
        <w:t xml:space="preserve">II.</w:t>
      </w:r>
      <w:r>
        <w:rPr>
          <w:vertAlign w:val="baseline"/>
        </w:rPr>
        <w:t xml:space="preserve"> rendű alperes tisztességtelen piaci magatartása miatti elveszítése miatti (névhasználat elvétele, jó hírnév csorbítása stb.) miatt legalább </w:t>
      </w:r>
      <w:r>
        <w:rPr>
          <w:vertAlign w:val="baseline"/>
        </w:rPr>
        <w:t xml:space="preserve">22.000.000,-</w:t>
      </w:r>
      <w:r>
        <w:rPr>
          <w:vertAlign w:val="baseline"/>
        </w:rPr>
        <w:t xml:space="preserve"> forint további kára keletkezett. Az alperes </w:t>
      </w:r>
      <w:r>
        <w:rPr>
          <w:vertAlign w:val="baseline"/>
        </w:rPr>
        <w:t xml:space="preserve">utca1</w:t>
      </w:r>
      <w:r>
        <w:rPr>
          <w:vertAlign w:val="baseline"/>
        </w:rPr>
        <w:t xml:space="preserve"> utcai piacot érintő összevetésével kapcsolatban hangsúlyozta, hogy </w:t>
      </w:r>
      <w:r>
        <w:rPr>
          <w:vertAlign w:val="baseline"/>
        </w:rPr>
        <w:t xml:space="preserve">szakértő1</w:t>
      </w:r>
      <w:r>
        <w:rPr>
          <w:vertAlign w:val="baseline"/>
        </w:rPr>
        <w:t xml:space="preserve"> szakértő állásfoglalásában rögzítette, nem lehetne laikus egyszerűséggel összevetni a két piacot, természetesen vannak különbségek, erre szolgáltak a korrekciós számok, mindezt okirati bizonyítékként csatolta be a felperes.</w:t>
      </w:r>
    </w:p>
    <w:p>
      <w:pPr>
        <w:jc w:val="left"/>
      </w:pPr>
      <w:r>
        <w:rPr>
          <w:vertAlign w:val="baseline"/>
        </w:rPr>
        <w:t xml:space="preserve"> </w:t>
      </w:r>
      <w:r>
        <w:br/>
      </w:r>
    </w:p>
    <w:p>
      <w:pPr>
        <w:jc w:val="both"/>
      </w:pPr>
      <w:r>
        <w:rPr>
          <w:vertAlign w:val="baseline"/>
        </w:rPr>
        <w:t xml:space="preserve">A perbeli szakvélemény megállapításait és végkövetkeztetését egyaránt vitatta. Kifogásolta, hogy az elmaradt vagyon előny összegét </w:t>
      </w:r>
      <w:r>
        <w:rPr>
          <w:vertAlign w:val="baseline"/>
        </w:rPr>
        <w:t xml:space="preserve">2.252.065,-</w:t>
      </w:r>
      <w:r>
        <w:rPr>
          <w:vertAlign w:val="baseline"/>
        </w:rPr>
        <w:t xml:space="preserve"> forintban jelöli meg az indokolás, azonban mégsem ezt a végszámot állapította meg a szakértő, ami belső ellentmondás. A know-how értékére vonatkozó megállapítás </w:t>
      </w:r>
      <w:r>
        <w:rPr>
          <w:vertAlign w:val="baseline"/>
        </w:rPr>
        <w:t xml:space="preserve">4.087.088,-</w:t>
      </w:r>
      <w:r>
        <w:rPr>
          <w:vertAlign w:val="baseline"/>
        </w:rPr>
        <w:t xml:space="preserve"> forint összegű, ugyanakkor a szervezői tevékenység, tapasztalat, kapcsolatrendszer kárértékét 0,- forintban állapította meg. Ez is téves végkövetkeztetés, mivel a megállapította legalább </w:t>
      </w:r>
      <w:r>
        <w:rPr>
          <w:vertAlign w:val="baseline"/>
        </w:rPr>
        <w:t xml:space="preserve">4.000.000,-</w:t>
      </w:r>
      <w:r>
        <w:rPr>
          <w:vertAlign w:val="baseline"/>
        </w:rPr>
        <w:t xml:space="preserve"> forintos nagyságrenddel a know-how értékét, akkor teljesen irreleváns, hogy a 2000. évi C. törvény (a továbbiakban: </w:t>
      </w:r>
      <w:r>
        <w:rPr>
          <w:vertAlign w:val="baseline"/>
        </w:rPr>
        <w:t xml:space="preserve">Számv.</w:t>
      </w:r>
      <w:r>
        <w:rPr>
          <w:vertAlign w:val="baseline"/>
        </w:rPr>
        <w:t xml:space="preserve"> tv.) milyen elszámolási formulákat használ a nyilvántartási, könyvelési követelmények szempontjából. A kirendelt szakértő tévesen a perbeli </w:t>
      </w:r>
      <w:r>
        <w:rPr>
          <w:vertAlign w:val="baseline"/>
        </w:rPr>
        <w:t xml:space="preserve">párt1</w:t>
      </w:r>
      <w:r>
        <w:rPr>
          <w:vertAlign w:val="baseline"/>
        </w:rPr>
        <w:t xml:space="preserve"> Piac értékét úgy próbálta megállapítani, mintha az egy üzemszerűen működő, nyereségorientált vállalkozás lenne részletes árú forgalommal, beszerzésekkel, technológiai költségekkel, késztermék értékesítéssel és ebből képződő nyereséggel. Azonban ezen körülmények a piacot üzemeltető felperesi alapítvány nonprofit jellege miatt esetében értelmezhetetlenek. A perbeli </w:t>
      </w:r>
      <w:r>
        <w:rPr>
          <w:vertAlign w:val="baseline"/>
        </w:rPr>
        <w:t xml:space="preserve">párt1</w:t>
      </w:r>
      <w:r>
        <w:rPr>
          <w:vertAlign w:val="baseline"/>
        </w:rPr>
        <w:t xml:space="preserve"> Piac értéke nem a bérleti díj-költségekről és nem is a tervezett bevételekről szólt, annak üzemeltetési ugyanis nem egy profitorientált gazdasági tevékenység. A piac értéke épp az a nonprofit működési forma, ahol az üzemeltető nem csak a saját érdekeit veszi figyelembe, hanem az eladók és a vásárlók érdekeit is. Ebből kifolyólag a piaci érték az ismertségének növekedésével egyre csak nagyobb lett. A szakvélemény egyik legnagyobb hibája, hogy a vizsgálati módszertan bemutatásánál a </w:t>
      </w:r>
      <w:r>
        <w:rPr>
          <w:vertAlign w:val="baseline"/>
        </w:rPr>
        <w:t xml:space="preserve">2009-2012-</w:t>
      </w:r>
      <w:r>
        <w:rPr>
          <w:vertAlign w:val="baseline"/>
        </w:rPr>
        <w:t xml:space="preserve">es évek eredmény-kimutatásából indul ki. Álláspontja szerint nonprofit jellegű működés esetén komoly szakmai hiba a nyereségesség vizsgálata, annak alapul vétele, hiszen nem a profit a cél az üzemeltetőnek, úgy előfordulhat, hogy jelentősen magasabb profitot is elérhetett volna adott időszakban, de nem tette a többi piaci szereplő érdeke miatt. Épp ezért nem alkalmazta </w:t>
      </w:r>
      <w:r>
        <w:rPr>
          <w:vertAlign w:val="baseline"/>
        </w:rPr>
        <w:t xml:space="preserve">szakértő1</w:t>
      </w:r>
      <w:r>
        <w:rPr>
          <w:vertAlign w:val="baseline"/>
        </w:rPr>
        <w:t xml:space="preserve"> szakértő sem az elkészítése során a hagyományos módszereket. A kirendelt szakértőtől alapvető elvárás lett volna, ha a nonprofit elven működő alapítvány esetében nem az eredmény-kimutatásokból indul ki, hanem példának okáért becsléssel számol, mellyel elkerülhető lett volna azon anomália, hogy a módszer alkalmazásakor egy veszteséges év esetében az lenne megállapítható, hogy az alapítványnak egyáltalán nincs értéke. További hibaként kifogásolta, hogy a szakértő által alkalmazott módszertan következetesen „fedezeti összeget” és „fedezeti százalékot” számol, amit valójában az eredmény (nyereség vagy veszteség) szinonimájaként használ. Téves az a szakértői megállapítás is, hogy a kárpótlásra, a kapcsolatrendszerre és a presztízs veszteségre tévesen 0,- forint értéket állapított meg a szakértő. A bekerülési érték hiányában a know-how induló értékének az alapítói vagyont tekinti a szakvélemény, ami téves álláspont, mivel a felperes esetében nem volt apport, az alapítók készpénzt és a tudásukat bocsátották az alapítvány rendelkezésére, így semmi köze a kettőnek egymáshoz. A szakértő tévesen kalkulált egy amortizálódott vagy egy ahhoz közel álló know-how értékkel, azt is vitatta, hogy ne a forgalmi adatok alapján kellene számolni. Ugyancsak kifogásolta, hogy az elmaradt vagyoni előny mint kárösszegénél a szakértő maga is három különböző összeget jelölt meg és a szakértő semmilyen indokát nem adta szakvéleményében, hogy miért nem a magasabb összeget vette figyelembe. Kifogásolta, hogy a kárpótlás résszel megállapított nulla értékre a szakvélemény nem tartalmaz semmilyen indokolást, melynek okán szintén megállapítható ennek aggályossága. Kifogásolta azt is, hogy a szervezeti tevékenység és kapcsolati rendszer a </w:t>
      </w:r>
      <w:r>
        <w:rPr>
          <w:vertAlign w:val="baseline"/>
        </w:rPr>
        <w:t xml:space="preserve">2009-2012-</w:t>
      </w:r>
      <w:r>
        <w:rPr>
          <w:vertAlign w:val="baseline"/>
        </w:rPr>
        <w:t xml:space="preserve">es években „realizált árbevétel részét képezte”, így a szakvélemény téves megállapítása miatt amortizálódott. A szakma szabályai szerint azonban álláspontja szerint az amortizáció soha nem épül be az árbevételbe, ez egy költségelem, amely az eredményre van hatással, csakúgy mint például az árbevétel. Álláspontja szerint komoly szakmai hiba a piac üzemeltetéséből származó árbevételből, illetve annak átlagából arra következtetni, hogy a felperest érte-e presztízsveszteség a </w:t>
      </w:r>
      <w:r>
        <w:rPr>
          <w:vertAlign w:val="baseline"/>
        </w:rPr>
        <w:t xml:space="preserve">II.</w:t>
      </w:r>
      <w:r>
        <w:rPr>
          <w:vertAlign w:val="baseline"/>
        </w:rPr>
        <w:t xml:space="preserve"> rendű alperes jogsértő magatartása folytán vagy sem. Ezen kérdés nem a bevételek alakulásából állapítható meg, hanem a felperes társadalmi megítélésében bekövetkezett csökkenésből lehet és kell arra következtetni. Indítványozta a szakértő meghallgatását és amennyiben a szakvélemény aggályossága a szakértő eljáráson történő meghallgatása követően is fennáll, úgy a </w:t>
      </w:r>
      <w:r>
        <w:rPr>
          <w:vertAlign w:val="baseline"/>
        </w:rPr>
        <w:t xml:space="preserve">Pp.</w:t>
      </w:r>
      <w:r>
        <w:rPr>
          <w:vertAlign w:val="baseline"/>
        </w:rPr>
        <w:t xml:space="preserve"> 315. §-a alapján új szakértő kirendelését a felperes által korábban megjelölt kérdések megválaszolására.</w:t>
      </w:r>
    </w:p>
    <w:p>
      <w:pPr>
        <w:jc w:val="left"/>
      </w:pPr>
      <w:r>
        <w:rPr>
          <w:vertAlign w:val="baseline"/>
        </w:rPr>
        <w:t xml:space="preserve"> </w:t>
      </w:r>
      <w:r>
        <w:br/>
      </w:r>
    </w:p>
    <w:p>
      <w:pPr>
        <w:jc w:val="both"/>
      </w:pPr>
      <w:r>
        <w:rPr>
          <w:vertAlign w:val="baseline"/>
        </w:rPr>
        <w:t xml:space="preserve">Előadta, hogy szemben a </w:t>
      </w:r>
      <w:r>
        <w:rPr>
          <w:vertAlign w:val="baseline"/>
        </w:rPr>
        <w:t xml:space="preserve">II.</w:t>
      </w:r>
      <w:r>
        <w:rPr>
          <w:vertAlign w:val="baseline"/>
        </w:rPr>
        <w:t xml:space="preserve"> rendű alperes állításával, miszerint az elmaradt haszon szakértői módszerekkel nem számítható ki, mert a felek között nem volt közterület használati szerződés, ennek hiánya nem lehet akadálya az érték megállapításának. Annyiban egyetértett az alperessel, hogy az elmaradt haszon szakértői módszerekkel nem számítható ki, ugyanis nem az elmaradt hasznot kell vizsgálni ebben az ügyben, hanem a jövőbeni hozadékot, e körben idézte </w:t>
      </w:r>
      <w:r>
        <w:rPr>
          <w:vertAlign w:val="baseline"/>
        </w:rPr>
        <w:t xml:space="preserve">szakértő2</w:t>
      </w:r>
      <w:r>
        <w:rPr>
          <w:vertAlign w:val="baseline"/>
        </w:rPr>
        <w:t xml:space="preserve"> és </w:t>
      </w:r>
      <w:r>
        <w:rPr>
          <w:vertAlign w:val="baseline"/>
        </w:rPr>
        <w:t xml:space="preserve">szakértő3</w:t>
      </w:r>
      <w:r>
        <w:rPr>
          <w:vertAlign w:val="baseline"/>
        </w:rPr>
        <w:t xml:space="preserve"> megállapítását az ingatlan értékbecslés alapjai kapcsán. Idézte az alperes A/23-as számú melléklet körében előadott nyilatkozatát és kérte a szakértőt, hogy az alperes által felhívott és csatolt anyagból kiemelt adatokat használja fel a korrekciós számítások elvégzése során a jövőbeni hozadék elvének használatával, melyhez számítsa hozzá, hogy a </w:t>
      </w:r>
      <w:r>
        <w:rPr>
          <w:vertAlign w:val="baseline"/>
        </w:rPr>
        <w:t xml:space="preserve">út1</w:t>
      </w:r>
      <w:r>
        <w:rPr>
          <w:vertAlign w:val="baseline"/>
        </w:rPr>
        <w:t xml:space="preserve"> úti heti vásár a felperes működő, bevételt eredményező „vagyonrész”. E vagyontárgy működtetését a felperes által kialakított és következetesen használt üzletpolitikájából, üzlet filozófiájából és küldetés tudatából levezetett gyakorlat és az </w:t>
      </w:r>
      <w:r>
        <w:rPr>
          <w:vertAlign w:val="baseline"/>
        </w:rPr>
        <w:t xml:space="preserve">Alapító Okirat</w:t>
      </w:r>
      <w:r>
        <w:rPr>
          <w:vertAlign w:val="baseline"/>
        </w:rPr>
        <w:t xml:space="preserve"> biztosította, határozta meg. Kiemelte, hogy a piacszervezésnek nem volt elsődleges célja az </w:t>
      </w:r>
      <w:r>
        <w:rPr>
          <w:vertAlign w:val="baseline"/>
        </w:rPr>
        <w:t xml:space="preserve">párt1</w:t>
      </w:r>
      <w:r>
        <w:rPr>
          <w:vertAlign w:val="baseline"/>
        </w:rPr>
        <w:t xml:space="preserve"> Piacból kinyerhető maximális bevételre való törekvés goodwill-jét elsősorban az adta, hogy a termelők szervezett formában, kiszámíthatóan és költséghatékonyan juthattak közvetlen értékesítési lehetőséghez. A szükséges és elégséges elve szerint működött a felperes, ami nem lehet értékcsökkentő tényező. Hangsúlyozta, hogy a piacok </w:t>
      </w:r>
      <w:r>
        <w:rPr>
          <w:vertAlign w:val="baseline"/>
        </w:rPr>
        <w:t xml:space="preserve">II.</w:t>
      </w:r>
      <w:r>
        <w:rPr>
          <w:vertAlign w:val="baseline"/>
        </w:rPr>
        <w:t xml:space="preserve"> rendű alperes általi eltulajdonítása precedens nélküli ügy. Álláspontja szerint az I. és </w:t>
      </w:r>
      <w:r>
        <w:rPr>
          <w:vertAlign w:val="baseline"/>
        </w:rPr>
        <w:t xml:space="preserve">II.</w:t>
      </w:r>
      <w:r>
        <w:rPr>
          <w:vertAlign w:val="baseline"/>
        </w:rPr>
        <w:t xml:space="preserve"> rendű alperesek jövőre vonatkozó potenciált tartalmazó értéknek tartották a perbeli </w:t>
      </w:r>
      <w:r>
        <w:rPr>
          <w:vertAlign w:val="baseline"/>
        </w:rPr>
        <w:t xml:space="preserve">párt1</w:t>
      </w:r>
      <w:r>
        <w:rPr>
          <w:vertAlign w:val="baseline"/>
        </w:rPr>
        <w:t xml:space="preserve"> Piacot, tulajdonképpen megbecsülték a valós értékét a jövőbeni hozadék elvének használatával. Ez az összeg csak a terület használatáért volt évente. Ezen felül kellett a </w:t>
      </w:r>
      <w:r>
        <w:rPr>
          <w:vertAlign w:val="baseline"/>
        </w:rPr>
        <w:t xml:space="preserve">II.</w:t>
      </w:r>
      <w:r>
        <w:rPr>
          <w:vertAlign w:val="baseline"/>
        </w:rPr>
        <w:t xml:space="preserve"> rendű alperesnek bevételt produkálnia, ha nem kívánt veszteséges lenni és a költségeket más forrásból finanszírozni. A </w:t>
      </w:r>
      <w:r>
        <w:rPr>
          <w:vertAlign w:val="baseline"/>
        </w:rPr>
        <w:t xml:space="preserve">2013-2017.</w:t>
      </w:r>
      <w:r>
        <w:rPr>
          <w:vertAlign w:val="baseline"/>
        </w:rPr>
        <w:t xml:space="preserve"> közötti években a felperesi </w:t>
      </w:r>
      <w:r>
        <w:rPr>
          <w:vertAlign w:val="baseline"/>
        </w:rPr>
        <w:t xml:space="preserve">II.</w:t>
      </w:r>
      <w:r>
        <w:rPr>
          <w:vertAlign w:val="baseline"/>
        </w:rPr>
        <w:t xml:space="preserve"> rendű alperesi felperesi piac </w:t>
      </w:r>
      <w:r>
        <w:rPr>
          <w:vertAlign w:val="baseline"/>
        </w:rPr>
        <w:t xml:space="preserve">II.</w:t>
      </w:r>
      <w:r>
        <w:rPr>
          <w:vertAlign w:val="baseline"/>
        </w:rPr>
        <w:t xml:space="preserve"> rendű alperesi törvénytelen működtetésével a piac még életképesnek bizonyult, sőt még ma is prosperál, azok után, hogy az I. rendű alperes azt a </w:t>
      </w:r>
      <w:r>
        <w:rPr>
          <w:vertAlign w:val="baseline"/>
        </w:rPr>
        <w:t xml:space="preserve">II.</w:t>
      </w:r>
      <w:r>
        <w:rPr>
          <w:vertAlign w:val="baseline"/>
        </w:rPr>
        <w:t xml:space="preserve"> rendű alperestől áthelyezte mint saját tulajdonát, egy másik saját tulajdonú gazdasági egységébe, vállalkozásába, majd egy külön jogi személybe. Előadta továbbá, hogy a felperes üzleti küldetéstudata, üzletpolitikája nem támogatta a kitermelhető nyereségre törekvést, de nem tiltotta meg. Tehát a felperesnek bármelyik pillanatban meg volt az a lehetősége, hogy megváltoztassa a kialakított gyakorlatát a folyamatos működtetés érdekében. </w:t>
      </w:r>
    </w:p>
    <w:p>
      <w:pPr>
        <w:jc w:val="left"/>
      </w:pPr>
      <w:r>
        <w:rPr>
          <w:vertAlign w:val="baseline"/>
        </w:rPr>
        <w:t xml:space="preserve"> </w:t>
      </w:r>
      <w:r>
        <w:br/>
      </w:r>
    </w:p>
    <w:p>
      <w:pPr>
        <w:jc w:val="both"/>
      </w:pPr>
      <w:r>
        <w:rPr>
          <w:vertAlign w:val="baseline"/>
        </w:rPr>
        <w:t xml:space="preserve">Hivatkozása szerint a közterületi használati díj a tanácsok megszűntével és az önkormányzatok törvényi létrehozásával kezdett teret nyerni. A </w:t>
      </w:r>
      <w:r>
        <w:rPr>
          <w:vertAlign w:val="baseline"/>
        </w:rPr>
        <w:t xml:space="preserve">út1</w:t>
      </w:r>
      <w:r>
        <w:rPr>
          <w:vertAlign w:val="baseline"/>
        </w:rPr>
        <w:t xml:space="preserve"> úti </w:t>
      </w:r>
      <w:r>
        <w:rPr>
          <w:vertAlign w:val="baseline"/>
        </w:rPr>
        <w:t xml:space="preserve">párt1</w:t>
      </w:r>
      <w:r>
        <w:rPr>
          <w:vertAlign w:val="baseline"/>
        </w:rPr>
        <w:t xml:space="preserve"> Piac esetében a terület mérete díjfizetési alapjaként 1060 m2 volt, ebből lesz 2012-ben 2013. január l. és december 31. közötti időszakra </w:t>
      </w:r>
      <w:r>
        <w:rPr>
          <w:vertAlign w:val="baseline"/>
        </w:rPr>
        <w:t xml:space="preserve">14.352.420,-</w:t>
      </w:r>
      <w:r>
        <w:rPr>
          <w:vertAlign w:val="baseline"/>
        </w:rPr>
        <w:t xml:space="preserve"> forint célirányos önkormányzati előírás. A becsatolt iratokból láthatóan a területhasználati díj akkor kezdett el intenzíven növekedni, amikor az I. rendű alperesi önkormányzat eldöntötte, hogy a </w:t>
      </w:r>
      <w:r>
        <w:rPr>
          <w:vertAlign w:val="baseline"/>
        </w:rPr>
        <w:t xml:space="preserve">II.</w:t>
      </w:r>
      <w:r>
        <w:rPr>
          <w:vertAlign w:val="baseline"/>
        </w:rPr>
        <w:t xml:space="preserve"> rendű alperes útján megszerzi a </w:t>
      </w:r>
      <w:r>
        <w:rPr>
          <w:vertAlign w:val="baseline"/>
        </w:rPr>
        <w:t xml:space="preserve">II.</w:t>
      </w:r>
      <w:r>
        <w:rPr>
          <w:vertAlign w:val="baseline"/>
        </w:rPr>
        <w:t xml:space="preserve"> rendű alperes javára a felperes a heti vásárt és megkezdte a felperes munka ellehetetlenítését. A </w:t>
      </w:r>
      <w:r>
        <w:rPr>
          <w:vertAlign w:val="baseline"/>
        </w:rPr>
        <w:t xml:space="preserve">II.</w:t>
      </w:r>
      <w:r>
        <w:rPr>
          <w:vertAlign w:val="baseline"/>
        </w:rPr>
        <w:t xml:space="preserve"> rendű alperes egy fontos körülménytől teljesen elvonatkoztat, attól ugyanis, hogy az I. rendű alperes és felperes két önálló piaci szereplő, akik alkupozícióban voltak. A kérdés az álláspontja szerint, hogy az értékbecslésnek meg lehet-e, illetve meg akarjuk-e találni és alkalmazni azokat a módszereket a precedens nélkül is speciális ügyben, amelyeket a szakma működése során kidolgoz és alkalmaz, és amelyek alapján az perben ítélet hozható. Hangsúlyozta, hogy károsultként az őt ért valós kár pontos mértéke bizonyításában érdekelt, az önkormányzat 10 évvel ezelőtt reálisan becsülte meg a piac értékét. Ma az lehet az elsődleges feladat, hogy a perbeli piac mai értékét kellene meghatározni az elmúlt 10 év forgalmi adatai alapján és nem a 10 évvel ezelőtti adatokkal. A kirendelt szakértő figyelmébe ajánlotta a </w:t>
      </w:r>
      <w:r>
        <w:rPr>
          <w:vertAlign w:val="baseline"/>
        </w:rPr>
        <w:t xml:space="preserve">SWOT</w:t>
      </w:r>
      <w:r>
        <w:rPr>
          <w:vertAlign w:val="baseline"/>
        </w:rPr>
        <w:t xml:space="preserve"> elemzést, a számára használható módszert a megválasztásához szükséges korábban idézett értékbecslési vezérelv szerint. Ebből idézte az erősségeket, melyek a perbeli </w:t>
      </w:r>
      <w:r>
        <w:rPr>
          <w:vertAlign w:val="baseline"/>
        </w:rPr>
        <w:t xml:space="preserve">párt1</w:t>
      </w:r>
      <w:r>
        <w:rPr>
          <w:vertAlign w:val="baseline"/>
        </w:rPr>
        <w:t xml:space="preserve"> Piac értékének erősítésété eredményezték rövid és középtávon az </w:t>
      </w:r>
      <w:r>
        <w:rPr>
          <w:vertAlign w:val="baseline"/>
        </w:rPr>
        <w:t xml:space="preserve">II.</w:t>
      </w:r>
      <w:r>
        <w:rPr>
          <w:vertAlign w:val="baseline"/>
        </w:rPr>
        <w:t xml:space="preserve"> rendű alperes, illetve az őt tulajdonló I. rendű alperes számára. </w:t>
      </w:r>
    </w:p>
    <w:p>
      <w:pPr>
        <w:jc w:val="left"/>
      </w:pPr>
      <w:r>
        <w:rPr>
          <w:vertAlign w:val="baseline"/>
        </w:rPr>
        <w:t xml:space="preserve"> </w:t>
      </w:r>
      <w:r>
        <w:br/>
      </w:r>
    </w:p>
    <w:p>
      <w:pPr>
        <w:jc w:val="both"/>
      </w:pPr>
      <w:r>
        <w:rPr>
          <w:vertAlign w:val="baseline"/>
        </w:rPr>
        <w:t xml:space="preserve">A szakértői meghallgatás értékelése során előadta, hogy a szakértő a tárgyaláson világosan elmondta, az elmaradt haszon körében a rendelkezésre álló bizonyítékok szakmai értékelését végezte el, így jutott a megállapított mértékre, amely felperes szerint ugyan messze elmarad a ténylegestől, de a következtetés annyiban még is helyes, hogy megállapított elmaradt hasznot. A know-how és a goodwill értéke tekintetében a szakértő viszont már kiemelten tévedett, mert mindkettőnek van értéke, ez a jogerős részítéleti indokolás 58. bekezdéséből is következik. Az érték megállapítására rendelkezésre állnak megfelelő szakmai módszerek. Utalt e körben az 1996. évi </w:t>
      </w:r>
      <w:r>
        <w:rPr>
          <w:vertAlign w:val="baseline"/>
        </w:rPr>
        <w:t xml:space="preserve">LXXXI.</w:t>
      </w:r>
      <w:r>
        <w:rPr>
          <w:vertAlign w:val="baseline"/>
        </w:rPr>
        <w:t xml:space="preserve"> törvény (a továbbiakban: </w:t>
      </w:r>
      <w:r>
        <w:rPr>
          <w:vertAlign w:val="baseline"/>
        </w:rPr>
        <w:t xml:space="preserve">Tao.</w:t>
      </w:r>
      <w:r>
        <w:rPr>
          <w:vertAlign w:val="baseline"/>
        </w:rPr>
        <w:t xml:space="preserve"> tv.) 18. §-ra, melyben a piaci ár meghatározására határoz meg a törvény módszereket. Amennyiben a know-how és goodwill értékét egy adott módszerrel nem lehet kimutatni, akkor másik módszert kell alkalmazni. Az nem megoldás véleménye szerint, hogy ha egy kiválasztott módszer szerint nem lehet az értéket meghatározni – mert például a könyvelésben nincs értékkel felvett „know-how”-, akkor nullában állapítom meg az értéket. Lehet kritizálni a felperes könyvelését, hogy miért nincs benne know-how, de ez legfeljebb számviteli hiányosság, a piaci érték megállapítása szempontjából még kiindulási értéknek sem fogadható el. </w:t>
      </w:r>
    </w:p>
    <w:p>
      <w:pPr>
        <w:jc w:val="left"/>
      </w:pPr>
      <w:r>
        <w:rPr>
          <w:vertAlign w:val="baseline"/>
        </w:rPr>
        <w:t xml:space="preserve"> </w:t>
      </w:r>
      <w:r>
        <w:br/>
      </w:r>
    </w:p>
    <w:p>
      <w:pPr>
        <w:jc w:val="both"/>
      </w:pPr>
      <w:r>
        <w:rPr>
          <w:vertAlign w:val="baseline"/>
        </w:rPr>
        <w:t xml:space="preserve">A szakértői meghallgatást követően is fenntartotta az új szakértő kirendelésére irányuló indítványt, mivel a szakértő szakvéleménye a tekintetben homályos, hogy nem határozta meg végső soron a felperes ért kárt pontos és egyértelmű összegét, az erre vonatkozó adatok ellentmondásosan kerültek megjelölésre. A know-how értékét az alapítói vagyonhoz mérni nélkülöz bármilyen logikát, ezt szakmai érvekkel nem lehet alátámasztani. A szakértő a könyv szerinti értéket hiányolja, holott a piaci értéket úgysem ez alapján kellene meghatározni. Mindezekből adódott a rendkívül jelentős különbség a </w:t>
      </w:r>
      <w:r>
        <w:rPr>
          <w:vertAlign w:val="baseline"/>
        </w:rPr>
        <w:t xml:space="preserve">szakértő1</w:t>
      </w:r>
      <w:r>
        <w:rPr>
          <w:vertAlign w:val="baseline"/>
        </w:rPr>
        <w:t xml:space="preserve">-féle szakvélemény és a kirendelt szakértő szakvéleménye szerinti kárösszegek között, amely körülmény rendkívül aggályosság teszi a kirendelt szakértő szakvéleményét. A szakértőnek azon kellett volna munkálkodnia, hogy mekkora volt az okozott kár mértéke. Hangsúlyozta, hogy téves az az alperesi álláspont, miszerint nem volt olyan ismeret, amelyet el tudott volna orozni és így nem lehetett a felperesnek kára sem ezzel okozati összefüggésben a </w:t>
      </w:r>
      <w:r>
        <w:rPr>
          <w:vertAlign w:val="baseline"/>
        </w:rPr>
        <w:t xml:space="preserve">II.</w:t>
      </w:r>
      <w:r>
        <w:rPr>
          <w:vertAlign w:val="baseline"/>
        </w:rPr>
        <w:t xml:space="preserve"> rendű alperesnek felróhatóan. A 2013 óta eltelt idő azt bizonyítja, hogy az </w:t>
      </w:r>
      <w:r>
        <w:rPr>
          <w:vertAlign w:val="baseline"/>
        </w:rPr>
        <w:t xml:space="preserve">párt1</w:t>
      </w:r>
      <w:r>
        <w:rPr>
          <w:vertAlign w:val="baseline"/>
        </w:rPr>
        <w:t xml:space="preserve"> Piac mint fogalom vonzereje értékképző elem, melynek meghatározásához megfelelő módszer kell. Ha ilyen nincs a szakértő ismeretei között, akkor azt jelezze és tegyen kísérletet annak pótlására, vagy utasítsa vissza a kirendelést. </w:t>
      </w:r>
    </w:p>
    <w:p>
      <w:pPr>
        <w:jc w:val="left"/>
      </w:pPr>
      <w:r>
        <w:rPr>
          <w:vertAlign w:val="baseline"/>
        </w:rPr>
        <w:t xml:space="preserve"> </w:t>
      </w:r>
      <w:r>
        <w:br/>
      </w:r>
    </w:p>
    <w:p>
      <w:pPr>
        <w:jc w:val="both"/>
      </w:pPr>
      <w:r>
        <w:rPr>
          <w:vertAlign w:val="baseline"/>
        </w:rPr>
        <w:t xml:space="preserve">A szakértő meghallgatása során, az ott elhangzottak alapján indítványozta, hogy a bíróság vonjon be a perbe vagyonértékelési kompetenciával rendelkező szakértőt, aki a teljes bizonyosság alapján tudja a piac értékét megállapítani, ebből a kár mértékét is, a know-how értékét is s a megbecsültség értékét is. E körben előadta, hogy nem a kirendelt szakértőtől kaphatók meg a perben azok a számok, amelyek a valós piaci vagyonértékelési módszerek alapján ki tudják mutatni az elorozott piac értékét, mert a kirendelt szakértő egyébként valóban a szakma szabályait követi és a számviteli értékelés módszerei szerint értékelt, azonban a valós piaci érték és a számviteli kimutatott értékek nincsenek összhangban. </w:t>
      </w:r>
    </w:p>
    <w:p>
      <w:pPr>
        <w:jc w:val="left"/>
      </w:pPr>
      <w:r>
        <w:rPr>
          <w:vertAlign w:val="baseline"/>
        </w:rPr>
        <w:t xml:space="preserve"> </w:t>
      </w:r>
      <w:r>
        <w:br/>
      </w:r>
    </w:p>
    <w:p>
      <w:pPr>
        <w:jc w:val="both"/>
      </w:pPr>
      <w:r>
        <w:rPr>
          <w:vertAlign w:val="baseline"/>
        </w:rPr>
        <w:t xml:space="preserve">Kérte a </w:t>
      </w:r>
      <w:r>
        <w:rPr>
          <w:vertAlign w:val="baseline"/>
        </w:rPr>
        <w:t xml:space="preserve">II.</w:t>
      </w:r>
      <w:r>
        <w:rPr>
          <w:vertAlign w:val="baseline"/>
        </w:rPr>
        <w:t xml:space="preserve"> rendű alperes igazolási kérelmének helyt adó végzés hivatalból történő megváltoztatását és a kérelem visszautasítását a </w:t>
      </w:r>
      <w:r>
        <w:rPr>
          <w:vertAlign w:val="baseline"/>
        </w:rPr>
        <w:t xml:space="preserve">Pp.</w:t>
      </w:r>
      <w:r>
        <w:rPr>
          <w:vertAlign w:val="baseline"/>
        </w:rPr>
        <w:t xml:space="preserve"> 357. § (2) bekezdése alapján.</w:t>
      </w:r>
    </w:p>
    <w:p>
      <w:pPr>
        <w:jc w:val="left"/>
      </w:pPr>
      <w:r>
        <w:rPr>
          <w:vertAlign w:val="baseline"/>
        </w:rPr>
        <w:t xml:space="preserve"> </w:t>
      </w:r>
      <w:r>
        <w:br/>
      </w:r>
    </w:p>
    <w:p>
      <w:pPr>
        <w:jc w:val="both"/>
      </w:pPr>
      <w:r>
        <w:rPr>
          <w:vertAlign w:val="baseline"/>
        </w:rPr>
        <w:t xml:space="preserve">A </w:t>
      </w:r>
      <w:r>
        <w:rPr>
          <w:vertAlign w:val="baseline"/>
        </w:rPr>
        <w:t xml:space="preserve">II.</w:t>
      </w:r>
      <w:r>
        <w:rPr>
          <w:vertAlign w:val="baseline"/>
        </w:rPr>
        <w:t xml:space="preserve"> rendű alperes per tárgyára vonatkozó kérelme, illetve nyilatkozata és azok alapjának ismertetése:</w:t>
      </w:r>
    </w:p>
    <w:p>
      <w:pPr>
        <w:jc w:val="left"/>
      </w:pPr>
      <w:r>
        <w:rPr>
          <w:vertAlign w:val="baseline"/>
        </w:rPr>
        <w:t xml:space="preserve"> </w:t>
      </w:r>
      <w:r>
        <w:br/>
      </w:r>
    </w:p>
    <w:p>
      <w:pPr>
        <w:jc w:val="both"/>
      </w:pPr>
      <w:r>
        <w:rPr>
          <w:vertAlign w:val="baseline"/>
        </w:rPr>
        <w:t xml:space="preserve">A </w:t>
      </w:r>
      <w:r>
        <w:rPr>
          <w:vertAlign w:val="baseline"/>
        </w:rPr>
        <w:t xml:space="preserve">II.</w:t>
      </w:r>
      <w:r>
        <w:rPr>
          <w:vertAlign w:val="baseline"/>
        </w:rPr>
        <w:t xml:space="preserve"> rendű alperes ellenkérelmében a kereset elutasítását kérte, vitatta mind jogalapját, mind az összegszerűségét. Álláspontja szerint nem folytatott piaci magatartást, a </w:t>
      </w:r>
      <w:r>
        <w:rPr>
          <w:vertAlign w:val="baseline"/>
        </w:rPr>
        <w:t xml:space="preserve">Tpvt.</w:t>
      </w:r>
      <w:r>
        <w:rPr>
          <w:vertAlign w:val="baseline"/>
        </w:rPr>
        <w:t xml:space="preserve"> hatálya alá nem tartozik, a </w:t>
      </w:r>
      <w:r>
        <w:rPr>
          <w:vertAlign w:val="baseline"/>
        </w:rPr>
        <w:t xml:space="preserve">II.</w:t>
      </w:r>
      <w:r>
        <w:rPr>
          <w:vertAlign w:val="baseline"/>
        </w:rPr>
        <w:t xml:space="preserve"> rendű alperes nem versenytársa a felperesnek. Az alperesek az alapeljárás során előadták, hogy a közterület-használat engedélyezése, illetve az ellenőrzés során nem tulajdonosi, hanem közhatalmi jogkörben jártak el közjogi, közigazgatási jogviszonyban. Hangsúlyozták, hogy az I. rendű alperesnek nem volt kötelezettsége, hogy a terület használatát továbbra is a felperesnek biztosítsa. A </w:t>
      </w:r>
      <w:r>
        <w:rPr>
          <w:vertAlign w:val="baseline"/>
        </w:rPr>
        <w:t xml:space="preserve">III.</w:t>
      </w:r>
      <w:r>
        <w:rPr>
          <w:vertAlign w:val="baseline"/>
        </w:rPr>
        <w:t xml:space="preserve"> rendű alperes az adatbekérést a jogszabályi előírásoknak megfelelően végezte, az árusok listáját csak megtekintette, az I. vagy a </w:t>
      </w:r>
      <w:r>
        <w:rPr>
          <w:vertAlign w:val="baseline"/>
        </w:rPr>
        <w:t xml:space="preserve">II.</w:t>
      </w:r>
      <w:r>
        <w:rPr>
          <w:vertAlign w:val="baseline"/>
        </w:rPr>
        <w:t xml:space="preserve"> rendű alperesnek nem adta át. Vitatták, hogy a bérlők köre üzleti titoknak minősülne, továbbá, hogy a felperes a piac üzemeltetése kapcsán bármilyen know-how-val rendelkezne. Nem vitatták azonban, hogy a </w:t>
      </w:r>
      <w:r>
        <w:rPr>
          <w:vertAlign w:val="baseline"/>
        </w:rPr>
        <w:t xml:space="preserve">II.</w:t>
      </w:r>
      <w:r>
        <w:rPr>
          <w:vertAlign w:val="baseline"/>
        </w:rPr>
        <w:t xml:space="preserve"> rendű alperes egy „Tisztelt </w:t>
      </w:r>
      <w:r>
        <w:rPr>
          <w:vertAlign w:val="baseline"/>
        </w:rPr>
        <w:t xml:space="preserve">Bérlők!</w:t>
      </w:r>
      <w:r>
        <w:rPr>
          <w:vertAlign w:val="baseline"/>
        </w:rPr>
        <w:t xml:space="preserve">” kezdetű dokumentummal tájékoztatta a kereskedőket, azonban ez csak azt követően történt, hogy a közterület-használati megállapodás a 2013. évre létrejött, az iratot pedig közvetlenül adták át a bérlőknek.</w:t>
      </w:r>
    </w:p>
    <w:p>
      <w:pPr>
        <w:jc w:val="left"/>
      </w:pPr>
      <w:r>
        <w:rPr>
          <w:vertAlign w:val="baseline"/>
        </w:rPr>
        <w:t xml:space="preserve"> </w:t>
      </w:r>
      <w:r>
        <w:br/>
      </w:r>
    </w:p>
    <w:p>
      <w:pPr>
        <w:jc w:val="both"/>
      </w:pPr>
      <w:r>
        <w:rPr>
          <w:vertAlign w:val="baseline"/>
        </w:rPr>
        <w:t xml:space="preserve">A </w:t>
      </w:r>
      <w:r>
        <w:rPr>
          <w:vertAlign w:val="baseline"/>
        </w:rPr>
        <w:t xml:space="preserve">II.</w:t>
      </w:r>
      <w:r>
        <w:rPr>
          <w:vertAlign w:val="baseline"/>
        </w:rPr>
        <w:t xml:space="preserve"> rendű alperes a megismételt eljárás során előadta, hogy álláspontja szerint a felperes által előadott adományok elmaradása, a know-how elvesztése, a goodwill csökkenése, társadalmi megítélésének csorbát szenvedése nincs ok-okozati összefüggésben azzal, hogy a </w:t>
      </w:r>
      <w:r>
        <w:rPr>
          <w:vertAlign w:val="baseline"/>
        </w:rPr>
        <w:t xml:space="preserve">út1</w:t>
      </w:r>
      <w:r>
        <w:rPr>
          <w:vertAlign w:val="baseline"/>
        </w:rPr>
        <w:t xml:space="preserve"> úti közterületen más jogi személy heti vásár jellegű tevékenységet végzett érvényes és hatályos közterületi megállapodás alapján. Az alperes által végzett piacszervezési tevékenység nem a felperes bármely szellemi tulajdonának, vagy know-how-jának felhasználásával történt, az alperes saját maga alakította ki a heti vásárra vonatkozó szabályokat. A piac és heti vásár tartása nem egy olyan új, eredeti elgondolás, amely előzmény nélküli lenne. Nézete szerint a perben merült fel olyan adat vagy információ, amelyet felperes titokban kívánt tartani és amelynek megőrzése érdekében szükséges intézkedéseket tett volna, így a felperes károkozásra való hivatkozása, mind az ok-okozati összefüggés hiánya, mind a kár hiánya miatt, alaptalan. Véleménye szerint a felperes által üzemeltetett piac nem vethető össze a </w:t>
      </w:r>
      <w:r>
        <w:rPr>
          <w:vertAlign w:val="baseline"/>
        </w:rPr>
        <w:t xml:space="preserve">utca1</w:t>
      </w:r>
      <w:r>
        <w:rPr>
          <w:vertAlign w:val="baseline"/>
        </w:rPr>
        <w:t xml:space="preserve"> utcaival, ami egy fix, állandóan működött piac, ezért a két piac eltérő működése miatt az egybevetésre alkalmatlan a </w:t>
      </w:r>
      <w:r>
        <w:rPr>
          <w:vertAlign w:val="baseline"/>
        </w:rPr>
        <w:t xml:space="preserve">utca1</w:t>
      </w:r>
      <w:r>
        <w:rPr>
          <w:vertAlign w:val="baseline"/>
        </w:rPr>
        <w:t xml:space="preserve"> utcai piac. Az egyik egy közterületi, a másik pedig egy fedett fix helyen működő piac. </w:t>
      </w:r>
    </w:p>
    <w:p>
      <w:pPr>
        <w:jc w:val="left"/>
      </w:pPr>
      <w:r>
        <w:rPr>
          <w:vertAlign w:val="baseline"/>
        </w:rPr>
        <w:t xml:space="preserve"> </w:t>
      </w:r>
      <w:r>
        <w:br/>
      </w:r>
    </w:p>
    <w:p>
      <w:pPr>
        <w:jc w:val="both"/>
      </w:pPr>
      <w:r>
        <w:rPr>
          <w:vertAlign w:val="baseline"/>
        </w:rPr>
        <w:t xml:space="preserve">A felperes szakvéleményt érintő nyilatkozatairól előadta, a felperes által hivatkozott nonprofit működési forma álláspontja szerint a felperesi kártérítési igény jogalapját teszi vitássá, hiszen elmaradt vagyoni előnyre nem hivatkozhat, mivel a vonatkozó költségek is elmaradtak, és az alapítvány célja nem a vagyoni előny megszerzése volt. Meglapozatlan az a felperesi hivatkozás, hogy a perbeli piac folyamatosan növekedett, mert az utolsó működés évében jelentős veszteséggel zárt és a korábbi években is nagyon alacsony eredményt ért el, a piac értékének növekedését nem lehet értelmezni a peradatok alapján, hiszen a piac nem forgalomképes. A felperes által javasolt szakértői becslés módszere véleménye szerint a kárigény kapcsán nem alkalmazható, a kárnak határozott összegben kellene bekövetkezni a felperes vagyonában, az alperesi jogellenes magatartásokkal ok-okozati összefüggésben, az alperesnek felróhatóan. Annyiban egyetértett a felperessel, hogy az elmaradt vagyoni előny kapcsán a szakvélemény homályos, nem ad egyértelmű választ. Ugyanakkor, ahogy a felperes fogalmazott, a nonprofit jellegre tekintettel a felperes nem számított vagyoni előnyre az alapítvány működtetése során, így a nem várt előny elmaradásából kára nem keletkezhetett. A know-how érték kapcsán felperes által kifejezett okfejtés a perben ismert tényadatok alapján teljesen megalapozatlan. Az </w:t>
      </w:r>
      <w:r>
        <w:rPr>
          <w:vertAlign w:val="baseline"/>
        </w:rPr>
        <w:t xml:space="preserve">párt1</w:t>
      </w:r>
      <w:r>
        <w:rPr>
          <w:vertAlign w:val="baseline"/>
        </w:rPr>
        <w:t xml:space="preserve"> piacok száma folyamatosan csökkent, soha egyetlen </w:t>
      </w:r>
      <w:r>
        <w:rPr>
          <w:vertAlign w:val="baseline"/>
        </w:rPr>
        <w:t xml:space="preserve">párt1</w:t>
      </w:r>
      <w:r>
        <w:rPr>
          <w:vertAlign w:val="baseline"/>
        </w:rPr>
        <w:t xml:space="preserve"> piacot nem értékesített a felperes, a piac értéke nem határozható meg, mert nem forgalomképes dolog. Új </w:t>
      </w:r>
      <w:r>
        <w:rPr>
          <w:vertAlign w:val="baseline"/>
        </w:rPr>
        <w:t xml:space="preserve">párt1</w:t>
      </w:r>
      <w:r>
        <w:rPr>
          <w:vertAlign w:val="baseline"/>
        </w:rPr>
        <w:t xml:space="preserve"> piacok létesítésére sem került sor, a felperes által állított nagy értékű know-how ismételt hasznosítására felperes nem hivatkozott. Amennyiben valóban nagy értékű, piacképes tudás lenne a felperes által állított know-how, akkor annak piaci értékesítésére, fejlesztésére, további piacok létrehozására sor került volna, de ez elmaradt. Felperes társadalmi megítélése a perben beszerzett adatok és információk alapján semmilyen módon nem változott, ezt a felperes nem is igazolta. Az utóbbi évek során tapasztalt tény az </w:t>
      </w:r>
      <w:r>
        <w:rPr>
          <w:vertAlign w:val="baseline"/>
        </w:rPr>
        <w:t xml:space="preserve">párt1</w:t>
      </w:r>
      <w:r>
        <w:rPr>
          <w:vertAlign w:val="baseline"/>
        </w:rPr>
        <w:t xml:space="preserve"> piacok számának csökkenése. A felperes tanúbizonyítási indítványáról előadta, hogy az elkésett és a </w:t>
      </w:r>
      <w:r>
        <w:rPr>
          <w:vertAlign w:val="baseline"/>
        </w:rPr>
        <w:t xml:space="preserve">szakértő1</w:t>
      </w:r>
      <w:r>
        <w:rPr>
          <w:vertAlign w:val="baseline"/>
        </w:rPr>
        <w:t xml:space="preserve"> által készített irat nem szakértő általi nyilatkozat, hiszen ő maga nem szakértő, ezért egyéb bizonyítéknak tekintendő. </w:t>
      </w:r>
    </w:p>
    <w:p>
      <w:pPr>
        <w:jc w:val="left"/>
      </w:pPr>
      <w:r>
        <w:rPr>
          <w:vertAlign w:val="baseline"/>
        </w:rPr>
        <w:t xml:space="preserve"> </w:t>
      </w:r>
      <w:r>
        <w:br/>
      </w:r>
    </w:p>
    <w:p>
      <w:pPr>
        <w:jc w:val="both"/>
      </w:pPr>
      <w:r>
        <w:rPr>
          <w:vertAlign w:val="baseline"/>
        </w:rPr>
        <w:t xml:space="preserve">Álláspontja szerint a kirendelt szakértő szakvéleménye tévesen értelmezi a kár fogalmát, a kérdésekre pontatlanul válaszol, a szakvélemény ebben a formában alkalmatlan ítélet alátámasztására. Összességében a szakvéleményt aggályosnak tekintette és hangsúlyozta, hogy a felperest nem érte kár. Elsődlegesen a szakvélemény kiegészítését indítványozta, és csak ezt követően a szóbeli meghallgatást. Kifogásolta, hogy a szakvélemény jogkérdésben kívánt állást foglalni, megállapításai nem egyértelműek, kár megállapításának alapját nem képezheti. A szakvélemény 8. oldalán rögzített azon megállapítása kapcsán, hogy a peranyag a piacfejlesztés, működtetés egyedi folyamatára vonatkozóan iratanyagot (marketing stratégiát) nem tartalmaz, egyetértett. A felperes ugyanis nem jelölt meg semmilyen egyedi kapcsolatrendszert, vagy tevékenység-eredményt. Azzal a szakértői megállapítással is egyetértett, hogy a felperes által benyújtott magánszakértői vélemény megállapításait szakértői szempontból nem fogadja el. A szakértő azonban véleménye szerint figyelmen kívül hagyta a szakvélemény alapját képező tényállás alapvető körülményeit, így azt, hogy a felperes által üzemeltetett piac a 2012-es évben veszteséges volt, -13,49%-os gazdasági eredményt, veszteséget eredményezett, a piacnak nem volt bevétele, hanem adományokat kapott, amelyekkel szemben költségeit elszámolta. Az adományok nyújtása nem volt kötelező, azok elmaradása elmaradt haszonként nem értelmezhető, továbbá a piac közterület-használati jogosultsága éves lejáratú volt, a következő évre történő ismételt megszerzését semmilyen jogszabály vagy szerződéses megállapodás nem biztosította. Ezért a szakértő nem értékelheti kárként a meg nem kötött közterület-használati szerződés miatt elmaradt adományokat, mivel a szerződés megkötésének elmaradása nem volt jogellenes. Utalt a részítéletre, miszerint a </w:t>
      </w:r>
      <w:r>
        <w:rPr>
          <w:vertAlign w:val="baseline"/>
        </w:rPr>
        <w:t xml:space="preserve">Tpvt.</w:t>
      </w:r>
      <w:r>
        <w:rPr>
          <w:vertAlign w:val="baseline"/>
        </w:rPr>
        <w:t xml:space="preserve"> rendelkezéseinek megszegése önmagában nem alapoz meg kártérítési igényt. </w:t>
      </w:r>
    </w:p>
    <w:p>
      <w:pPr>
        <w:jc w:val="left"/>
      </w:pPr>
      <w:r>
        <w:rPr>
          <w:vertAlign w:val="baseline"/>
        </w:rPr>
        <w:t xml:space="preserve"> </w:t>
      </w:r>
      <w:r>
        <w:br/>
      </w:r>
    </w:p>
    <w:p>
      <w:pPr>
        <w:jc w:val="both"/>
      </w:pPr>
      <w:r>
        <w:rPr>
          <w:vertAlign w:val="baseline"/>
        </w:rPr>
        <w:t xml:space="preserve">A konkrét szakértői válaszok tekintetében előadta, hogy az 1. kérdés tekintetében a szakértő egyáltalán nem vizsgálta, az alperes üzemeltetésével ok-okozati összefüggésben keletkezett-e valamilyen kár, illetve az felróható-e az alperes tevékenységének. Mivel a felperesnek nem volt 2013-ra közterület-használati megállapodása, nem volt jogosultsága üzemeltetni a piacot a perbeli közterületen, így nem is keletkezhetett elmaradt vagyoni előnye egy őt meg nem illető jogosultság más általi hasznosításából. A szakértő az elmaradt vagyoni előny összegét nem határozta meg egzakt módon, a „legalább” összeg becslése során három lehetséges fedezeti mértéket jelölt meg. A legalacsonyabb összeg meghatározása kapcsán kifejtette, hogy az elmaradt haszon szakértői módszerekkel nem számítható ki, mert a felek között közterület-használatra szerződés nem volt. Gazdasági számítások alapján semmilyen elmaradt haszon nem igazolható a perben a rendelkezésre álló iratok alapján. A pozitív évek hozamának átlagolása kapcsán kiemelte, hogy a felperes gazdasági adataiból nem lehet következtetni semmilyen elmaradt haszonra </w:t>
      </w:r>
      <w:r>
        <w:rPr>
          <w:vertAlign w:val="baseline"/>
        </w:rPr>
        <w:t xml:space="preserve">2012-2017.</w:t>
      </w:r>
      <w:r>
        <w:rPr>
          <w:vertAlign w:val="baseline"/>
        </w:rPr>
        <w:t xml:space="preserve"> között. A legmagasabb és a legalacsonyabb pozitív fedezeti ráta alkalmazása körében hangsúlyozta, hogy életszerűtlen és torz számítást alkalmazott a szakértő, amikor a negatív, veszteséget termelő 2012-es évet teljes mértékben figyelmen kívül hagyta, mivel látható volt, hogy a felperes indokolatlan és a piaci viszonyokhoz már nem alkalmazkodó, irreálisan alacsony közterületi használati díjat ajánlott meg 2012-ben, amely tarthatatlan volt a piaci viszonyok és az </w:t>
      </w:r>
      <w:r>
        <w:rPr>
          <w:vertAlign w:val="baseline"/>
        </w:rPr>
        <w:t xml:space="preserve">Önkormányzat</w:t>
      </w:r>
      <w:r>
        <w:rPr>
          <w:vertAlign w:val="baseline"/>
        </w:rPr>
        <w:t xml:space="preserve"> gazdálkodása szempontjából. </w:t>
      </w:r>
    </w:p>
    <w:p>
      <w:pPr>
        <w:jc w:val="left"/>
      </w:pPr>
      <w:r>
        <w:rPr>
          <w:vertAlign w:val="baseline"/>
        </w:rPr>
        <w:t xml:space="preserve"> </w:t>
      </w:r>
      <w:r>
        <w:br/>
      </w:r>
    </w:p>
    <w:p>
      <w:pPr>
        <w:jc w:val="both"/>
      </w:pPr>
      <w:r>
        <w:rPr>
          <w:vertAlign w:val="baseline"/>
        </w:rPr>
        <w:t xml:space="preserve">A szakvélemény körében utalt arra, hogy miközben a szakértő kifejtette, a piacfejlesztés know-how és üzleti értéke a számviteli beszámolók mérlegében kimutatott 0,- forint bekerülési érték következtében egzakt módon nem állapítható meg, ehhez képest meglepő és ellentmondásos a 2. kérdésre adott válasz. A tapasztalat és kapcsolatrendszer kárértékét 0,- forintban határozta meg a szakértő, azonban nem ismert, hogy mit ért kárértéken a szakértő, illetve az sem, hogy a know-how értékét milyen szakértői módszerrel határozta meg, valamint az sem, hogy miért felelteti meg a képviselő nyilatkozata szerinti know-how értéket a know-how felhasználása folytán a felperest ért kárral. A 2. kérdés kapcsán kifogásolta, hogy a törvényes képviselő nyilatkozata, mint szakértői megállapítás szakértői módszer és ténymegállapítások nélkül nem felel meg a 2016. évi </w:t>
      </w:r>
      <w:r>
        <w:rPr>
          <w:vertAlign w:val="baseline"/>
        </w:rPr>
        <w:t xml:space="preserve">XXIX.</w:t>
      </w:r>
      <w:r>
        <w:rPr>
          <w:vertAlign w:val="baseline"/>
        </w:rPr>
        <w:t xml:space="preserve"> törvény (a továbbiakban: </w:t>
      </w:r>
      <w:r>
        <w:rPr>
          <w:vertAlign w:val="baseline"/>
        </w:rPr>
        <w:t xml:space="preserve">Sztv.</w:t>
      </w:r>
      <w:r>
        <w:rPr>
          <w:vertAlign w:val="baseline"/>
        </w:rPr>
        <w:t xml:space="preserve">) rendelkezéseinek, ellentétes annak 47. § (4) és (6) bekezdéseivel. Az 1989-ben meghatározott teljes alapítványi vagyon azonosítása a felperes könyveiben nem szereplő védett ismeret alperes általi felhasználása folytán ért kárral minden logikát, minden szakértői számítást nélkülöz. Elfogadta ugyanakkor a szakértő 3. kérdésre adott válaszát. </w:t>
      </w:r>
    </w:p>
    <w:p>
      <w:pPr>
        <w:jc w:val="left"/>
      </w:pPr>
      <w:r>
        <w:rPr>
          <w:vertAlign w:val="baseline"/>
        </w:rPr>
        <w:t xml:space="preserve"> </w:t>
      </w:r>
      <w:r>
        <w:br/>
      </w:r>
    </w:p>
    <w:p>
      <w:pPr>
        <w:jc w:val="both"/>
      </w:pPr>
      <w:r>
        <w:rPr>
          <w:vertAlign w:val="baseline"/>
        </w:rPr>
        <w:t xml:space="preserve">Összefoglalóan kiemelte, hogy mivel a felperesnek nem volt jogosultsága a perbeli közterületen 2013-tól kezdődően közterületi piacot üzemeltetni, így haszna nem keletkezhetett. Haszon hiányában a haszon elmaradása kapcsán semmilyen igény nem érvényesíthető. Nem volt közterület-használati megállapodása, így jogosultság hiányában kár nem érhette. Az adomány önkéntes nyújtását nem biztosította semmi, a közterület-használati díj jelentős megemelkedése kapcsán felmerülő költségnövekedést a felperes által bemutatott gazdálkodási adatok nem tudták volna ellensúlyozni. Ezek a körülmények a felperes üzleti kockázatai körébe esnek, közterületi szerződés hiányában semmilyen várt hozam nem maradhatott el a </w:t>
      </w:r>
      <w:r>
        <w:rPr>
          <w:vertAlign w:val="baseline"/>
        </w:rPr>
        <w:t xml:space="preserve">út1</w:t>
      </w:r>
      <w:r>
        <w:rPr>
          <w:vertAlign w:val="baseline"/>
        </w:rPr>
        <w:t xml:space="preserve"> piac kapcsán. Nem azért nem keletkezett a </w:t>
      </w:r>
      <w:r>
        <w:rPr>
          <w:vertAlign w:val="baseline"/>
        </w:rPr>
        <w:t xml:space="preserve">út1</w:t>
      </w:r>
      <w:r>
        <w:rPr>
          <w:vertAlign w:val="baseline"/>
        </w:rPr>
        <w:t xml:space="preserve"> piac üzemeltetéséből eredménye vagy haszna a felperesnek, mert azt az alperes jogellenesen üzemeltette, hanem azért nem, mert nem volt eredményes a pályázat a </w:t>
      </w:r>
      <w:r>
        <w:rPr>
          <w:vertAlign w:val="baseline"/>
        </w:rPr>
        <w:t xml:space="preserve">út1</w:t>
      </w:r>
      <w:r>
        <w:rPr>
          <w:vertAlign w:val="baseline"/>
        </w:rPr>
        <w:t xml:space="preserve"> úti piac üzemeltetésének érdekében a közterület-használata iránt. Ezzel szemben az alperes jelentős, </w:t>
      </w:r>
      <w:r>
        <w:rPr>
          <w:vertAlign w:val="baseline"/>
        </w:rPr>
        <w:t xml:space="preserve">10.000.000,-</w:t>
      </w:r>
      <w:r>
        <w:rPr>
          <w:vertAlign w:val="baseline"/>
        </w:rPr>
        <w:t xml:space="preserve"> forintot meghaladó közterület-használati díj növekedés mellett megkapta a közterület használatának jogát és ezt felperes sem tette vitássá. </w:t>
      </w:r>
    </w:p>
    <w:p>
      <w:pPr>
        <w:jc w:val="left"/>
      </w:pPr>
      <w:r>
        <w:rPr>
          <w:vertAlign w:val="baseline"/>
        </w:rPr>
        <w:t xml:space="preserve"> </w:t>
      </w:r>
      <w:r>
        <w:br/>
      </w:r>
    </w:p>
    <w:p>
      <w:pPr>
        <w:jc w:val="both"/>
      </w:pPr>
      <w:r>
        <w:rPr>
          <w:vertAlign w:val="baseline"/>
        </w:rPr>
        <w:t xml:space="preserve">A szakértő meghallgatása során észrevételezte, hogy a felperesnek nem volt üzemeltetési képessége, mivel nem volt ingatlana, amelyen üzemeltethette volna a piacot, A szakértői meghallgatáson elhangzottakról észrevételezte, hogy az megerősítette a szakvéleményben meghatározott teljes elmaradt vagyoni előny összegét, ugyanakkor a szakértő álláspontja szerint tévesen feltételezte a rendelkezésre álló másodfokú bírósági ítélet alapján, hogy a </w:t>
      </w:r>
      <w:r>
        <w:rPr>
          <w:vertAlign w:val="baseline"/>
        </w:rPr>
        <w:t xml:space="preserve">Fővárosi Ítélőtábla</w:t>
      </w:r>
      <w:r>
        <w:rPr>
          <w:vertAlign w:val="baseline"/>
        </w:rPr>
        <w:t xml:space="preserve"> a kár alapján megállapította. A kárt akként határozta meg a szakértő, hogy azt feltételezte, az ok-okozati összefüggés és a felróhatóság fennáll, anélkül, hogy erre vonatkozóan a perben rendelkezésre állna bizonyíték. Az ok-okozati összefüggés teljes mértékben hiányzik nézete szerint és hangsúlyozta, a felperes felé nem vállalt semmilyen kötelezettséget sem a korábbi I. rendű alperes, sem a </w:t>
      </w:r>
      <w:r>
        <w:rPr>
          <w:vertAlign w:val="baseline"/>
        </w:rPr>
        <w:t xml:space="preserve">II.</w:t>
      </w:r>
      <w:r>
        <w:rPr>
          <w:vertAlign w:val="baseline"/>
        </w:rPr>
        <w:t xml:space="preserve"> rendű alperes arra vonatkozóan, hogy a közterület használatát bármely használati díj ellenében biztosítja a felperes számára és ilyen törvényi kötelezettség sem áll fenn, ezt a felperes sem vitatta, így a közterület használatának elmaradásával kapcsolatosan elmaradt haszna kárként nem jelentkezhet. A közterület használatának elmaradása nem volt jogellenes, azzal ok-okozati összefüggésben elmaradt haszon nem keletkezhetett. Kiemelte, hogy a szakértő megállapította, a rendelkezésre álló iratok alapján know-how, vagy goodwill nem állapítható meg, nem értékelhető, mert erre vonatkozóan nincsen adat. A szakértő meghatározta a 2013. január 1. és 2017. december 31. közötti időszakra kiszámítandó elmaradt haszon értékét a korábbi évek realizált eredményei alapján, de csak akként, hogy azzal a téves feltételezéssel élt, miszerint a felperes jogosult a közterület használatára a korábbi években irányadó változatlan feltételek mellett. Mivel a perben az nem vitatott, hogy a közterület használatára felperesnek nem volt megállapodáson, sem jogszabályon alapuló jogosultsága 2013-tól, így álláspontja szerint az elmaradt vagyoni előnyre vonatkozó kárigény is megalapozatlan, a perben becsatolt iratok alapján nem igazolható.</w:t>
      </w:r>
      <w:r>
        <w:rPr>
          <w:vertAlign w:val="baseline"/>
        </w:rPr>
        <w:t xml:space="preserve">  </w:t>
      </w:r>
    </w:p>
    <w:p>
      <w:pPr>
        <w:jc w:val="left"/>
      </w:pPr>
      <w:r>
        <w:rPr>
          <w:vertAlign w:val="baseline"/>
        </w:rPr>
        <w:t xml:space="preserve"> </w:t>
      </w:r>
      <w:r>
        <w:br/>
      </w:r>
    </w:p>
    <w:p>
      <w:pPr>
        <w:jc w:val="both"/>
      </w:pPr>
      <w:r>
        <w:rPr>
          <w:vertAlign w:val="baseline"/>
        </w:rPr>
        <w:t xml:space="preserve">Az érdemi döntés tartalmára történő utalás és a jogi indokolás: </w:t>
      </w:r>
    </w:p>
    <w:p>
      <w:pPr>
        <w:jc w:val="left"/>
      </w:pPr>
      <w:r>
        <w:rPr>
          <w:vertAlign w:val="baseline"/>
        </w:rPr>
        <w:t xml:space="preserve"> </w:t>
      </w:r>
      <w:r>
        <w:br/>
      </w:r>
    </w:p>
    <w:p>
      <w:pPr>
        <w:jc w:val="both"/>
      </w:pPr>
      <w:r>
        <w:rPr>
          <w:vertAlign w:val="baseline"/>
        </w:rPr>
        <w:t xml:space="preserve">A kereset megalapozatlan. </w:t>
      </w:r>
    </w:p>
    <w:p>
      <w:pPr>
        <w:jc w:val="left"/>
      </w:pPr>
      <w:r>
        <w:rPr>
          <w:vertAlign w:val="baseline"/>
        </w:rPr>
        <w:t xml:space="preserve"> </w:t>
      </w:r>
      <w:r>
        <w:br/>
      </w:r>
    </w:p>
    <w:p>
      <w:pPr>
        <w:jc w:val="both"/>
      </w:pPr>
      <w:r>
        <w:rPr>
          <w:vertAlign w:val="baseline"/>
        </w:rPr>
        <w:t xml:space="preserve">A bíróság a másodfokú bíróság iránymutatásának megfelelően lefolytatta a felperes által indítványozott szakértői bizonyítást. </w:t>
      </w:r>
    </w:p>
    <w:p>
      <w:pPr>
        <w:jc w:val="left"/>
      </w:pPr>
      <w:r>
        <w:rPr>
          <w:vertAlign w:val="baseline"/>
        </w:rPr>
        <w:t xml:space="preserve"> </w:t>
      </w:r>
      <w:r>
        <w:br/>
      </w:r>
    </w:p>
    <w:p>
      <w:pPr>
        <w:jc w:val="both"/>
      </w:pPr>
      <w:r>
        <w:rPr>
          <w:vertAlign w:val="baseline"/>
        </w:rPr>
        <w:t xml:space="preserve">A bíróság a perben kirendelt szakértő </w:t>
      </w:r>
      <w:r>
        <w:rPr>
          <w:vertAlign w:val="baseline"/>
        </w:rPr>
        <w:t xml:space="preserve">30.G.42.023/2021/33</w:t>
      </w:r>
      <w:r>
        <w:rPr>
          <w:vertAlign w:val="baseline"/>
        </w:rPr>
        <w:t xml:space="preserve">. számon elfekvő szakvéleményét, valamint a szakértő </w:t>
      </w:r>
      <w:r>
        <w:rPr>
          <w:vertAlign w:val="baseline"/>
        </w:rPr>
        <w:t xml:space="preserve">30.G.42.023/2021/50</w:t>
      </w:r>
      <w:r>
        <w:rPr>
          <w:vertAlign w:val="baseline"/>
        </w:rPr>
        <w:t xml:space="preserve">. számú tárgyalási jegyzőkönyvben rögzített, meghallgatáson előadott nyilatkozatait, megállapításait aggálytalannak tekintette.</w:t>
      </w:r>
    </w:p>
    <w:p>
      <w:pPr>
        <w:jc w:val="left"/>
      </w:pPr>
      <w:r>
        <w:rPr>
          <w:vertAlign w:val="baseline"/>
        </w:rPr>
        <w:t xml:space="preserve"> </w:t>
      </w:r>
      <w:r>
        <w:br/>
      </w:r>
    </w:p>
    <w:p>
      <w:pPr>
        <w:jc w:val="both"/>
      </w:pPr>
      <w:r>
        <w:rPr>
          <w:vertAlign w:val="baseline"/>
        </w:rPr>
        <w:t xml:space="preserve">A szakértő a vizsgálati módszertan körében a szakvélemény 5. oldalán rögzítette, hogy a felperes alapító okiratában meghatározó tevékenységek tanulmányozása alapján azt vizsgálta, a piacszervezés-, működtetés cél szerinti tevékenységnek minősül-e. Számba vette a </w:t>
      </w:r>
      <w:r>
        <w:rPr>
          <w:vertAlign w:val="baseline"/>
        </w:rPr>
        <w:t xml:space="preserve">2009-2012-</w:t>
      </w:r>
      <w:r>
        <w:rPr>
          <w:vertAlign w:val="baseline"/>
        </w:rPr>
        <w:t xml:space="preserve">es üzleti években bemutatott számviteli beszámolókat és annak alapján elemezte, hogy a cél szerinti tevékenység fedezeti összege, hányada hogyan alakult, különös figyelemmel a rPtk. 355. § (4) bekezdésében foglaltakra. A piacműködtetésből származó készpénz (adomány) összesítése és ellenőrzése alapján azt is vizsgálta, hogy a fenti évekre készített számviteli beszámoló eredménykimutatásaiban „egyéb bevétel” soron megjelenő értékek azonosíthatók-e a piacműködtetések bevételével, vagy annak más tevékenységből származó is részét képezte. Külön jelezte, hogy értékelte a </w:t>
      </w:r>
      <w:r>
        <w:rPr>
          <w:vertAlign w:val="baseline"/>
        </w:rPr>
        <w:t xml:space="preserve">szakértő1</w:t>
      </w:r>
      <w:r>
        <w:rPr>
          <w:vertAlign w:val="baseline"/>
        </w:rPr>
        <w:t xml:space="preserve"> által készített becslést, valamint a per tárgyát képező vásár működési bevétele és fedezete alapján azt is vizsgálta, hogy milyen összegben becsülhető a kieső bevétel és annak függvényében az elmaradt vagyoni előny 2017. december 31. napjáig, valamint a piacfejlesztés- és működtetés elvesztése az elmaradt vagyoni előnyön kívül milyen további értékkel azonosítható. Hangsúlyozta, hogy a piacszervezés és a piacműködtetés a felperes cél szerinti tevékenysége. A </w:t>
      </w:r>
      <w:r>
        <w:rPr>
          <w:vertAlign w:val="baseline"/>
        </w:rPr>
        <w:t xml:space="preserve">2009-2012-</w:t>
      </w:r>
      <w:r>
        <w:rPr>
          <w:vertAlign w:val="baseline"/>
        </w:rPr>
        <w:t xml:space="preserve">es üzleti évekre vonatkozó számviteli beszámolóinak elemzése alapján megállapította, hogy a beszámolóban vállalkozási tevékenységhez köthető bevétel, valamint ráfordítás perköltség nem került kimutatásra, a piaci értékesítésben résztvevő mezőgazdasági és élelmiszeripari termelőtől származó készpénz egyéb bevételként került elszámolásra, amely az alapítvány teljes bevételével megegyező. Kiemelte, hogy a költségnemenként kimutatott ráfordításokat az egyes piacok között a felperes nem osztotta fel, így azok felmerülését a bevételek arányában lehet érvényesíteni. A </w:t>
      </w:r>
      <w:r>
        <w:rPr>
          <w:vertAlign w:val="baseline"/>
        </w:rPr>
        <w:t xml:space="preserve">2009-2012-</w:t>
      </w:r>
      <w:r>
        <w:rPr>
          <w:vertAlign w:val="baseline"/>
        </w:rPr>
        <w:t xml:space="preserve">es évben az alapítványnak átlagosan </w:t>
      </w:r>
      <w:r>
        <w:rPr>
          <w:vertAlign w:val="baseline"/>
        </w:rPr>
        <w:t xml:space="preserve">8.782.975,-</w:t>
      </w:r>
      <w:r>
        <w:rPr>
          <w:vertAlign w:val="baseline"/>
        </w:rPr>
        <w:t xml:space="preserve"> forint/év bevétele származott, melynek elérése érdekében arányosan </w:t>
      </w:r>
      <w:r>
        <w:rPr>
          <w:vertAlign w:val="baseline"/>
        </w:rPr>
        <w:t xml:space="preserve">8.446.751,-</w:t>
      </w:r>
      <w:r>
        <w:rPr>
          <w:vertAlign w:val="baseline"/>
        </w:rPr>
        <w:t xml:space="preserve"> forint/év költséget érvényesített, így a </w:t>
      </w:r>
      <w:r>
        <w:rPr>
          <w:vertAlign w:val="baseline"/>
        </w:rPr>
        <w:t xml:space="preserve">út1</w:t>
      </w:r>
      <w:r>
        <w:rPr>
          <w:vertAlign w:val="baseline"/>
        </w:rPr>
        <w:t xml:space="preserve"> úti tevékenységen realizált átlagos üzleti eredmény </w:t>
      </w:r>
      <w:r>
        <w:rPr>
          <w:vertAlign w:val="baseline"/>
        </w:rPr>
        <w:t xml:space="preserve">336.224,-</w:t>
      </w:r>
      <w:r>
        <w:rPr>
          <w:vertAlign w:val="baseline"/>
        </w:rPr>
        <w:t xml:space="preserve"> forint/év volt. A számviteli beszámolók mérlegében az immateriális javak mérlegcsoport 0,- forint értéket mutatott, kiegészítő mellékletek pedig nem állnak rendelkezésre. Ez azt jelenti, hogy a </w:t>
      </w:r>
      <w:r>
        <w:rPr>
          <w:vertAlign w:val="baseline"/>
        </w:rPr>
        <w:t xml:space="preserve">út1</w:t>
      </w:r>
      <w:r>
        <w:rPr>
          <w:vertAlign w:val="baseline"/>
        </w:rPr>
        <w:t xml:space="preserve">, </w:t>
      </w:r>
      <w:r>
        <w:rPr>
          <w:vertAlign w:val="baseline"/>
        </w:rPr>
        <w:t xml:space="preserve">utca2</w:t>
      </w:r>
      <w:r>
        <w:rPr>
          <w:vertAlign w:val="baseline"/>
        </w:rPr>
        <w:t xml:space="preserve"> és </w:t>
      </w:r>
      <w:r>
        <w:rPr>
          <w:vertAlign w:val="baseline"/>
        </w:rPr>
        <w:t xml:space="preserve">utca3</w:t>
      </w:r>
      <w:r>
        <w:rPr>
          <w:vertAlign w:val="baseline"/>
        </w:rPr>
        <w:t xml:space="preserve"> utcai közvetlen termelői és fogyasztói kapcsolatok kialakításának értékét az alapítvány nem anyagi eszközként – szellemi termék – 0,- forintnál magasabb összegben nem tartotta indokoltnak kimutatni. A szakvélemény 7. oldalán rögzítette, hogy a felperes a per tárgyát képező tevékenységekhez az évenként megújított megállapodások alapján közterület-használati engedéllyel rendelkezett, amely többek között azért nem tekinthető a </w:t>
      </w:r>
      <w:r>
        <w:rPr>
          <w:vertAlign w:val="baseline"/>
        </w:rPr>
        <w:t xml:space="preserve">Számv.</w:t>
      </w:r>
      <w:r>
        <w:rPr>
          <w:vertAlign w:val="baseline"/>
        </w:rPr>
        <w:t xml:space="preserve"> tv. szerinti vagyoni értékű jognak, mivel a közterület-használat szerződésben megállapított időtartalma kisebb/egyenlő mint 1 év volt. Rögzítette azt is, hogy a szellemi termékek közül csak azokat a nem anyagi javakat lehet kimutatni, amelyek felett korlátozás nélkül az alapítvány dönthet. Megjegyezte, hogy a piacfejlesztés-, működtetés egyedi folyamatára vonatkozó iratanyagot – marketingstratégiát – a periratok nem tartalmaztak.</w:t>
      </w:r>
    </w:p>
    <w:p>
      <w:pPr>
        <w:jc w:val="left"/>
      </w:pPr>
      <w:r>
        <w:rPr>
          <w:vertAlign w:val="baseline"/>
        </w:rPr>
        <w:t xml:space="preserve"> </w:t>
      </w:r>
      <w:r>
        <w:br/>
      </w:r>
    </w:p>
    <w:p>
      <w:pPr>
        <w:jc w:val="both"/>
      </w:pPr>
      <w:r>
        <w:rPr>
          <w:vertAlign w:val="baseline"/>
        </w:rPr>
        <w:t xml:space="preserve">A szakértő a szakvélemény 8-10. oldalán részletesen nyilatkozott a </w:t>
      </w:r>
      <w:r>
        <w:rPr>
          <w:vertAlign w:val="baseline"/>
        </w:rPr>
        <w:t xml:space="preserve">szakértő1</w:t>
      </w:r>
      <w:r>
        <w:rPr>
          <w:vertAlign w:val="baseline"/>
        </w:rPr>
        <w:t xml:space="preserve"> által készített és a felperes által csatolt értékbecslésekről azzal, hogy a két értékbecslés célja és vizsgálati köre eltért egymástól. A 2017. december 18-án készített értékbecslés kapcsán megállapította, hogy a szakértő a számításai szerint elérhető nyereség összegében határozta meg a </w:t>
      </w:r>
      <w:r>
        <w:rPr>
          <w:vertAlign w:val="baseline"/>
        </w:rPr>
        <w:t xml:space="preserve">út1</w:t>
      </w:r>
      <w:r>
        <w:rPr>
          <w:vertAlign w:val="baseline"/>
        </w:rPr>
        <w:t xml:space="preserve"> úti vásár piaci értékét, amelyet nem tudott elfogadni, mivel a 2017. december 31-ére számított jelen értékből 6,05%-os diszkontrátával meghatározta a 2012. december 31-i értéket (módszerében helyes), azonban a </w:t>
      </w:r>
      <w:r>
        <w:rPr>
          <w:vertAlign w:val="baseline"/>
        </w:rPr>
        <w:t xml:space="preserve">2009-2012.</w:t>
      </w:r>
      <w:r>
        <w:rPr>
          <w:vertAlign w:val="baseline"/>
        </w:rPr>
        <w:t xml:space="preserve"> évi tényadatok úgy a </w:t>
      </w:r>
      <w:r>
        <w:rPr>
          <w:vertAlign w:val="baseline"/>
        </w:rPr>
        <w:t xml:space="preserve">út1</w:t>
      </w:r>
      <w:r>
        <w:rPr>
          <w:vertAlign w:val="baseline"/>
        </w:rPr>
        <w:t xml:space="preserve"> úti piacra kalkulált árbevételét, mint annak „nyereség” nyereségtartalmát nem támasztották alá. Kiemelte, hogy </w:t>
      </w:r>
      <w:r>
        <w:rPr>
          <w:vertAlign w:val="baseline"/>
        </w:rPr>
        <w:t xml:space="preserve">szakértő1</w:t>
      </w:r>
      <w:r>
        <w:rPr>
          <w:vertAlign w:val="baseline"/>
        </w:rPr>
        <w:t xml:space="preserve"> véleménye szerint az „</w:t>
      </w:r>
      <w:r>
        <w:rPr>
          <w:vertAlign w:val="baseline"/>
        </w:rPr>
        <w:t xml:space="preserve">párt1</w:t>
      </w:r>
      <w:r>
        <w:rPr>
          <w:vertAlign w:val="baseline"/>
        </w:rPr>
        <w:t xml:space="preserve"> piac” brand értéke adatok hiányában nem meghatározható, amellyel figyelemmel a törvényi előírásokra egyetértett. A 2022. január 20-án készített pozitív üzleti érték meghatározása kapcsán kiemelte, hogy a szakértő a Budapest </w:t>
      </w:r>
      <w:r>
        <w:rPr>
          <w:vertAlign w:val="baseline"/>
        </w:rPr>
        <w:t xml:space="preserve">kerület2</w:t>
      </w:r>
      <w:r>
        <w:rPr>
          <w:vertAlign w:val="baseline"/>
        </w:rPr>
        <w:t xml:space="preserve">ében működtetett </w:t>
      </w:r>
      <w:r>
        <w:rPr>
          <w:vertAlign w:val="baseline"/>
        </w:rPr>
        <w:t xml:space="preserve">utca1</w:t>
      </w:r>
      <w:r>
        <w:rPr>
          <w:vertAlign w:val="baseline"/>
        </w:rPr>
        <w:t xml:space="preserve"> utcai piac saját tőke és kifizetett osztalék összesített adatainak korrekciója alapján határozta meg a névhasználat, jóhírnév csorbítása, valamint az üzleti tevékenység beindításának értékét. A felperes megbízásából eljáró könyvszakértő a „vásár” know-how és üzleti érték összegét további </w:t>
      </w:r>
      <w:r>
        <w:rPr>
          <w:vertAlign w:val="baseline"/>
        </w:rPr>
        <w:t xml:space="preserve">22.000.000,-</w:t>
      </w:r>
      <w:r>
        <w:rPr>
          <w:vertAlign w:val="baseline"/>
        </w:rPr>
        <w:t xml:space="preserve"> forintban határozta meg, amely véleménye szerint a </w:t>
      </w:r>
      <w:r>
        <w:rPr>
          <w:vertAlign w:val="baseline"/>
        </w:rPr>
        <w:t xml:space="preserve">Számv.</w:t>
      </w:r>
      <w:r>
        <w:rPr>
          <w:vertAlign w:val="baseline"/>
        </w:rPr>
        <w:t xml:space="preserve"> tv. 25. § (7) bekezdésében foglalt előírásoknak nem megfeleltethető, valamint nem történt cégértékesítés, így üzleti érték meghatározása sem lehetséges. A számított érték a szakértő véleménye szerint azért sem elfogadható, mert a magánszakértő egy profitorientált piac tőkenagyságából kiindulva a teljes piacfejlesztés-, működtetés értékét úgy határozta meg, hogy véleménye szerint figyelmen kívül hagyta azokat az ismert (megismerhető) tényeket, miszerint a felperes ezen szakismereteit több piac működtetésében érvényesítette, valamint a vizsgált időszakban is </w:t>
      </w:r>
      <w:r>
        <w:rPr>
          <w:vertAlign w:val="baseline"/>
        </w:rPr>
        <w:t xml:space="preserve">(2009-2012-</w:t>
      </w:r>
      <w:r>
        <w:rPr>
          <w:vertAlign w:val="baseline"/>
        </w:rPr>
        <w:t xml:space="preserve">es üzleti évek) egyidejűleg 3 különböző helyszínen szervezett heti vásárokat, azaz a kialakított piacstratégiát 3 helyszínen egyidejűleg alkalmazta, így annak értéke 3 tevékenység gyakorlásában érvényesült. A számításokat a 2020. december 31-ére kimutatott tőke alapján végezte el, amelynek jelen értékét 2012. december 31-ére nem határozta meg, a diszkontálást nem végezte el. Ebből a szakértő arra következtetett, hogy az első véleménytől eltérő módszerrel, de az ott megadott értéknek a bizonyítására törekedett, függetlenül attól, hogy a véleményében úgy fogalmazott, „további” értékmeghatározást végzett.</w:t>
      </w:r>
    </w:p>
    <w:p>
      <w:pPr>
        <w:jc w:val="left"/>
      </w:pPr>
      <w:r>
        <w:rPr>
          <w:vertAlign w:val="baseline"/>
        </w:rPr>
        <w:t xml:space="preserve"> </w:t>
      </w:r>
      <w:r>
        <w:br/>
      </w:r>
    </w:p>
    <w:p>
      <w:pPr>
        <w:jc w:val="both"/>
      </w:pPr>
      <w:r>
        <w:rPr>
          <w:vertAlign w:val="baseline"/>
        </w:rPr>
        <w:t xml:space="preserve">A szakértő a felperest a 2013. január 1. és 2017. december 31. közötti </w:t>
      </w:r>
      <w:r>
        <w:rPr>
          <w:vertAlign w:val="baseline"/>
        </w:rPr>
        <w:t xml:space="preserve">II.</w:t>
      </w:r>
      <w:r>
        <w:rPr>
          <w:vertAlign w:val="baseline"/>
        </w:rPr>
        <w:t xml:space="preserve"> rendű alperes általi üzemeltetés folytán ért kár kapcsán azt állapította meg, hogy az ezen időszakban elmaradt vagyoni előny meghatározásának lehetséges számítási módja a jövőérték-meghatározás, továbbá megvizsgálta annak a lehetőségét is, hogy a felperes által realizált árbevételkiesés átlagát tekinti vetítési alapnak, és annak megfelelően határozza meg a vásár értékét, azonban ezt elvetette, figyelemmel arra, hogy a piacfejlesztés- és működtetés az alapítvány alaptevékenységét képezte, így valamennyi működéssel kapcsolatos költség e tevékenységekre figyelemmel merült fel. A kárpótlás lehetséges értékének meghatározása körében rögzítette, hogy a periratok és a felperestől kapott, valamint a közhiteles nyilvántartásban fellelhető adatok és információk alapján megállapíthatóan az „</w:t>
      </w:r>
      <w:r>
        <w:rPr>
          <w:vertAlign w:val="baseline"/>
        </w:rPr>
        <w:t xml:space="preserve">párt1</w:t>
      </w:r>
      <w:r>
        <w:rPr>
          <w:vertAlign w:val="baseline"/>
        </w:rPr>
        <w:t xml:space="preserve"> piac” know-how értéke a felperes vezetői által megállapítást nem nyert, az előállítási, bruttó bekerülési érték nem ismert. Ebből következően a know-how értékhez költség, eszköznövekmény nem köthető. A bíróság és a felek véleménye esetén amennyiben az </w:t>
      </w:r>
      <w:r>
        <w:rPr>
          <w:vertAlign w:val="baseline"/>
        </w:rPr>
        <w:t xml:space="preserve">párt1</w:t>
      </w:r>
      <w:r>
        <w:rPr>
          <w:vertAlign w:val="baseline"/>
        </w:rPr>
        <w:t xml:space="preserve"> piac ötlete, piacfejlesztési tevékenysége értékkel bír, erre az esetre lehetséges megközelítési módnak vélte, ha a felperes alapító vagyonát tekintik kiindulási alapnak </w:t>
      </w:r>
      <w:r>
        <w:rPr>
          <w:vertAlign w:val="baseline"/>
        </w:rPr>
        <w:t xml:space="preserve">6.010.000,-</w:t>
      </w:r>
      <w:r>
        <w:rPr>
          <w:vertAlign w:val="baseline"/>
        </w:rPr>
        <w:t xml:space="preserve"> forint összegben. E körben utalt a felperesi törvényes képviselőnek a </w:t>
      </w:r>
      <w:r>
        <w:rPr>
          <w:vertAlign w:val="baseline"/>
        </w:rPr>
        <w:t xml:space="preserve">10.G.42.160/2018/67</w:t>
      </w:r>
      <w:r>
        <w:rPr>
          <w:vertAlign w:val="baseline"/>
        </w:rPr>
        <w:t xml:space="preserve">. számú jegyzőkönyvben foglalt nyilatkozatára. Kiemelte, hogy a vizsgált időszakban 3 heti vásár működtetésével </w:t>
      </w:r>
      <w:r>
        <w:rPr>
          <w:vertAlign w:val="baseline"/>
        </w:rPr>
        <w:t xml:space="preserve">113.734.000,-</w:t>
      </w:r>
      <w:r>
        <w:rPr>
          <w:vertAlign w:val="baseline"/>
        </w:rPr>
        <w:t xml:space="preserve"> forint árbevétel keletkezett. Ez azonban azt is jelenti, hogy az ily módon beazonosított immateriális jogok 1989 és 2017 között felhasználásra kerültek, azaz értéküket folyamatosan adták át a piacok működtetése érdekében. A </w:t>
      </w:r>
      <w:r>
        <w:rPr>
          <w:vertAlign w:val="baseline"/>
        </w:rPr>
        <w:t xml:space="preserve">6.010.000,-</w:t>
      </w:r>
      <w:r>
        <w:rPr>
          <w:vertAlign w:val="baseline"/>
        </w:rPr>
        <w:t xml:space="preserve"> forint összegű értéknek meghatározta a jövőértékét az elmaradt vagyoni előny megállapításához használt kamatlábakkal. Mivel a piacfejlesztési stratégia rendeltetésszerű felhasználása piacok működtetésében megtörtént, ezért a 2017. december 31-én készített értékmeghatározást az </w:t>
      </w:r>
      <w:r>
        <w:rPr>
          <w:vertAlign w:val="baseline"/>
        </w:rPr>
        <w:t xml:space="preserve">MNB</w:t>
      </w:r>
      <w:r>
        <w:rPr>
          <w:vertAlign w:val="baseline"/>
        </w:rPr>
        <w:t xml:space="preserve"> jegybanki alapkamatok átlagával nem korrigálta. A létrehozott know-how 23 éves felhasználást követően került ki a felperes működési köréből a </w:t>
      </w:r>
      <w:r>
        <w:rPr>
          <w:vertAlign w:val="baseline"/>
        </w:rPr>
        <w:t xml:space="preserve">út1</w:t>
      </w:r>
      <w:r>
        <w:rPr>
          <w:vertAlign w:val="baseline"/>
        </w:rPr>
        <w:t xml:space="preserve"> úti piac kezelésének megszűnésével. Az így meghatározott értékekből vagyoni hátrány csökkenéseként a </w:t>
      </w:r>
      <w:r>
        <w:rPr>
          <w:vertAlign w:val="baseline"/>
        </w:rPr>
        <w:t xml:space="preserve">út1</w:t>
      </w:r>
      <w:r>
        <w:rPr>
          <w:vertAlign w:val="baseline"/>
        </w:rPr>
        <w:t xml:space="preserve"> úti piacra eső részt lehet figyelembe venni, amelynek bevétele arányos szorzóját 32,55%-ban (4 év árbevételének átlaga) állapította meg.</w:t>
      </w:r>
    </w:p>
    <w:p>
      <w:pPr>
        <w:jc w:val="left"/>
      </w:pPr>
      <w:r>
        <w:rPr>
          <w:vertAlign w:val="baseline"/>
        </w:rPr>
        <w:t xml:space="preserve"> </w:t>
      </w:r>
      <w:r>
        <w:br/>
      </w:r>
    </w:p>
    <w:p>
      <w:pPr>
        <w:jc w:val="both"/>
      </w:pPr>
      <w:r>
        <w:rPr>
          <w:vertAlign w:val="baseline"/>
        </w:rPr>
        <w:t xml:space="preserve">A szakvélemény 12-13. oldalán a szakértő a feltett kérdésekre azt a választ adta, hogy a felperes 2013. január 1. és 2017. december 31. között a </w:t>
      </w:r>
      <w:r>
        <w:rPr>
          <w:vertAlign w:val="baseline"/>
        </w:rPr>
        <w:t xml:space="preserve">II.</w:t>
      </w:r>
      <w:r>
        <w:rPr>
          <w:vertAlign w:val="baseline"/>
        </w:rPr>
        <w:t xml:space="preserve"> r. alperes általi üzemeltetés folytán elmaradt vagyoni előny címén legalább </w:t>
      </w:r>
      <w:r>
        <w:rPr>
          <w:vertAlign w:val="baseline"/>
        </w:rPr>
        <w:t xml:space="preserve">1.884.432,-</w:t>
      </w:r>
      <w:r>
        <w:rPr>
          <w:vertAlign w:val="baseline"/>
        </w:rPr>
        <w:t xml:space="preserve"> forint kár érte. A teljes kárösszeg részét képező kárpótlás, költség összegét a </w:t>
      </w:r>
      <w:r>
        <w:rPr>
          <w:vertAlign w:val="baseline"/>
        </w:rPr>
        <w:t xml:space="preserve">Számv.</w:t>
      </w:r>
      <w:r>
        <w:rPr>
          <w:vertAlign w:val="baseline"/>
        </w:rPr>
        <w:t xml:space="preserve"> tv. előírásaira figyelemmel 0,- forintban állapította meg. Rögzítette, hogy évenkénti bontásban mutatta be a tényleges adatok alapján számított elmaradt vagyoni előny meghatározását, amelyben 3 fedezeti arány figyelembevételével történt meg a számszerűsítés. A tényadatok jövőbeni értékének kivetítésével megállapíthatóan amennyiben a </w:t>
      </w:r>
      <w:r>
        <w:rPr>
          <w:vertAlign w:val="baseline"/>
        </w:rPr>
        <w:t xml:space="preserve">2013-2017.</w:t>
      </w:r>
      <w:r>
        <w:rPr>
          <w:vertAlign w:val="baseline"/>
        </w:rPr>
        <w:t xml:space="preserve"> évekre csak a felperes által a vizsgált időszakban realizált pozitív eredmény átlagával (9,91%) kerül meghatározásra az elmaradt vagyoni előny, akkor annak összege </w:t>
      </w:r>
      <w:r>
        <w:rPr>
          <w:vertAlign w:val="baseline"/>
        </w:rPr>
        <w:t xml:space="preserve">2.252.065,-</w:t>
      </w:r>
      <w:r>
        <w:rPr>
          <w:vertAlign w:val="baseline"/>
        </w:rPr>
        <w:t xml:space="preserve"> forint. A piacfejlesztés know-how és üzleti értéke a számviteli beszámolók mérlegében kimutatott 0,- forint bekerülési (előállítási) érték következtében egzakt módon nem állapítható meg. A piac létrehozásához és üzemeltetéséhez szükséges védett ismeret (know-how) értékét a perbeli </w:t>
      </w:r>
      <w:r>
        <w:rPr>
          <w:vertAlign w:val="baseline"/>
        </w:rPr>
        <w:t xml:space="preserve">út1</w:t>
      </w:r>
      <w:r>
        <w:rPr>
          <w:vertAlign w:val="baseline"/>
        </w:rPr>
        <w:t xml:space="preserve"> úti heti vásárra korlátozva, de figyelemmel arra, hogy annak meghatározásához kizárólag a felperes képviselőjének nyilatkozata adott alapot, </w:t>
      </w:r>
      <w:r>
        <w:rPr>
          <w:vertAlign w:val="baseline"/>
        </w:rPr>
        <w:t xml:space="preserve">4.087.008,-</w:t>
      </w:r>
      <w:r>
        <w:rPr>
          <w:vertAlign w:val="baseline"/>
        </w:rPr>
        <w:t xml:space="preserve"> forintban állapította meg. A felperesi szervező tevékenység, tapasztalat és kapcsolatrendszer kárértékét 0,- forintban állapította meg. Ennek indokolásaként rögzítette, hogy a piaci stratégia 1989. évi nem dokumentált kialakítása értékkel bírhat, melynek számszerűsítését már adatok és információk hiányában az induló tőke ismeretében adta meg. Felhívta ugyanakkor arra a figyelmet, hogy az 1989-ben kidolgozott, de nem dokumentált és a gyakorlatban kipróbált, több mint 2 évtizedig működtetett rendszer a gazdasági környezetben megjelenő újabb értékesítési per vásárlási lehetőségek következtében már legkésőbb a 2010-es évek elejétől a hasznos időtartama végéhez közeledett. E tekintetben utalt a </w:t>
      </w:r>
      <w:r>
        <w:rPr>
          <w:vertAlign w:val="baseline"/>
        </w:rPr>
        <w:t xml:space="preserve">Számv.</w:t>
      </w:r>
      <w:r>
        <w:rPr>
          <w:vertAlign w:val="baseline"/>
        </w:rPr>
        <w:t xml:space="preserve"> tv. 3. § (4) bekezdésének 5. pontja a) pontjára. Mivel a felperesi szervező tevékenység és kapcsolatrendszer véleménye szerint a </w:t>
      </w:r>
      <w:r>
        <w:rPr>
          <w:vertAlign w:val="baseline"/>
        </w:rPr>
        <w:t xml:space="preserve">2009-2012.</w:t>
      </w:r>
      <w:r>
        <w:rPr>
          <w:vertAlign w:val="baseline"/>
        </w:rPr>
        <w:t xml:space="preserve"> üzleti években realizált árbevétel részét képezte, ennek megfelelően külön kárérték megállapítását nem tartotta indokoltnak.</w:t>
      </w:r>
    </w:p>
    <w:p>
      <w:pPr>
        <w:jc w:val="left"/>
      </w:pPr>
      <w:r>
        <w:rPr>
          <w:vertAlign w:val="baseline"/>
        </w:rPr>
        <w:t xml:space="preserve"> </w:t>
      </w:r>
      <w:r>
        <w:br/>
      </w:r>
    </w:p>
    <w:p>
      <w:pPr>
        <w:jc w:val="both"/>
      </w:pPr>
      <w:r>
        <w:rPr>
          <w:vertAlign w:val="baseline"/>
        </w:rPr>
        <w:t xml:space="preserve">A szakértő a szakvélemény 14. oldalán a kárösszegen belül a felperes megítélésében általa feltételezett presztízsveszteség értékét 0,- forintban állapította meg. Ennek indokolásaként előadta, hogy megvizsgálta </w:t>
      </w:r>
      <w:r>
        <w:rPr>
          <w:vertAlign w:val="baseline"/>
        </w:rPr>
        <w:t xml:space="preserve">2013-2016-</w:t>
      </w:r>
      <w:r>
        <w:rPr>
          <w:vertAlign w:val="baseline"/>
        </w:rPr>
        <w:t xml:space="preserve">os üzleti évekre közzétett számviteli beszámolókat és közhasznúsági mellékletet (a 2015. évi nem volt fellelhető). Ezen adatokból következően a </w:t>
      </w:r>
      <w:r>
        <w:rPr>
          <w:vertAlign w:val="baseline"/>
        </w:rPr>
        <w:t xml:space="preserve">utca2</w:t>
      </w:r>
      <w:r>
        <w:rPr>
          <w:vertAlign w:val="baseline"/>
        </w:rPr>
        <w:t xml:space="preserve"> heti vásár esetében a </w:t>
      </w:r>
      <w:r>
        <w:rPr>
          <w:vertAlign w:val="baseline"/>
        </w:rPr>
        <w:t xml:space="preserve">2009-2012.</w:t>
      </w:r>
      <w:r>
        <w:rPr>
          <w:vertAlign w:val="baseline"/>
        </w:rPr>
        <w:t xml:space="preserve"> évi átlagos árbevételt – </w:t>
      </w:r>
      <w:r>
        <w:rPr>
          <w:vertAlign w:val="baseline"/>
        </w:rPr>
        <w:t xml:space="preserve">8.615.000,-</w:t>
      </w:r>
      <w:r>
        <w:rPr>
          <w:vertAlign w:val="baseline"/>
        </w:rPr>
        <w:t xml:space="preserve"> forint/év – a </w:t>
      </w:r>
      <w:r>
        <w:rPr>
          <w:vertAlign w:val="baseline"/>
        </w:rPr>
        <w:t xml:space="preserve">2013-2015.</w:t>
      </w:r>
      <w:r>
        <w:rPr>
          <w:vertAlign w:val="baseline"/>
        </w:rPr>
        <w:t xml:space="preserve"> évben realizált bevétel </w:t>
      </w:r>
      <w:r>
        <w:rPr>
          <w:vertAlign w:val="baseline"/>
        </w:rPr>
        <w:t xml:space="preserve">8.633.000,-</w:t>
      </w:r>
      <w:r>
        <w:rPr>
          <w:vertAlign w:val="baseline"/>
        </w:rPr>
        <w:t xml:space="preserve"> forint/év teljesülése meghaladta, amelyből az a következtetés vonható le, hogy a piacműködtetési, szervezési szolgáltatás sérelmet nem szenvedett, az alapítványt presztízsveszteség nem érte.</w:t>
      </w:r>
    </w:p>
    <w:p>
      <w:pPr>
        <w:jc w:val="left"/>
      </w:pPr>
      <w:r>
        <w:rPr>
          <w:vertAlign w:val="baseline"/>
        </w:rPr>
        <w:t xml:space="preserve"> </w:t>
      </w:r>
      <w:r>
        <w:br/>
      </w:r>
    </w:p>
    <w:p>
      <w:pPr>
        <w:jc w:val="both"/>
      </w:pPr>
      <w:r>
        <w:rPr>
          <w:vertAlign w:val="baseline"/>
        </w:rPr>
        <w:t xml:space="preserve">A szakértő végül a 14-15. oldalon előadta, hogy az igényelt kártérítés jogcímei szerint elkészítette a magánszakértő véleménye, valamint a kirendelt szakértő által végzett vizsgálati és becslési eredményeket bemutató összefoglaló táblázatot, amelynek alapján megállapíthatóan a magánszakértő a csak becslésen alapuló kárértéket </w:t>
      </w:r>
      <w:r>
        <w:rPr>
          <w:vertAlign w:val="baseline"/>
        </w:rPr>
        <w:t xml:space="preserve">37.900.000</w:t>
      </w:r>
      <w:r>
        <w:rPr>
          <w:vertAlign w:val="baseline"/>
        </w:rPr>
        <w:t xml:space="preserve"> és </w:t>
      </w:r>
      <w:r>
        <w:rPr>
          <w:vertAlign w:val="baseline"/>
        </w:rPr>
        <w:t xml:space="preserve">44.300.000,-</w:t>
      </w:r>
      <w:r>
        <w:rPr>
          <w:vertAlign w:val="baseline"/>
        </w:rPr>
        <w:t xml:space="preserve"> forintban határozta meg, amely nagyságrendileg a 2013. január 1. - 2017. december 31. közötti bevétellel egyező. Álláspontja szerint azonban az elérhető bevétellel szemben – a tényadatok ezt igazolták – a működés érdekében elszámolt, de az időintervallumban megtakarított költség a felmerült kárértéket csökkenti. A know-how és egyéb jogcímek becsült kárértéke között a különbség a kirendelt és magánszakértő között alapvetően abban van, hogy a kirendelt szakértő által meghatározott érték nem egy piacorientált társaság saját tőke adatainak korrekciójából becsülte meg annak értékét, hanem megvizsgálta az alapítói célokat és azok alapján jutott arra a következtetésre, hogy az alapítói célok teljesülése érdekében történt alapítói befizetések azt az ötletet, elképzelést, stratégiát értékelték, amelyet végeredményben a felperes megvalósított, azonban nem hagyható figyelmen kívül az a tény, hogy ennek az ötletnek, stratégiának a megvalósítása hasznos élettartalmának a végéhez közelített már legkésőbb a 2010-es évek elejétől.</w:t>
      </w:r>
    </w:p>
    <w:p>
      <w:pPr>
        <w:jc w:val="left"/>
      </w:pPr>
      <w:r>
        <w:rPr>
          <w:vertAlign w:val="baseline"/>
        </w:rPr>
        <w:t xml:space="preserve"> </w:t>
      </w:r>
      <w:r>
        <w:br/>
      </w:r>
    </w:p>
    <w:p>
      <w:pPr>
        <w:jc w:val="both"/>
      </w:pPr>
      <w:r>
        <w:rPr>
          <w:vertAlign w:val="baseline"/>
        </w:rPr>
        <w:t xml:space="preserve">A felek szakvéleményt (ideértve a szakértő meghallgatása során előadott nyilatkozatait is) érintő kifogásait a bíróság egyenként, az alábbiak szerint értékelte. </w:t>
      </w:r>
    </w:p>
    <w:p>
      <w:pPr>
        <w:jc w:val="left"/>
      </w:pPr>
      <w:r>
        <w:rPr>
          <w:vertAlign w:val="baseline"/>
        </w:rPr>
        <w:t xml:space="preserve"> </w:t>
      </w:r>
      <w:r>
        <w:br/>
      </w:r>
    </w:p>
    <w:p>
      <w:pPr>
        <w:jc w:val="both"/>
      </w:pPr>
      <w:r>
        <w:rPr>
          <w:vertAlign w:val="baseline"/>
        </w:rPr>
        <w:t xml:space="preserve">Mindkét fél kifogásolta, hogy ellentmondásos az elmaradt vagyoni előny összegének meghatározása, mivel a szakértő három végszámot adott meg. Felperes azt is sérelmezte, hogy a három végszámból miért nem a legmagasabb összegűt jelölte meg kárként a szakértő, valamint hogy ennek miért nem adta indokát. A felek észrevétele a végszámok tekintetében helytálló, ebből azonban nem következik a szakértői megállapítások ellentmondásos volta. A szakvélemény 12. oldala </w:t>
      </w:r>
      <w:r>
        <w:rPr>
          <w:vertAlign w:val="baseline"/>
        </w:rPr>
        <w:t xml:space="preserve">1.884.423,-</w:t>
      </w:r>
      <w:r>
        <w:rPr>
          <w:vertAlign w:val="baseline"/>
        </w:rPr>
        <w:t xml:space="preserve"> forintban határozta meg az elmaradt vagyoni előny összegét, azonban ugyanitt az indoklásban jelezte, hogy annak összege a vizsgált időszakban realizált pozitív „eredmény” átlagával történt meghatározás alapján </w:t>
      </w:r>
      <w:r>
        <w:rPr>
          <w:vertAlign w:val="baseline"/>
        </w:rPr>
        <w:t xml:space="preserve">2.252.065,-</w:t>
      </w:r>
      <w:r>
        <w:rPr>
          <w:vertAlign w:val="baseline"/>
        </w:rPr>
        <w:t xml:space="preserve"> forint, a 2. számú melléklet pedig a harmadik végszámot és annak számbeli alapjait is tartalmazza, miként a különböző mértékű kamatráták alapján elvégzett számítások alapján valamennyi további értéket is. A szakértő a különböző végösszegű számítások elvégzésével a döntést a bíróság mérlegelési jogkörébe utalta. </w:t>
      </w:r>
    </w:p>
    <w:p>
      <w:pPr>
        <w:jc w:val="left"/>
      </w:pPr>
      <w:r>
        <w:rPr>
          <w:vertAlign w:val="baseline"/>
        </w:rPr>
        <w:t xml:space="preserve"> </w:t>
      </w:r>
      <w:r>
        <w:br/>
      </w:r>
    </w:p>
    <w:p>
      <w:pPr>
        <w:jc w:val="both"/>
      </w:pPr>
      <w:r>
        <w:rPr>
          <w:vertAlign w:val="baseline"/>
        </w:rPr>
        <w:t xml:space="preserve">Az elmaradt haszon meghatározása körében előadott további felperesi kifogások sérelmezték, hogy a szakértő a vizsgálati módszertan bemutatásánál a </w:t>
      </w:r>
      <w:r>
        <w:rPr>
          <w:vertAlign w:val="baseline"/>
        </w:rPr>
        <w:t xml:space="preserve">2009-2012-</w:t>
      </w:r>
      <w:r>
        <w:rPr>
          <w:vertAlign w:val="baseline"/>
        </w:rPr>
        <w:t xml:space="preserve">es évek eredmény-kimutatásából indult ki, valamint hogy a szakértő által alkalmazott módszertan következetesen „fedezeti összeget” és „fedezeti százalékot” számol, amit valójában az eredmény (nyereség vagy veszteség) szinonimájaként használ, illetőleg álláspontja szerint nem az elmaradt hasznot kell vizsgálni, hanem a jövőbeni hozadékot. A szakértőt a bíróság kirendelő végzése hívta fel a piac vonatkozásában a korábbi évek tekintetében realizált és várható felperesi bevételek mínusz szükségszerűen fordítandó költségek szerinti kárösszeg meghatározására. A bíróság ilyen tartalmú kérdésfeltételét felperes nem kifogásolta a kirendelő végzés kézbesítését követően, olyan tartalmú tényelőadást pedig nem is terjesztett elő, amely a kirendelő végzésben meghatározott szempontoktól eltért volna. A jövőbeli hozadék számítására vonatkozó nyilatkozatát anélkül adta elő, hogy részleteiben megindokolta volna, az mennyiben tér el a szakértő által alkalmazott, a szakvélemény 10. oldalán nevesített módszertől. A szakértő a kárösszeg meghatározása során kompetenciájának megfelelően számviteli szabályok és alapfogalmak alapján és alkalmazásával járt el, ezért az, hogy ilyen fogalmakat használt, éppenséggel alátámasztja megállapításának szakmaiságát. További felperesi kifogás volt, hogy a piacot üzemeltető felperesi alapítvány nonprofit jellege miatt értelmezhetetlenek a nyereségorientált jogalanyok működése körében használatos fogalmak. E vonatkozásban a bíróság utal arra, hogy a szakértő részére irányadó és a szakvélemény 4. oldalán a szakvélemény elkészítésének módszere alcím alatt nevesített </w:t>
      </w:r>
      <w:r>
        <w:rPr>
          <w:vertAlign w:val="baseline"/>
        </w:rPr>
        <w:t xml:space="preserve">Számv.</w:t>
      </w:r>
      <w:r>
        <w:rPr>
          <w:vertAlign w:val="baseline"/>
        </w:rPr>
        <w:t xml:space="preserve"> tv. 2. §-ának (2) bekezdése értelmében a törvény hatálya alá tartozik a gazdálkodó, a 3. § (1) bekezdése pedig gazdálkodónak minősíti az „egyéb szervezet”-et is, míg ugyanezen § 4. pontjának a) alpontja egyéb szervezetként jelöli meg az egyesületet és az alapítványt. Ezért téves az ezt kifogásoló felperesi érv. Ebből ugyanakkor az is következik, hogy a </w:t>
      </w:r>
      <w:r>
        <w:rPr>
          <w:vertAlign w:val="baseline"/>
        </w:rPr>
        <w:t xml:space="preserve">Számv.</w:t>
      </w:r>
      <w:r>
        <w:rPr>
          <w:vertAlign w:val="baseline"/>
        </w:rPr>
        <w:t xml:space="preserve"> tv. és egyéb irányadó szakmai szabályok által megkövetelt előírások nemteljesítése, hiányossága ugyanolyan relevanciával bír a felperesre nézve, mint más jogalanyra. Mindennek a know-how és a goodwill-csökkenés kapcsán van relevanciája. </w:t>
      </w:r>
    </w:p>
    <w:p>
      <w:pPr>
        <w:jc w:val="left"/>
      </w:pPr>
      <w:r>
        <w:rPr>
          <w:vertAlign w:val="baseline"/>
        </w:rPr>
        <w:t xml:space="preserve"> </w:t>
      </w:r>
      <w:r>
        <w:br/>
      </w:r>
    </w:p>
    <w:p>
      <w:pPr>
        <w:jc w:val="both"/>
      </w:pPr>
      <w:r>
        <w:rPr>
          <w:vertAlign w:val="baseline"/>
        </w:rPr>
        <w:t xml:space="preserve">A felperesi kifogások jelentős része a know-how és goodwill értékének meghatározását érintette. E vonatkozásban a bíróság utal arra, hogy a szakértő mind szakvéleményében, mind meghallgatásán hangsúlyozta: sem a piaci stratégia 1989-es kialakítása, sem a felperesi szervezői tevékenység és kapcsolatrendszer nem dokumentált – ezt felperes nem is vitatta –, a piac létrehozásához és üzemeltetéséhez szükséges védett ismeret körében megállapított kárösszegre kizárólag a felperesi törvényes képviselő nyilatkozata – tehát megint csak nem bármilyen felperesi okirat, számviteli adat stb. – adott alapot. Ezért nem áll fenn a felperes által állított ellentmondás, a szakértői megállapításból következően kizárólag a felperesi tárgybeli okiratok (pontosabban hiányok) alapján a piac létrehozásához és üzemeltetéséhez szükséges védett ismeret értéke is 0,- forint volna. A szakértő e megállapítását nem a </w:t>
      </w:r>
      <w:r>
        <w:rPr>
          <w:vertAlign w:val="baseline"/>
        </w:rPr>
        <w:t xml:space="preserve">Számv.</w:t>
      </w:r>
      <w:r>
        <w:rPr>
          <w:vertAlign w:val="baseline"/>
        </w:rPr>
        <w:t xml:space="preserve"> tv. által előírt elszámolási metódusok alapján tette meg, azonban nem ezek irreleváns volta miatt, hanem mert a tárgyban semmilyen irat nem állt rendelkezésére. A szakértő több helyütt rögzítette, hogy a piacfejlesztés, működtetés nem anyagi eszközként történő feltüntetésére vonatkozó iratanyagot a periratok – így a felperesre vonatkozó számviteli okiratok – nem tartalmaznak. Ugyancsak több helyütt megjelölte a </w:t>
      </w:r>
      <w:r>
        <w:rPr>
          <w:vertAlign w:val="baseline"/>
        </w:rPr>
        <w:t xml:space="preserve">Számv.</w:t>
      </w:r>
      <w:r>
        <w:rPr>
          <w:vertAlign w:val="baseline"/>
        </w:rPr>
        <w:t xml:space="preserve"> tv. 25. §-ának (1) bekezdését, melynek értelmében az immateriális javak között a mérlegben a nem anyag eszközöket (a vagyoni értékű jogokat az ingatlanhoz kapcsolódó vagyoni értékű jogok kivételével, a szellemi terméket, az üzleti vagy cégértéket), továbbá az immateriális javakra adott előlegeket, valamint az immateriális javak értékhelyesbítését kell kimutatni. Az egyedüli fogódzó az alapítói vagyon mértéke volt, melyet a felperes és a </w:t>
      </w:r>
      <w:r>
        <w:rPr>
          <w:vertAlign w:val="baseline"/>
        </w:rPr>
        <w:t xml:space="preserve">II.</w:t>
      </w:r>
      <w:r>
        <w:rPr>
          <w:vertAlign w:val="baseline"/>
        </w:rPr>
        <w:t xml:space="preserve"> rendű alperes egyaránt kifogásolt, anélkül azonban, hogy megjelölte volna, amennyiben nem ez veendő figyelembe, akkor milyen, számvitelileg, könyvvezetésileg értékelhető adat. A perbeli esetben a számviteli feltüntetés hiánya alapvető kihatással van a tárgybeli felperesi kárigényre nézve, a </w:t>
      </w:r>
      <w:r>
        <w:rPr>
          <w:vertAlign w:val="baseline"/>
        </w:rPr>
        <w:t xml:space="preserve">Számv.</w:t>
      </w:r>
      <w:r>
        <w:rPr>
          <w:vertAlign w:val="baseline"/>
        </w:rPr>
        <w:t xml:space="preserve"> tv. előírásai ugyanis a fentiek alapján a felperesre nézve is kötelezőek. A felperes a szakértő által vizsgált időszakban egyetlen számviteli dokumentumában sem rögzítette, illetve a perbeli piac létrehozásához és működtetéséhez szükséges védett ismeretet, míg a szakértő 3. kérdésre adott válaszából (a szakvélemény 14. oldala) kitűnően a felperes által 2013-at követően kizárólag tovább működtetett </w:t>
      </w:r>
      <w:r>
        <w:rPr>
          <w:vertAlign w:val="baseline"/>
        </w:rPr>
        <w:t xml:space="preserve">utca2</w:t>
      </w:r>
      <w:r>
        <w:rPr>
          <w:vertAlign w:val="baseline"/>
        </w:rPr>
        <w:t xml:space="preserve"> heti vásárból származó árbevétele a </w:t>
      </w:r>
      <w:r>
        <w:rPr>
          <w:vertAlign w:val="baseline"/>
        </w:rPr>
        <w:t xml:space="preserve">2009-2012.</w:t>
      </w:r>
      <w:r>
        <w:rPr>
          <w:vertAlign w:val="baseline"/>
        </w:rPr>
        <w:t xml:space="preserve"> évi átlagos árbevételt </w:t>
      </w:r>
      <w:r>
        <w:rPr>
          <w:vertAlign w:val="baseline"/>
        </w:rPr>
        <w:t xml:space="preserve">2013-2015</w:t>
      </w:r>
      <w:r>
        <w:rPr>
          <w:vertAlign w:val="baseline"/>
        </w:rPr>
        <w:t xml:space="preserve"> között </w:t>
      </w:r>
      <w:r>
        <w:rPr>
          <w:vertAlign w:val="baseline"/>
        </w:rPr>
        <w:t xml:space="preserve">8.633.000,-</w:t>
      </w:r>
      <w:r>
        <w:rPr>
          <w:vertAlign w:val="baseline"/>
        </w:rPr>
        <w:t xml:space="preserve"> forint/év teljesüléssel meghaladta, amelyből következően a piacműködtetési, szervezési szolgáltatás nem szenvedett sérelmet, a felperest nem érte presztízsveszteség. A szakértő egyéb adatok hiányában további következtetést nem tudott levonni, a felperes pedig nem adott elő olyan további tényállításokat, amelyek ettől eltérő következtetések levonására adnának alapot, csupán hivatkozott arra, hogy e kérdés nem a bevételek alakulásából állapítható meg, hanem a felperes társadalmi megítélésében bekövetkezett csökkenésből lehet és kell arra következtetni, azonban semmilyen tényelőadással és kapcsolódó bizonyítékkal nem támasztotta alá. </w:t>
      </w:r>
    </w:p>
    <w:p>
      <w:pPr>
        <w:jc w:val="left"/>
      </w:pPr>
      <w:r>
        <w:rPr>
          <w:vertAlign w:val="baseline"/>
        </w:rPr>
        <w:t xml:space="preserve"> </w:t>
      </w:r>
      <w:r>
        <w:br/>
      </w:r>
    </w:p>
    <w:p>
      <w:pPr>
        <w:jc w:val="both"/>
      </w:pPr>
      <w:r>
        <w:rPr>
          <w:vertAlign w:val="baseline"/>
        </w:rPr>
        <w:t xml:space="preserve">Külön hangsúlyozza a bíróság, hogy a szakértő a számviteli bizonylattal alátámasztottság hiányán felül állapította meg az immateriális jogok </w:t>
      </w:r>
      <w:r>
        <w:rPr>
          <w:vertAlign w:val="baseline"/>
        </w:rPr>
        <w:t xml:space="preserve">1989-2017</w:t>
      </w:r>
      <w:r>
        <w:rPr>
          <w:vertAlign w:val="baseline"/>
        </w:rPr>
        <w:t xml:space="preserve"> közötti felhasználását (szakvélemény 11. oldalának 5. bek.), mégpedig az árbevételhez kapcsolódóan. Ezért téves a felperes ezt érintő kifogása, azért is, mert a szakértő a szakvélemény 13. oldalán utalt a </w:t>
      </w:r>
      <w:r>
        <w:rPr>
          <w:vertAlign w:val="baseline"/>
        </w:rPr>
        <w:t xml:space="preserve">Számv.</w:t>
      </w:r>
      <w:r>
        <w:rPr>
          <w:vertAlign w:val="baseline"/>
        </w:rPr>
        <w:t xml:space="preserve"> tv. 3. § (4) bekezdésének 5. pontjára (a hasznos élettartamra), azt azzal összekapcsolva, hogy az 1989-ben kidolgozott, de részleteiben nem dokumentált és a gyakorlatban kipróbált, több mint két évtizedig működtetett rendszer már legkésőbb a 2010-es évek elejétől a hasznos időtartamának végéhez közeledett. </w:t>
      </w:r>
    </w:p>
    <w:p>
      <w:pPr>
        <w:jc w:val="left"/>
      </w:pPr>
      <w:r>
        <w:rPr>
          <w:vertAlign w:val="baseline"/>
        </w:rPr>
        <w:t xml:space="preserve"> </w:t>
      </w:r>
      <w:r>
        <w:br/>
      </w:r>
    </w:p>
    <w:p>
      <w:pPr>
        <w:jc w:val="both"/>
      </w:pPr>
      <w:r>
        <w:rPr>
          <w:vertAlign w:val="baseline"/>
        </w:rPr>
        <w:t xml:space="preserve">Téves a felperes jogerős részítélet [58] pontját illető értelmezése is. Abból ugyanis nem az következik, hogy a goodwill és a know-how egyaránt értékkel bír, csupán az, hogy a </w:t>
      </w:r>
      <w:r>
        <w:rPr>
          <w:vertAlign w:val="baseline"/>
        </w:rPr>
        <w:t xml:space="preserve">II.</w:t>
      </w:r>
      <w:r>
        <w:rPr>
          <w:vertAlign w:val="baseline"/>
        </w:rPr>
        <w:t xml:space="preserve"> rendű alperes magatartása a </w:t>
      </w:r>
      <w:r>
        <w:rPr>
          <w:vertAlign w:val="baseline"/>
        </w:rPr>
        <w:t xml:space="preserve">Tpvt.</w:t>
      </w:r>
      <w:r>
        <w:rPr>
          <w:vertAlign w:val="baseline"/>
        </w:rPr>
        <w:t xml:space="preserve"> 2. §-ába ütközött. Amennyiben önmagában a fenti pont alapján meghatározható kárértéke lett volna a megismételt eljárás során tisztázandó kárösszegnek, a másodfokú bíróság nem írta volna elő a bizonyítás lefolytatását a kártérítés körében. </w:t>
      </w:r>
    </w:p>
    <w:p>
      <w:pPr>
        <w:jc w:val="left"/>
      </w:pPr>
      <w:r>
        <w:rPr>
          <w:vertAlign w:val="baseline"/>
        </w:rPr>
        <w:t xml:space="preserve"> </w:t>
      </w:r>
      <w:r>
        <w:br/>
      </w:r>
    </w:p>
    <w:p>
      <w:pPr>
        <w:jc w:val="both"/>
      </w:pPr>
      <w:r>
        <w:rPr>
          <w:vertAlign w:val="baseline"/>
        </w:rPr>
        <w:t xml:space="preserve">A bíróság a felperesi kifogásokat érintően végezetül a </w:t>
      </w:r>
      <w:r>
        <w:rPr>
          <w:vertAlign w:val="baseline"/>
        </w:rPr>
        <w:t xml:space="preserve">szakértő1</w:t>
      </w:r>
      <w:r>
        <w:rPr>
          <w:vertAlign w:val="baseline"/>
        </w:rPr>
        <w:t xml:space="preserve"> által készített értékbecslésekre alapított felperesi hivatkozásokat értékelte. A keresetlevélhez F/5. számon csatolt értékbecslés feladat-meghatározásként a perbeli heti vásár valós értékének meghatározását írta elő annak érdekében, hogy meghatározható legyen a felperest ért kár. E meghatározásból következően ez az értékbecslés a perbeli jogvitához legfeljebb közvetetten kapcsolódik, azért is, mert a perbeli heti vásár felperes működő, bevételt eredményező „vagyonrész”-kénti kimutatását egyetlen felperesi számviteli okirat sem tanúsította. Ezért a per során szükségtelen volt a </w:t>
      </w:r>
      <w:r>
        <w:rPr>
          <w:vertAlign w:val="baseline"/>
        </w:rPr>
        <w:t xml:space="preserve">Tao.</w:t>
      </w:r>
      <w:r>
        <w:rPr>
          <w:vertAlign w:val="baseline"/>
        </w:rPr>
        <w:t xml:space="preserve"> tv. 18. §-a szerinti értékmeghatározás elvégzésére. Lényegében a fentiekkel egyezően okból nincs relevanciája a </w:t>
      </w:r>
      <w:r>
        <w:rPr>
          <w:vertAlign w:val="baseline"/>
        </w:rPr>
        <w:t xml:space="preserve">30.G.42.023/2021/12</w:t>
      </w:r>
      <w:r>
        <w:rPr>
          <w:vertAlign w:val="baseline"/>
        </w:rPr>
        <w:t xml:space="preserve">. számú beadványhoz mellékelt értékbecslésnek sem. A bíróság a fentieken túl utal arra, hogy a szakértő részletesen megindokolta az értékbecslésekkel szembeni eltérő szakmai álláspontját, abból a bíróság kiemeli, hogy a szakértő észrevételezte, </w:t>
      </w:r>
      <w:r>
        <w:rPr>
          <w:vertAlign w:val="baseline"/>
        </w:rPr>
        <w:t xml:space="preserve">szakértő1</w:t>
      </w:r>
      <w:r>
        <w:rPr>
          <w:vertAlign w:val="baseline"/>
        </w:rPr>
        <w:t xml:space="preserve"> véleménye szerint úgy határozta meg a piacfejlesztés, működtetés értékét, hogy figyelmen kívül hagyta azt a körülményt, a felperes ezen szakismereteit több piac működtetésében érvényesítette (szakvélemény 9-10. oldala). Arra pedig helytállóan hivatkozott a </w:t>
      </w:r>
      <w:r>
        <w:rPr>
          <w:vertAlign w:val="baseline"/>
        </w:rPr>
        <w:t xml:space="preserve">II.</w:t>
      </w:r>
      <w:r>
        <w:rPr>
          <w:vertAlign w:val="baseline"/>
        </w:rPr>
        <w:t xml:space="preserve"> rendű alperes, hogy a második értékbecslésben összehasonlításként nevesített és bemutatott </w:t>
      </w:r>
      <w:r>
        <w:rPr>
          <w:vertAlign w:val="baseline"/>
        </w:rPr>
        <w:t xml:space="preserve">utca1</w:t>
      </w:r>
      <w:r>
        <w:rPr>
          <w:vertAlign w:val="baseline"/>
        </w:rPr>
        <w:t xml:space="preserve"> utcai piac a perbeli heti vásártó eltérő jellemzői (állandóan működött piac, fedett, fix helyen működő piac) az összevetésre alkalmatlan. A fentieken túl </w:t>
      </w:r>
      <w:r>
        <w:rPr>
          <w:vertAlign w:val="baseline"/>
        </w:rPr>
        <w:t xml:space="preserve">szakértő1</w:t>
      </w:r>
      <w:r>
        <w:rPr>
          <w:vertAlign w:val="baseline"/>
        </w:rPr>
        <w:t xml:space="preserve"> nem bejegyzett igazságügyi szakértő, az általa készített értékbecsléseket felperes okirati bizonyítékként nyújtotta be, azokat a szakértő részletesen értékelte, ezen okiratok tartalmának további perbeli jelentőségük nem volt, ezért </w:t>
      </w:r>
      <w:r>
        <w:rPr>
          <w:vertAlign w:val="baseline"/>
        </w:rPr>
        <w:t xml:space="preserve">szakértő1</w:t>
      </w:r>
      <w:r>
        <w:rPr>
          <w:vertAlign w:val="baseline"/>
        </w:rPr>
        <w:t xml:space="preserve"> tanúkénti meghallgatását a bíróság mellőzte.</w:t>
      </w:r>
      <w:r>
        <w:rPr>
          <w:vertAlign w:val="baseline"/>
        </w:rPr>
        <w:t xml:space="preserve">  </w:t>
      </w:r>
    </w:p>
    <w:p>
      <w:pPr>
        <w:jc w:val="left"/>
      </w:pPr>
      <w:r>
        <w:rPr>
          <w:vertAlign w:val="baseline"/>
        </w:rPr>
        <w:t xml:space="preserve"> </w:t>
      </w:r>
      <w:r>
        <w:br/>
      </w:r>
    </w:p>
    <w:p>
      <w:pPr>
        <w:jc w:val="both"/>
      </w:pPr>
      <w:r>
        <w:rPr>
          <w:vertAlign w:val="baseline"/>
        </w:rPr>
        <w:t xml:space="preserve">A </w:t>
      </w:r>
      <w:r>
        <w:rPr>
          <w:vertAlign w:val="baseline"/>
        </w:rPr>
        <w:t xml:space="preserve">II.</w:t>
      </w:r>
      <w:r>
        <w:rPr>
          <w:vertAlign w:val="baseline"/>
        </w:rPr>
        <w:t xml:space="preserve"> rendű alperes általános jelleggel állította, hogy a szakértő jogkérdésben kívánt állást foglalni. A szakértő minden esetben feltüntette, hogy a reá irányadó szakmai szabályok mely jogszabályi előíráson alapulnak, külön jelezte, hogy mely kérdésre adott válaszában hagyatkozott a felperesi törvényes képviselő nyilatkozatára, továbbá milyen számítás alapján határozott meg különböző kárösszegeket az elmaradt haszonnál. A szakértő nem lépte túl perbeli szerepét és kompetenciáját. </w:t>
      </w:r>
    </w:p>
    <w:p>
      <w:pPr>
        <w:jc w:val="left"/>
      </w:pPr>
      <w:r>
        <w:rPr>
          <w:vertAlign w:val="baseline"/>
        </w:rPr>
        <w:t xml:space="preserve"> </w:t>
      </w:r>
      <w:r>
        <w:br/>
      </w:r>
    </w:p>
    <w:p>
      <w:pPr>
        <w:jc w:val="both"/>
      </w:pPr>
      <w:r>
        <w:rPr>
          <w:vertAlign w:val="baseline"/>
        </w:rPr>
        <w:t xml:space="preserve">Iratellenes a </w:t>
      </w:r>
      <w:r>
        <w:rPr>
          <w:vertAlign w:val="baseline"/>
        </w:rPr>
        <w:t xml:space="preserve">II.</w:t>
      </w:r>
      <w:r>
        <w:rPr>
          <w:vertAlign w:val="baseline"/>
        </w:rPr>
        <w:t xml:space="preserve"> rendű alperesnek a 2012-es év adatainak szakértő általi figyelmen kívül hagyását állító érve. A szakvélemény 6. oldala táblázatos formában tartalmazta a </w:t>
      </w:r>
      <w:r>
        <w:rPr>
          <w:vertAlign w:val="baseline"/>
        </w:rPr>
        <w:t xml:space="preserve">2009-2012</w:t>
      </w:r>
      <w:r>
        <w:rPr>
          <w:vertAlign w:val="baseline"/>
        </w:rPr>
        <w:t xml:space="preserve"> közötti időszak bevételeire, költségeire, fedezeti összegre és fedezeti %-ra vonatkozó évenkénti és összesített számait, a szakvélemény egyetlen további részéből sem tűnik ki, hogy a szakértő a 2012-es évet figyelmen kívül hagyta volna megállapításainak megtétele során. </w:t>
      </w:r>
    </w:p>
    <w:p>
      <w:pPr>
        <w:jc w:val="left"/>
      </w:pPr>
      <w:r>
        <w:rPr>
          <w:vertAlign w:val="baseline"/>
        </w:rPr>
        <w:t xml:space="preserve"> </w:t>
      </w:r>
      <w:r>
        <w:br/>
      </w:r>
    </w:p>
    <w:p>
      <w:pPr>
        <w:jc w:val="both"/>
      </w:pPr>
      <w:r>
        <w:rPr>
          <w:vertAlign w:val="baseline"/>
        </w:rPr>
        <w:t xml:space="preserve">A </w:t>
      </w:r>
      <w:r>
        <w:rPr>
          <w:vertAlign w:val="baseline"/>
        </w:rPr>
        <w:t xml:space="preserve">II.</w:t>
      </w:r>
      <w:r>
        <w:rPr>
          <w:vertAlign w:val="baseline"/>
        </w:rPr>
        <w:t xml:space="preserve"> rendű alperes felrótta a szakértőnek, hogy az 1. kérdés tekintetében egyáltalán nem vizsgálta, az alperes üzemeltetésével ok-okozati összefüggésben keletkezett-e valamilyen kár, illetve az felróható-e az alperes tevékenységének. A perbeli szakvélemény abban az időpontban készült, amikor a </w:t>
      </w:r>
      <w:r>
        <w:rPr>
          <w:vertAlign w:val="baseline"/>
        </w:rPr>
        <w:t xml:space="preserve">Kúria</w:t>
      </w:r>
      <w:r>
        <w:rPr>
          <w:vertAlign w:val="baseline"/>
        </w:rPr>
        <w:t xml:space="preserve"> még nem hozta meg részítéletét, így a bizonyításnak azon, a másodfokú részítéletben foglalt megállapításon is kellett alapulnia, hogy a </w:t>
      </w:r>
      <w:r>
        <w:rPr>
          <w:vertAlign w:val="baseline"/>
        </w:rPr>
        <w:t xml:space="preserve">II.</w:t>
      </w:r>
      <w:r>
        <w:rPr>
          <w:vertAlign w:val="baseline"/>
        </w:rPr>
        <w:t xml:space="preserve"> rendű alperes 2012. november 26. és december 31. közötti időszakban a heti vásárt érintően kifejtett magatartása is jogellenes volt. Az oksági kapcsolatról a bíróság a kúriai határozatra figyelemmel fejti ki álláspontját. </w:t>
      </w:r>
    </w:p>
    <w:p>
      <w:pPr>
        <w:jc w:val="left"/>
      </w:pPr>
      <w:r>
        <w:rPr>
          <w:vertAlign w:val="baseline"/>
        </w:rPr>
        <w:t xml:space="preserve"> </w:t>
      </w:r>
      <w:r>
        <w:br/>
      </w:r>
    </w:p>
    <w:p>
      <w:pPr>
        <w:jc w:val="both"/>
      </w:pPr>
      <w:r>
        <w:rPr>
          <w:vertAlign w:val="baseline"/>
        </w:rPr>
        <w:t xml:space="preserve">A szakértő által alkalmazott módszerhez kapcsolódott az a </w:t>
      </w:r>
      <w:r>
        <w:rPr>
          <w:vertAlign w:val="baseline"/>
        </w:rPr>
        <w:t xml:space="preserve">II.</w:t>
      </w:r>
      <w:r>
        <w:rPr>
          <w:vertAlign w:val="baseline"/>
        </w:rPr>
        <w:t xml:space="preserve"> rendű alperesi – jogszabályi előírással, vagy más, irányadó szakmai szabállyal alá nem támasztott – kifogás, hogy a felperes gazdasági adataiból nem lehet következtetni semmilyen elmaradt haszonra </w:t>
      </w:r>
      <w:r>
        <w:rPr>
          <w:vertAlign w:val="baseline"/>
        </w:rPr>
        <w:t xml:space="preserve">2012-2017.</w:t>
      </w:r>
      <w:r>
        <w:rPr>
          <w:vertAlign w:val="baseline"/>
        </w:rPr>
        <w:t xml:space="preserve"> között. A szakvélemény 10. oldala módszerként, lehetséges számítási módként nevesítette a jövőérték meghatározást, és részletesen, három kamatláb meghatározásával, a 2. számú mellékletben évenkénti bontásban bemutatva határozta meg az elmaradt haszon mértékét. A </w:t>
      </w:r>
      <w:r>
        <w:rPr>
          <w:vertAlign w:val="baseline"/>
        </w:rPr>
        <w:t xml:space="preserve">II.</w:t>
      </w:r>
      <w:r>
        <w:rPr>
          <w:vertAlign w:val="baseline"/>
        </w:rPr>
        <w:t xml:space="preserve"> rendű alperes sem e számítások helyességét nem vitatta, sem a szakértői számítás alternatívájaként alkalmas módszert nem nevesített. </w:t>
      </w:r>
    </w:p>
    <w:p>
      <w:pPr>
        <w:jc w:val="left"/>
      </w:pPr>
      <w:r>
        <w:rPr>
          <w:vertAlign w:val="baseline"/>
        </w:rPr>
        <w:t xml:space="preserve"> </w:t>
      </w:r>
      <w:r>
        <w:br/>
      </w:r>
    </w:p>
    <w:p>
      <w:pPr>
        <w:jc w:val="both"/>
      </w:pPr>
      <w:r>
        <w:rPr>
          <w:vertAlign w:val="baseline"/>
        </w:rPr>
        <w:t xml:space="preserve">A </w:t>
      </w:r>
      <w:r>
        <w:rPr>
          <w:vertAlign w:val="baseline"/>
        </w:rPr>
        <w:t xml:space="preserve">II.</w:t>
      </w:r>
      <w:r>
        <w:rPr>
          <w:vertAlign w:val="baseline"/>
        </w:rPr>
        <w:t xml:space="preserve"> rendű alperes további kifogásai a közterület használati engedélyhez, annak szakértő általi alapul vételéhez kapcsolódtak. Azt helytállóan állította a </w:t>
      </w:r>
      <w:r>
        <w:rPr>
          <w:vertAlign w:val="baseline"/>
        </w:rPr>
        <w:t xml:space="preserve">II.</w:t>
      </w:r>
      <w:r>
        <w:rPr>
          <w:vertAlign w:val="baseline"/>
        </w:rPr>
        <w:t xml:space="preserve"> rendű alperes, hogy a közterület-használatra vonatkozó szerződés elmaradása nem volt jogellenes, pontosabban: nem ez volt jogellenes, hanem – a kúriai részítélet alapján – a felperes által üzemeltetett heti vásárnak a </w:t>
      </w:r>
      <w:r>
        <w:rPr>
          <w:vertAlign w:val="baseline"/>
        </w:rPr>
        <w:t xml:space="preserve">II.</w:t>
      </w:r>
      <w:r>
        <w:rPr>
          <w:vertAlign w:val="baseline"/>
        </w:rPr>
        <w:t xml:space="preserve"> rendű alperes által 2013. január 1-től 2017. december 31-ig a felperes kapcsolatrendszere és tevékenysége eredményeinek engedély nélküli felhasználása. Az nem volt vitatott a felek között, hogy a heti vásár felperes általi üzemeltetésének előfeltétele volt a közterület-használatra vonatkozó szerződés megkötése, ezért a szakértőnek véleményadása során figyelembe kellett vennie ezt a körülményt, és figyelembe is vette. A szakértőnek megállapításai során abból kellett kiindulnia, hogy a felperesi kárösszeg megállapítása során a 2013. január 1. és 2017. december 31. közötti időintervallumban releváns körülmény a közterület-használati engedély, szerződés, díjak stb. meglétének feltételezése, mivel ezek nélkül a felperes jogszerűen nem üzemeltethette volna a heti vásárt. Ebből következően az elmaradt haszon megállapításának is előfeltétele ennek tekintetbe vétele. Kétségtelen, hogy az adományok felperes részére történő nyújtása nem volt kötelező, azonban a </w:t>
      </w:r>
      <w:r>
        <w:rPr>
          <w:vertAlign w:val="baseline"/>
        </w:rPr>
        <w:t xml:space="preserve">II.</w:t>
      </w:r>
      <w:r>
        <w:rPr>
          <w:vertAlign w:val="baseline"/>
        </w:rPr>
        <w:t xml:space="preserve"> rendű alperes semmivel nem támasztotta alá azon állítását, hogy azok elmaradása miért nem értelmezhető elmaradt haszonként, továbbá az is tényként állapítható meg, hogy a piacüzemeltetés során a felperes más bevételre nem is tett szert, melyet a szakértő nem hagyhatott és nem is hagyott figyelmen kívül. </w:t>
      </w:r>
    </w:p>
    <w:p>
      <w:pPr>
        <w:jc w:val="left"/>
      </w:pPr>
      <w:r>
        <w:rPr>
          <w:vertAlign w:val="baseline"/>
        </w:rPr>
        <w:t xml:space="preserve"> </w:t>
      </w:r>
      <w:r>
        <w:br/>
      </w:r>
    </w:p>
    <w:p>
      <w:pPr>
        <w:jc w:val="both"/>
      </w:pPr>
      <w:r>
        <w:rPr>
          <w:vertAlign w:val="baseline"/>
        </w:rPr>
        <w:t xml:space="preserve">A </w:t>
      </w:r>
      <w:r>
        <w:rPr>
          <w:vertAlign w:val="baseline"/>
        </w:rPr>
        <w:t xml:space="preserve">II.</w:t>
      </w:r>
      <w:r>
        <w:rPr>
          <w:vertAlign w:val="baseline"/>
        </w:rPr>
        <w:t xml:space="preserve"> rendű alperes </w:t>
      </w:r>
      <w:r>
        <w:rPr>
          <w:vertAlign w:val="baseline"/>
        </w:rPr>
        <w:t xml:space="preserve">Sztv.</w:t>
      </w:r>
      <w:r>
        <w:rPr>
          <w:vertAlign w:val="baseline"/>
        </w:rPr>
        <w:t xml:space="preserve"> 47. § (4) és (6) bekezdésére tett hivatkozását érintően a bíróság hangsúlyozza, hogy a </w:t>
      </w:r>
      <w:r>
        <w:rPr>
          <w:vertAlign w:val="baseline"/>
        </w:rPr>
        <w:t xml:space="preserve">II.</w:t>
      </w:r>
      <w:r>
        <w:rPr>
          <w:vertAlign w:val="baseline"/>
        </w:rPr>
        <w:t xml:space="preserve"> rendű alperes részleteiben meg sem jelölte, a 47. § (4) bekezdésének mely rendelkezését nem teljesíti a szakvélemény 2. kérdésre adott válasza, a (6) bekezdés kapcsán pedig a bíróság ismét rögzíti, hogy a szakértő nem foglalt állást jogkérdésben. Az a körülmény, hogy a szakértő a felperesi törvényes képviselő nyilatkozatára alapította a kárösszeg mértékét, egyszersmind azonban kiemelte, hogy e nyilatkozaton kívül semmilyen egyéb okirat, számviteli dokumentáció nem állt rendelkezésre ebbéli megállapításának megalapozásához, nem ad alapot annak megállapítására, hogy a szakértő megsértette volna a fenti jogszabályi előírásokat. Iratellenes az az alperesi állítás, hogy a felperes 1989-ben meghatározott teljes alapítványi vagyonát azonosította a felperes könyveiben nem szereplő védett ismeret alperes általi felhasználása folytán őt ért kárral: a felperes </w:t>
      </w:r>
      <w:r>
        <w:rPr>
          <w:vertAlign w:val="baseline"/>
        </w:rPr>
        <w:t xml:space="preserve">Alapító Okiratának</w:t>
      </w:r>
      <w:r>
        <w:rPr>
          <w:vertAlign w:val="baseline"/>
        </w:rPr>
        <w:t xml:space="preserve"> 4./ pontja tartalmazta az </w:t>
      </w:r>
      <w:r>
        <w:rPr>
          <w:vertAlign w:val="baseline"/>
        </w:rPr>
        <w:t xml:space="preserve">Alapítvány</w:t>
      </w:r>
      <w:r>
        <w:rPr>
          <w:vertAlign w:val="baseline"/>
        </w:rPr>
        <w:t xml:space="preserve"> vagyonának meghatározását, melynél a szakértő kisebb összegű kárt határozott meg, az alapítványi vagyon figyelembe, nem pedig alapul vételével. </w:t>
      </w:r>
    </w:p>
    <w:p>
      <w:pPr>
        <w:jc w:val="left"/>
      </w:pPr>
      <w:r>
        <w:rPr>
          <w:vertAlign w:val="baseline"/>
        </w:rPr>
        <w:t xml:space="preserve"> </w:t>
      </w:r>
      <w:r>
        <w:br/>
      </w:r>
    </w:p>
    <w:p>
      <w:pPr>
        <w:jc w:val="both"/>
      </w:pPr>
      <w:r>
        <w:rPr>
          <w:vertAlign w:val="baseline"/>
        </w:rPr>
        <w:t xml:space="preserve">A bíróság a szakvéleményt és szakértői meghallgatás során előterjesztett nyilatkozatokat aggálytalannak értékelte, a felek kifogásai a fentiek alapján megalapozatlanok. Az aggálytalan tartalmú szakvélemény miatt a bíróság mellőzte a felperes új szakértő kirendelésére irányuló indítványát. A felperes vagyonértékelési kompetenciával rendelkező szakértő bevonására (kirendelésére) irányuló indítványának elrendelése pedig a kirendelt szakértő szakvéleményének tartalmától és felhasználhatóságától függetlenül is indokolatlan volt. Felperes a per során a reá nézve alapvetően hátrányos szakvélemény megismeréséig következetesen igazságügyi könyvszakértői bizonyítás útján és alapján kívánta állított kárának bizonyítását, ezt az is alátámasztja, hogy az általa csatolt és a kirendelt szakértő szakvéleményében értékelt értékbecsléseket (pozitív üzleti érték meghatározását) könyvvizsgáló készítette. A könyvszakértőitől eltérő kompetencia bevonását a másodfokú bíróság sem írta elő. A perbeli kárkövetelés fennállásának és összegszerűségének szakértő útján történő vizsgálata nem azonos a – felperesi szóhasználattal – elorozott piac piaci értékének vagyonértékelési módszerekkel történő meghatározásával, felperes nem is a piac értékére tett a per során tényelőadását, hanem állított kárára: a bevételkiesés körében a felperesi alapítvány pénzügyi adminisztrációjában fellelhető számviteli okiratokat és kimutatásokat, valamint törvényes képviselőjének nyilatkozatait. Ugyancsak szükségtelen volt a </w:t>
      </w:r>
      <w:r>
        <w:rPr>
          <w:vertAlign w:val="baseline"/>
        </w:rPr>
        <w:t xml:space="preserve">II.</w:t>
      </w:r>
      <w:r>
        <w:rPr>
          <w:vertAlign w:val="baseline"/>
        </w:rPr>
        <w:t xml:space="preserve"> rendű alperes szakvélemény-kiegészítésére irányuló elsődleges indítványának elrendelése, mivel a szakértő meghallgatásán minden, a felek által feltett releváns kérdést megválaszolta. </w:t>
      </w:r>
    </w:p>
    <w:p>
      <w:pPr>
        <w:jc w:val="left"/>
      </w:pPr>
      <w:r>
        <w:rPr>
          <w:vertAlign w:val="baseline"/>
        </w:rPr>
        <w:t xml:space="preserve"> </w:t>
      </w:r>
      <w:r>
        <w:br/>
      </w:r>
    </w:p>
    <w:p>
      <w:pPr>
        <w:jc w:val="both"/>
      </w:pPr>
      <w:r>
        <w:rPr>
          <w:vertAlign w:val="baseline"/>
        </w:rPr>
        <w:t xml:space="preserve">A bíróság azonban a szakvélemény által az elmaradt haszonra meghatározott összegszerűségeket a szakvélemény tartalmán kívüli okból nem tekintette ítélete alapjának. A </w:t>
      </w:r>
      <w:r>
        <w:rPr>
          <w:vertAlign w:val="baseline"/>
        </w:rPr>
        <w:t xml:space="preserve">Kúria</w:t>
      </w:r>
      <w:r>
        <w:rPr>
          <w:vertAlign w:val="baseline"/>
        </w:rPr>
        <w:t xml:space="preserve"> lefolytatott szakértői bizonyítást követően meghozott részítélete ugyanis az elsőfokú bíróság ítéletének a </w:t>
      </w:r>
      <w:r>
        <w:rPr>
          <w:vertAlign w:val="baseline"/>
        </w:rPr>
        <w:t xml:space="preserve">II.</w:t>
      </w:r>
      <w:r>
        <w:rPr>
          <w:vertAlign w:val="baseline"/>
        </w:rPr>
        <w:t xml:space="preserve"> rendű alperes 2012. november 26. és december 31. közötti időszakban szórólapozással és toborzással tanúsított magatartásának az üzleti tisztesség követelményeibe ütköző megállapítására irányuló keresetet elutasító rendelkezését helybenhagyta, az ezen időintervallumban tanúsított </w:t>
      </w:r>
      <w:r>
        <w:rPr>
          <w:vertAlign w:val="baseline"/>
        </w:rPr>
        <w:t xml:space="preserve">II.</w:t>
      </w:r>
      <w:r>
        <w:rPr>
          <w:vertAlign w:val="baseline"/>
        </w:rPr>
        <w:t xml:space="preserve"> rendű alperesi magatartás tehát nem minősül a </w:t>
      </w:r>
      <w:r>
        <w:rPr>
          <w:vertAlign w:val="baseline"/>
        </w:rPr>
        <w:t xml:space="preserve">Tpvt.</w:t>
      </w:r>
      <w:r>
        <w:rPr>
          <w:vertAlign w:val="baseline"/>
        </w:rPr>
        <w:t xml:space="preserve">-be ütközőnek, így kártérítési követelés alapját sem képezheti. Ennek az elmaradt haszonra irányuló kereseti követelés körében alapvető relevanciája van, mivel ez a felperesi igény azon alapult, hogy a </w:t>
      </w:r>
      <w:r>
        <w:rPr>
          <w:vertAlign w:val="baseline"/>
        </w:rPr>
        <w:t xml:space="preserve">II.</w:t>
      </w:r>
      <w:r>
        <w:rPr>
          <w:vertAlign w:val="baseline"/>
        </w:rPr>
        <w:t xml:space="preserve"> rendű alperes jogsértő tevékenységével, a piac üzemeltetésének elorozásával fosztotta meg személyét a heti vásár üzemeltetése során a 2013. január 1-i időszakot megelőző időszakhoz hasonlóan adományok útján történő bevételszerzéstől. Az elmaradt haszon megtérítésére irányuló kereseti követelés tehát azon a magatartáson alapult, amelyről a </w:t>
      </w:r>
      <w:r>
        <w:rPr>
          <w:vertAlign w:val="baseline"/>
        </w:rPr>
        <w:t xml:space="preserve">Kúria</w:t>
      </w:r>
      <w:r>
        <w:rPr>
          <w:vertAlign w:val="baseline"/>
        </w:rPr>
        <w:t xml:space="preserve"> a lefolytatott szakértői bizonyítást követően megállapította, hogy nem minősül tisztességtelen piaci magatartásnak. A tárgybeli kúriai részítéleti döntés és a tárgybeli felperesi tény- és jogállítások egybevetése alapján a bíróság azt állapította meg, hogy felperes semmilyen mértékű elmaradt haszon megtérítésére nem tarthat igényt alappal a </w:t>
      </w:r>
      <w:r>
        <w:rPr>
          <w:vertAlign w:val="baseline"/>
        </w:rPr>
        <w:t xml:space="preserve">II.</w:t>
      </w:r>
      <w:r>
        <w:rPr>
          <w:vertAlign w:val="baseline"/>
        </w:rPr>
        <w:t xml:space="preserve"> rendű alperes felé. Ezen túlmenően a kúriai részítélet értelmében is </w:t>
      </w:r>
      <w:r>
        <w:rPr>
          <w:vertAlign w:val="baseline"/>
        </w:rPr>
        <w:t xml:space="preserve">Tpvt.</w:t>
      </w:r>
      <w:r>
        <w:rPr>
          <w:vertAlign w:val="baseline"/>
        </w:rPr>
        <w:t xml:space="preserve">-be ütköző </w:t>
      </w:r>
      <w:r>
        <w:rPr>
          <w:vertAlign w:val="baseline"/>
        </w:rPr>
        <w:t xml:space="preserve">II.</w:t>
      </w:r>
      <w:r>
        <w:rPr>
          <w:vertAlign w:val="baseline"/>
        </w:rPr>
        <w:t xml:space="preserve"> rendű alperesi magatartás (a heti vásár 2013. január 1-től 2017. december 31-ig történő, a felperes kapcsolatrendszerét és tevékenységének eredményeit engedély nélkül felhasználó </w:t>
      </w:r>
      <w:r>
        <w:rPr>
          <w:vertAlign w:val="baseline"/>
        </w:rPr>
        <w:t xml:space="preserve">II.</w:t>
      </w:r>
      <w:r>
        <w:rPr>
          <w:vertAlign w:val="baseline"/>
        </w:rPr>
        <w:t xml:space="preserve"> rendű alperes általi üzemeltetése) semmilyen oksági kapcsolatban nincsen a felperes által állított elmaradt haszonnal, ezt felperes sem állította. </w:t>
      </w:r>
    </w:p>
    <w:p>
      <w:pPr>
        <w:jc w:val="left"/>
      </w:pPr>
      <w:r>
        <w:rPr>
          <w:vertAlign w:val="baseline"/>
        </w:rPr>
        <w:t xml:space="preserve"> </w:t>
      </w:r>
      <w:r>
        <w:br/>
      </w:r>
    </w:p>
    <w:p>
      <w:pPr>
        <w:jc w:val="both"/>
      </w:pPr>
      <w:r>
        <w:rPr>
          <w:vertAlign w:val="baseline"/>
        </w:rPr>
        <w:t xml:space="preserve">A kúriai részítélet hatályában fenntartotta a jogerős részítéletnek a 2013. január 1-től 2017. december 31-ig tartó időszakra vonatkozó, a felperes kapcsolatrendszerének és tevékenysége eredményeinek felperesi engedély nélküli használatra vonatkozó </w:t>
      </w:r>
      <w:r>
        <w:rPr>
          <w:vertAlign w:val="baseline"/>
        </w:rPr>
        <w:t xml:space="preserve">II.</w:t>
      </w:r>
      <w:r>
        <w:rPr>
          <w:vertAlign w:val="baseline"/>
        </w:rPr>
        <w:t xml:space="preserve"> rendű alperesi jogsértést megállapító rendelkezését. A védett ismeretre és a presztízsveszteségre vonatkozó felperesi kárkövetelést a szakértői megállapítások nem igazolták, alapvetően a tárgybeli számviteli és egyéb okiratok, ezen állított felperesi jogosultságok, vagyonelemek stb. felperesi számviteli dokumentumokban történő feltüntetésének folyamatos hiánya okán. A kárkövetelést alátámasztani hivatott értékbecslésekről a szakértő állást foglalt, e megállapításokat a bíróság elfogadta. A szakértő kizárólag a felperesi törvényes képviselő nyilatkozata – és a felperesi </w:t>
      </w:r>
      <w:r>
        <w:rPr>
          <w:vertAlign w:val="baseline"/>
        </w:rPr>
        <w:t xml:space="preserve">Alapító Okirat</w:t>
      </w:r>
      <w:r>
        <w:rPr>
          <w:vertAlign w:val="baseline"/>
        </w:rPr>
        <w:t xml:space="preserve"> vagyonra vonatkozó része – alapján állapított meg kárösszeget. A törvényes képviselő nyilatkozata a </w:t>
      </w:r>
      <w:r>
        <w:rPr>
          <w:vertAlign w:val="baseline"/>
        </w:rPr>
        <w:t xml:space="preserve">Pp.</w:t>
      </w:r>
      <w:r>
        <w:rPr>
          <w:vertAlign w:val="baseline"/>
        </w:rPr>
        <w:t xml:space="preserve"> 268. §-ának (2) bekezdése értelmében nem bizonyítási eszköz, az a fél tényelőadása, melyet a perbeli esetben további bizonyíték nem támasztott alá. Ezért a bíróság az elmaradt hasznon kívüli kárköveteléseket is megalapozatlannak találta. </w:t>
      </w:r>
    </w:p>
    <w:p>
      <w:pPr>
        <w:jc w:val="left"/>
      </w:pPr>
      <w:r>
        <w:rPr>
          <w:vertAlign w:val="baseline"/>
        </w:rPr>
        <w:t xml:space="preserve"> </w:t>
      </w:r>
      <w:r>
        <w:br/>
      </w:r>
    </w:p>
    <w:p>
      <w:pPr>
        <w:jc w:val="both"/>
      </w:pPr>
      <w:r>
        <w:rPr>
          <w:vertAlign w:val="baseline"/>
        </w:rPr>
        <w:t xml:space="preserve">Felperes kérte a </w:t>
      </w:r>
      <w:r>
        <w:rPr>
          <w:vertAlign w:val="baseline"/>
        </w:rPr>
        <w:t xml:space="preserve">II.</w:t>
      </w:r>
      <w:r>
        <w:rPr>
          <w:vertAlign w:val="baseline"/>
        </w:rPr>
        <w:t xml:space="preserve"> rendű alperes igazolási kérelmének helyt adó, </w:t>
      </w:r>
      <w:r>
        <w:rPr>
          <w:vertAlign w:val="baseline"/>
        </w:rPr>
        <w:t xml:space="preserve">30.G.42.023/2021/47</w:t>
      </w:r>
      <w:r>
        <w:rPr>
          <w:vertAlign w:val="baseline"/>
        </w:rPr>
        <w:t xml:space="preserve">. számú végzés hivatalból történő megváltoztatását és a kérelem visszautasítását a </w:t>
      </w:r>
      <w:r>
        <w:rPr>
          <w:vertAlign w:val="baseline"/>
        </w:rPr>
        <w:t xml:space="preserve">Pp.</w:t>
      </w:r>
      <w:r>
        <w:rPr>
          <w:vertAlign w:val="baseline"/>
        </w:rPr>
        <w:t xml:space="preserve"> 357. § (2) bekezdése alapján. A </w:t>
      </w:r>
      <w:r>
        <w:rPr>
          <w:vertAlign w:val="baseline"/>
        </w:rPr>
        <w:t xml:space="preserve">II.</w:t>
      </w:r>
      <w:r>
        <w:rPr>
          <w:vertAlign w:val="baseline"/>
        </w:rPr>
        <w:t xml:space="preserve"> rendű alperes a </w:t>
      </w:r>
      <w:r>
        <w:rPr>
          <w:vertAlign w:val="baseline"/>
        </w:rPr>
        <w:t xml:space="preserve">30.G.42.023/2021/45</w:t>
      </w:r>
      <w:r>
        <w:rPr>
          <w:vertAlign w:val="baseline"/>
        </w:rPr>
        <w:t xml:space="preserve">. számú beadvány mellékleteként csatolt nyomtatvánnyal igazolta, hogy a szakértői véleményre határidőben nyilatkozott, ezért a végzés megváltoztatásának nem volt helye. </w:t>
      </w:r>
    </w:p>
    <w:p>
      <w:pPr>
        <w:jc w:val="left"/>
      </w:pPr>
      <w:r>
        <w:rPr>
          <w:vertAlign w:val="baseline"/>
        </w:rPr>
        <w:t xml:space="preserve"> </w:t>
      </w:r>
      <w:r>
        <w:br/>
      </w:r>
    </w:p>
    <w:p>
      <w:pPr>
        <w:jc w:val="both"/>
      </w:pPr>
      <w:r>
        <w:rPr>
          <w:vertAlign w:val="baseline"/>
        </w:rPr>
        <w:t xml:space="preserve">A bíróság a perköltségről a </w:t>
      </w:r>
      <w:r>
        <w:rPr>
          <w:vertAlign w:val="baseline"/>
        </w:rPr>
        <w:t xml:space="preserve">Pp.</w:t>
      </w:r>
      <w:r>
        <w:rPr>
          <w:vertAlign w:val="baseline"/>
        </w:rPr>
        <w:t xml:space="preserve"> 81-83. §-ai alkalmazásával határozott. A perköltségviselés körében a bíróság figyelemmel volt arra, hogy a jogerős részítélet értelmében felperes a jogalap tekintetében pernyertes, meg a </w:t>
      </w:r>
      <w:r>
        <w:rPr>
          <w:vertAlign w:val="baseline"/>
        </w:rPr>
        <w:t xml:space="preserve">II.</w:t>
      </w:r>
      <w:r>
        <w:rPr>
          <w:vertAlign w:val="baseline"/>
        </w:rPr>
        <w:t xml:space="preserve"> rendű alperes pervesztes, és a részítélet az egyes időintervallumok tekintetében nem differenciált. Ezért a </w:t>
      </w:r>
      <w:r>
        <w:rPr>
          <w:vertAlign w:val="baseline"/>
        </w:rPr>
        <w:t xml:space="preserve">II.</w:t>
      </w:r>
      <w:r>
        <w:rPr>
          <w:vertAlign w:val="baseline"/>
        </w:rPr>
        <w:t xml:space="preserve"> rendű alperes pernyertessége ellenére köteles megfizetni a felperes másodfokú bíróság által megállapított </w:t>
      </w:r>
      <w:r>
        <w:rPr>
          <w:vertAlign w:val="baseline"/>
        </w:rPr>
        <w:t xml:space="preserve">100.000,-</w:t>
      </w:r>
      <w:r>
        <w:rPr>
          <w:vertAlign w:val="baseline"/>
        </w:rPr>
        <w:t xml:space="preserve"> forint + áfa összegű másodfokú perköltségét, meg saját, </w:t>
      </w:r>
      <w:r>
        <w:rPr>
          <w:vertAlign w:val="baseline"/>
        </w:rPr>
        <w:t xml:space="preserve">50.000,-</w:t>
      </w:r>
      <w:r>
        <w:rPr>
          <w:vertAlign w:val="baseline"/>
        </w:rPr>
        <w:t xml:space="preserve"> forint + áfa perköltségét maga viseli. Ettől függetlenül, pernyertessége miatt a </w:t>
      </w:r>
      <w:r>
        <w:rPr>
          <w:vertAlign w:val="baseline"/>
        </w:rPr>
        <w:t xml:space="preserve">II.</w:t>
      </w:r>
      <w:r>
        <w:rPr>
          <w:vertAlign w:val="baseline"/>
        </w:rPr>
        <w:t xml:space="preserve"> rendű alperes alappal tartott igényt ügyvédi munkadíjának megtérítésére, melynek alátámasztására a </w:t>
      </w:r>
      <w:r>
        <w:rPr>
          <w:vertAlign w:val="baseline"/>
        </w:rPr>
        <w:t xml:space="preserve">30.G.42.023/2021/52</w:t>
      </w:r>
      <w:r>
        <w:rPr>
          <w:vertAlign w:val="baseline"/>
        </w:rPr>
        <w:t xml:space="preserve">. számú beadványhoz mellékelte ügyvédi megbízási szerződését és tevékenység-kimutatását. Az általa meghatározott 30,25 óra + további 2 tárgyalási óra munkaráfordítást a felperes nem is tette vitássá. Ennek alapján felperes köteles megfizetni a </w:t>
      </w:r>
      <w:r>
        <w:rPr>
          <w:vertAlign w:val="baseline"/>
        </w:rPr>
        <w:t xml:space="preserve">II.</w:t>
      </w:r>
      <w:r>
        <w:rPr>
          <w:vertAlign w:val="baseline"/>
        </w:rPr>
        <w:t xml:space="preserve"> rendű alperes részére </w:t>
      </w:r>
      <w:r>
        <w:rPr>
          <w:vertAlign w:val="baseline"/>
        </w:rPr>
        <w:t xml:space="preserve">20.000,-</w:t>
      </w:r>
      <w:r>
        <w:rPr>
          <w:vertAlign w:val="baseline"/>
        </w:rPr>
        <w:t xml:space="preserve"> × 32,25 + áfa összeget, azaz </w:t>
      </w:r>
      <w:r>
        <w:rPr>
          <w:vertAlign w:val="baseline"/>
        </w:rPr>
        <w:t xml:space="preserve">645.000,-</w:t>
      </w:r>
      <w:r>
        <w:rPr>
          <w:vertAlign w:val="baseline"/>
        </w:rPr>
        <w:t xml:space="preserve"> forint + áfa-t. Az egyes perköltségtételek összeszámításával a felperes köteles megfizetni a </w:t>
      </w:r>
      <w:r>
        <w:rPr>
          <w:vertAlign w:val="baseline"/>
        </w:rPr>
        <w:t xml:space="preserve">II.</w:t>
      </w:r>
      <w:r>
        <w:rPr>
          <w:vertAlign w:val="baseline"/>
        </w:rPr>
        <w:t xml:space="preserve"> rendű alperes részére </w:t>
      </w:r>
      <w:r>
        <w:rPr>
          <w:vertAlign w:val="baseline"/>
        </w:rPr>
        <w:t xml:space="preserve">545.000,-</w:t>
      </w:r>
      <w:r>
        <w:rPr>
          <w:vertAlign w:val="baseline"/>
        </w:rPr>
        <w:t xml:space="preserve"> forint + áfa perköltséget. Pervesztessége miatt felperes viseli az általa előlegezett szakértői díjat. A felperes által indítványozott </w:t>
      </w:r>
      <w:r>
        <w:rPr>
          <w:vertAlign w:val="baseline"/>
        </w:rPr>
        <w:t xml:space="preserve">Pp.</w:t>
      </w:r>
      <w:r>
        <w:rPr>
          <w:vertAlign w:val="baseline"/>
        </w:rPr>
        <w:t xml:space="preserve"> 83. § (3) bekezdése alkalmazásának nem volt helye, a felperesi pervesztesség okán nem volt jogszabályi alapja a szakértői díj viselésére vonatkozó felperesi kérelem teljesítésének. </w:t>
      </w:r>
    </w:p>
    <w:p>
      <w:pPr>
        <w:jc w:val="left"/>
      </w:pPr>
      <w:r>
        <w:rPr>
          <w:vertAlign w:val="baseline"/>
        </w:rPr>
        <w:t xml:space="preserve"> </w:t>
      </w:r>
      <w:r>
        <w:br/>
      </w:r>
    </w:p>
    <w:p>
      <w:pPr>
        <w:jc w:val="both"/>
      </w:pPr>
      <w:r>
        <w:rPr>
          <w:vertAlign w:val="baseline"/>
        </w:rPr>
        <w:t xml:space="preserve">A feljegyzett </w:t>
      </w:r>
      <w:r>
        <w:rPr>
          <w:vertAlign w:val="baseline"/>
        </w:rPr>
        <w:t xml:space="preserve">1.338.000,-</w:t>
      </w:r>
      <w:r>
        <w:rPr>
          <w:vertAlign w:val="baseline"/>
        </w:rPr>
        <w:t xml:space="preserve"> forint eljárási, valamint a másodfokú bíróság által megállapított </w:t>
      </w:r>
      <w:r>
        <w:rPr>
          <w:vertAlign w:val="baseline"/>
        </w:rPr>
        <w:t xml:space="preserve">1.784.000,-</w:t>
      </w:r>
      <w:r>
        <w:rPr>
          <w:vertAlign w:val="baseline"/>
        </w:rPr>
        <w:t xml:space="preserve"> forint le nem rótt fellebbezési illetéket a </w:t>
      </w:r>
      <w:r>
        <w:rPr>
          <w:vertAlign w:val="baseline"/>
        </w:rPr>
        <w:t xml:space="preserve">Pp.</w:t>
      </w:r>
      <w:r>
        <w:rPr>
          <w:vertAlign w:val="baseline"/>
        </w:rPr>
        <w:t xml:space="preserve"> 102. § (6) bekezdésének alapján az állam viseli.</w:t>
      </w:r>
      <w:r>
        <w:rPr>
          <w:vertAlign w:val="baseline"/>
        </w:rPr>
        <w:t xml:space="preserve">  </w:t>
      </w:r>
    </w:p>
    <w:p>
      <w:pPr>
        <w:jc w:val="left"/>
      </w:pPr>
      <w:r>
        <w:rPr>
          <w:vertAlign w:val="baseline"/>
        </w:rPr>
        <w:t xml:space="preserve"> </w:t>
      </w:r>
      <w:r>
        <w:br/>
      </w:r>
    </w:p>
    <w:p>
      <w:pPr>
        <w:jc w:val="both"/>
      </w:pPr>
      <w:r>
        <w:rPr>
          <w:vertAlign w:val="baseline"/>
        </w:rPr>
        <w:t xml:space="preserve">A teljesítési határidő a </w:t>
      </w:r>
      <w:r>
        <w:rPr>
          <w:vertAlign w:val="baseline"/>
        </w:rPr>
        <w:t xml:space="preserve">Pp.</w:t>
      </w:r>
      <w:r>
        <w:rPr>
          <w:vertAlign w:val="baseline"/>
        </w:rPr>
        <w:t xml:space="preserve"> 344. §-ának (1) bekezdésén alapul, a fellebbezés lehetőségét a </w:t>
      </w:r>
      <w:r>
        <w:rPr>
          <w:vertAlign w:val="baseline"/>
        </w:rPr>
        <w:t xml:space="preserve">Pp.</w:t>
      </w:r>
      <w:r>
        <w:rPr>
          <w:vertAlign w:val="baseline"/>
        </w:rPr>
        <w:t xml:space="preserve"> 365. § (2) bekezdésének a) pontja biztosítja. </w:t>
      </w:r>
    </w:p>
    <w:p>
      <w:pPr>
        <w:jc w:val="left"/>
      </w:pPr>
      <w:r>
        <w:rPr>
          <w:vertAlign w:val="baseline"/>
        </w:rPr>
        <w:t xml:space="preserve"> </w:t>
      </w:r>
      <w:r>
        <w:br/>
      </w:r>
    </w:p>
    <w:p>
      <w:pPr>
        <w:jc w:val="both"/>
      </w:pPr>
      <w:r>
        <w:rPr>
          <w:vertAlign w:val="baseline"/>
        </w:rPr>
        <w:t xml:space="preserve">A perorvoslati részben foglalt tájékoztatás a </w:t>
      </w:r>
      <w:r>
        <w:rPr>
          <w:vertAlign w:val="baseline"/>
        </w:rPr>
        <w:t xml:space="preserve">Pp.</w:t>
      </w:r>
      <w:r>
        <w:rPr>
          <w:vertAlign w:val="baseline"/>
        </w:rPr>
        <w:t xml:space="preserve"> 346. § (3) bekezdésén, 365. § (1) bekezdésén, 365. § (2) bekezdésének a) pontján és (6) bekezdésén, 376. § </w:t>
      </w:r>
      <w:r>
        <w:rPr>
          <w:vertAlign w:val="baseline"/>
        </w:rPr>
        <w:t xml:space="preserve">(1)-(3)</w:t>
      </w:r>
      <w:r>
        <w:rPr>
          <w:vertAlign w:val="baseline"/>
        </w:rPr>
        <w:t xml:space="preserve"> bekezdésén, </w:t>
      </w:r>
      <w:r>
        <w:rPr>
          <w:vertAlign w:val="baseline"/>
        </w:rPr>
        <w:t xml:space="preserve">379-380.</w:t>
      </w:r>
      <w:r>
        <w:rPr>
          <w:vertAlign w:val="baseline"/>
        </w:rPr>
        <w:t xml:space="preserve"> §-án, 65. §-án, 68. § (1) bekezdésén, 72. § (1) bekezdésén, 73. § (4) bekezdésén, 74. § </w:t>
      </w:r>
      <w:r>
        <w:rPr>
          <w:vertAlign w:val="baseline"/>
        </w:rPr>
        <w:t xml:space="preserve">(1)-(2)</w:t>
      </w:r>
      <w:r>
        <w:rPr>
          <w:vertAlign w:val="baseline"/>
        </w:rPr>
        <w:t xml:space="preserve"> bekezdésén, 75. § </w:t>
      </w:r>
      <w:r>
        <w:rPr>
          <w:vertAlign w:val="baseline"/>
        </w:rPr>
        <w:t xml:space="preserve">(1)-(2)</w:t>
      </w:r>
      <w:r>
        <w:rPr>
          <w:vertAlign w:val="baseline"/>
        </w:rPr>
        <w:t xml:space="preserve"> bekezdésén, 608. § (1) bekezdésén, valamint 618. § (1) bekezdésén alapul. </w:t>
      </w:r>
    </w:p>
    <w:p>
      <w:pPr>
        <w:jc w:val="left"/>
      </w:pPr>
      <w:r>
        <w:rPr>
          <w:vertAlign w:val="baseline"/>
        </w:rPr>
        <w:t xml:space="preserve"> </w:t>
      </w:r>
      <w:r>
        <w:br/>
      </w:r>
    </w:p>
    <w:p>
      <w:pPr>
        <w:jc w:val="both"/>
      </w:pPr>
      <w:r>
        <w:rPr>
          <w:vertAlign w:val="baseline"/>
        </w:rPr>
        <w:t xml:space="preserve">Budapest, 2023. július 13. </w:t>
      </w:r>
    </w:p>
    <w:p>
      <w:pPr>
        <w:jc w:val="left"/>
      </w:pPr>
      <w:r>
        <w:rPr>
          <w:vertAlign w:val="baseline"/>
        </w:rPr>
        <w:t xml:space="preserve"> </w:t>
      </w:r>
      <w:r>
        <w:br/>
      </w:r>
    </w:p>
    <w:p>
      <w:pPr>
        <w:jc w:val="center"/>
      </w:pPr>
      <w:r>
        <w:rPr>
          <w:vertAlign w:val="baseline"/>
        </w:rPr>
        <w:t xml:space="preserve">dr. Kis Tamás</w:t>
      </w:r>
      <w:r>
        <w:rPr>
          <w:vertAlign w:val="baseline"/>
        </w:rPr>
        <w:t xml:space="preserve"> s.k.</w:t>
      </w:r>
    </w:p>
    <w:p>
      <w:pPr>
        <w:jc w:val="center"/>
      </w:pPr>
      <w:r>
        <w:rPr>
          <w:vertAlign w:val="baseline"/>
        </w:rPr>
        <w:t xml:space="preserve">bíró</w:t>
      </w:r>
    </w:p>
    <w:p>
      <w:pPr>
        <w:jc w:val="center"/>
      </w:pPr>
      <w:r>
        <w:rPr>
          <w:vertAlign w:val="baseline"/>
        </w:rPr>
        <w:t xml:space="preserve"> </w:t>
      </w:r>
      <w:r>
        <w:br/>
      </w:r>
    </w:p>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40BF" w:rsidRDefault="000C40BF" w:rsidP="0014128E">
      <w:pPr>
        <w:spacing w:after="0"/>
      </w:pPr>
      <w:r>
        <w:separator/>
      </w:r>
    </w:p>
  </w:endnote>
  <w:endnote w:type="continuationSeparator" w:id="0">
    <w:p w:rsidR="000C40BF" w:rsidRDefault="000C40BF" w:rsidP="001412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3801434"/>
      <w:docPartObj>
        <w:docPartGallery w:val="Page Numbers (Bottom of Page)"/>
        <w:docPartUnique/>
      </w:docPartObj>
    </w:sdtPr>
    <w:sdtEndPr/>
    <w:sdtContent>
      <w:p w:rsidR="0079103E" w:rsidRDefault="000C40BF" w:rsidP="000061FE">
        <w:pPr>
          <w:pStyle w:val="llb"/>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40BF" w:rsidRDefault="000C40BF" w:rsidP="0014128E">
      <w:pPr>
        <w:spacing w:after="0"/>
      </w:pPr>
      <w:r>
        <w:separator/>
      </w:r>
    </w:p>
  </w:footnote>
  <w:footnote w:type="continuationSeparator" w:id="0">
    <w:p w:rsidR="000C40BF" w:rsidRDefault="000C40BF" w:rsidP="001412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1FE" w:rsidRDefault="001F6BAD">
    <w:pPr>
      <w:pStyle w:val="lfej"/>
    </w:pPr>
    <w:r>
      <w:t>Fővárosi Törvényszék</w:t>
    </w:r>
    <w:r w:rsidR="000061FE">
      <w:tab/>
    </w:r>
    <w:r w:rsidR="000061FE">
      <w:fldChar w:fldCharType="begin"/>
    </w:r>
    <w:r w:rsidR="000061FE">
      <w:instrText xml:space="preserve"> PAGE  \* Arabic  \* MERGEFORMAT </w:instrText>
    </w:r>
    <w:r w:rsidR="000061FE">
      <w:fldChar w:fldCharType="separate"/>
    </w:r>
    <w:r>
      <w:rPr>
        <w:noProof/>
      </w:rPr>
      <w:t>2</w:t>
    </w:r>
    <w:r w:rsidR="000061FE">
      <w:fldChar w:fldCharType="end"/>
    </w:r>
  </w:p>
  <w:p w:rsidR="001F6BAD" w:rsidRDefault="001F6BAD">
    <w:pPr>
      <w:pStyle w:val="lfej"/>
    </w:pPr>
    <w:r>
      <w:t>30.G.42.023/2021/62-I</w:t>
    </w: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03E" w:rsidP="00445C9F" w:rsidRDefault="0079103E">
    <w:pPr>
      <w:pStyle w:val="lfej"/>
      <w:spacing w:after="480"/>
      <w:jc w:val="center"/>
    </w:pPr>
    <w:r>
      <w:rPr>
        <w:noProof/>
        <w:lang w:eastAsia="hu-HU"/>
      </w:rPr>
      <w:drawing>
        <wp:inline distT="0" distB="0" distL="0" distR="0">
          <wp:extent cx="277495" cy="594995"/>
          <wp:effectExtent l="0" t="0" r="8255" b="0"/>
          <wp:docPr id="4" name="Kép 31" descr="https://net.jogtar.hu/get-doc-resource?resourceid=gp2_16_A1100425$BATV__999_a1100999tv$Acimer$Bbmp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 31" descr="https://net.jogtar.hu/get-doc-resource?resourceid=gp2_16_A1100425$BATV__999_a1100999tv$Acimer$Bbmp_0.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77495" cy="594995"/>
                  </a:xfrm>
                  <a:prstGeom prst="rect">
                    <a:avLst/>
                  </a:prstGeom>
                </pic:spPr>
              </pic:pic>
            </a:graphicData>
          </a:graphic>
        </wp:inline>
      </w:drawing>
    </w:r>
  </w:p>
</w:hdr>
</file>

<file path=word/numbering.xml><?xml version="1.0" encoding="utf-8"?>
<w:numbering xmlns:w="http://schemas.openxmlformats.org/wordprocessingml/2006/main">
  <w:abstractNum w:abstractNumId="1">
    <w:multiLevelType w:val="singleLevel"/>
    <w:lvl w:ilvl="0">
      <w:numFmt w:val="bullet"/>
      <w:lvlText w:val=""/>
      <w:lvlJc w:val="left"/>
      <w:pStyle w:val="Cmsor1Char"/>
      <w:pPr/>
      <w:pPr>
        <w:ind w:start="0" w:firstLine="0"/>
      </w:pPr>
      <w:rPr>
        <w:rFonts w:hint="default" w:ascii="Symbol" w:hAnsi="Symbol"/>
      </w:rPr>
      <w:suff w:val="space"/>
    </w:lvl>
  </w:abstractNum>
  <w:abstractNum w:abstractNumId="2">
    <w:multiLevelType w:val="singleLevel"/>
    <w:lvl w:ilvl="0">
      <w:numFmt w:val="decimal"/>
      <w:start w:val="1"/>
      <w:lvlText w:val="%1."/>
      <w:lvlJc w:val="left"/>
      <w:pStyle w:val="Cmsor1Char"/>
      <w:pPr/>
      <w:pPr>
        <w:ind w:start="0" w:firstLine="0"/>
      </w:pPr>
      <w:rPr>
        <w:rFonts w:hint="default" w:ascii="Symbol" w:hAnsi="Symbol"/>
      </w:rPr>
      <w:suff w:val="space"/>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279"/>
    <w:rsid w:val="000061FE"/>
    <w:rsid w:val="00034476"/>
    <w:rsid w:val="0005723F"/>
    <w:rsid w:val="0008220C"/>
    <w:rsid w:val="00091769"/>
    <w:rsid w:val="000C40BF"/>
    <w:rsid w:val="000F498D"/>
    <w:rsid w:val="00104139"/>
    <w:rsid w:val="0014128E"/>
    <w:rsid w:val="001719C9"/>
    <w:rsid w:val="001F6BAD"/>
    <w:rsid w:val="002029FA"/>
    <w:rsid w:val="002B4E04"/>
    <w:rsid w:val="003602E1"/>
    <w:rsid w:val="00377D7B"/>
    <w:rsid w:val="003D2E21"/>
    <w:rsid w:val="00400075"/>
    <w:rsid w:val="00445C9F"/>
    <w:rsid w:val="004852DC"/>
    <w:rsid w:val="004A5423"/>
    <w:rsid w:val="004F3F8A"/>
    <w:rsid w:val="00562FCC"/>
    <w:rsid w:val="005752C5"/>
    <w:rsid w:val="00645E89"/>
    <w:rsid w:val="006575A4"/>
    <w:rsid w:val="006652E2"/>
    <w:rsid w:val="00757E57"/>
    <w:rsid w:val="007660D3"/>
    <w:rsid w:val="0079103E"/>
    <w:rsid w:val="008333F1"/>
    <w:rsid w:val="00853160"/>
    <w:rsid w:val="008E2EA8"/>
    <w:rsid w:val="00A06AEC"/>
    <w:rsid w:val="00B54D1F"/>
    <w:rsid w:val="00B76174"/>
    <w:rsid w:val="00BE3D8F"/>
    <w:rsid w:val="00CD4772"/>
    <w:rsid w:val="00D506F1"/>
    <w:rsid w:val="00E15F75"/>
    <w:rsid w:val="00FA2D4D"/>
    <w:rsid w:val="00FB627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166767"/>
  <w15:chartTrackingRefBased/>
  <w15:docId w15:val="{60EC4AFF-CC39-491D-BBEE-2CA624DEE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5752C5"/>
    <w:pPr>
      <w:spacing w:after="80" w:line="240" w:lineRule="auto"/>
      <w:jc w:val="both"/>
    </w:pPr>
    <w:rPr>
      <w:rFonts w:ascii="Times New Roman" w:hAnsi="Times New Roman"/>
      <w:sz w:val="24"/>
    </w:rPr>
  </w:style>
  <w:style w:type="paragraph" w:styleId="Cmsor1">
    <w:name w:val="heading 1"/>
    <w:basedOn w:val="Norml"/>
    <w:next w:val="Norml"/>
    <w:link w:val="Cmsor1Char"/>
    <w:uiPriority w:val="9"/>
    <w:qFormat/>
    <w:rsid w:val="00D506F1"/>
    <w:pPr>
      <w:keepNext/>
      <w:keepLines/>
      <w:spacing w:before="240" w:after="0"/>
      <w:outlineLvl w:val="0"/>
    </w:pPr>
    <w:rPr>
      <w:rFonts w:eastAsiaTheme="majorEastAsia" w:cstheme="majorBidi"/>
      <w:sz w:val="32"/>
      <w:szCs w:val="32"/>
    </w:rPr>
  </w:style>
  <w:style w:type="paragraph" w:styleId="Cmsor2">
    <w:name w:val="heading 2"/>
    <w:basedOn w:val="Norml"/>
    <w:next w:val="Norml"/>
    <w:link w:val="Cmsor2Char"/>
    <w:uiPriority w:val="9"/>
    <w:semiHidden/>
    <w:unhideWhenUsed/>
    <w:qFormat/>
    <w:rsid w:val="00D506F1"/>
    <w:pPr>
      <w:keepNext/>
      <w:keepLines/>
      <w:spacing w:before="40" w:after="0"/>
      <w:outlineLvl w:val="1"/>
    </w:pPr>
    <w:rPr>
      <w:rFonts w:eastAsiaTheme="majorEastAsia" w:cstheme="majorBidi"/>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D506F1"/>
    <w:rPr>
      <w:rFonts w:ascii="Times New Roman" w:eastAsiaTheme="majorEastAsia" w:hAnsi="Times New Roman" w:cstheme="majorBidi"/>
      <w:sz w:val="32"/>
      <w:szCs w:val="32"/>
    </w:rPr>
  </w:style>
  <w:style w:type="paragraph" w:styleId="lfej">
    <w:name w:val="header"/>
    <w:basedOn w:val="Norml"/>
    <w:link w:val="lfejChar"/>
    <w:uiPriority w:val="99"/>
    <w:unhideWhenUsed/>
    <w:rsid w:val="0014128E"/>
    <w:pPr>
      <w:tabs>
        <w:tab w:val="center" w:pos="4536"/>
        <w:tab w:val="right" w:pos="9072"/>
      </w:tabs>
      <w:spacing w:after="0"/>
    </w:pPr>
  </w:style>
  <w:style w:type="character" w:customStyle="1" w:styleId="lfejChar">
    <w:name w:val="Élőfej Char"/>
    <w:basedOn w:val="Bekezdsalapbettpusa"/>
    <w:link w:val="lfej"/>
    <w:uiPriority w:val="99"/>
    <w:rsid w:val="0014128E"/>
  </w:style>
  <w:style w:type="paragraph" w:styleId="llb">
    <w:name w:val="footer"/>
    <w:basedOn w:val="Norml"/>
    <w:link w:val="llbChar"/>
    <w:uiPriority w:val="99"/>
    <w:unhideWhenUsed/>
    <w:rsid w:val="0014128E"/>
    <w:pPr>
      <w:tabs>
        <w:tab w:val="center" w:pos="4536"/>
        <w:tab w:val="right" w:pos="9072"/>
      </w:tabs>
      <w:spacing w:after="0"/>
    </w:pPr>
  </w:style>
  <w:style w:type="character" w:customStyle="1" w:styleId="llbChar">
    <w:name w:val="Élőláb Char"/>
    <w:basedOn w:val="Bekezdsalapbettpusa"/>
    <w:link w:val="llb"/>
    <w:uiPriority w:val="99"/>
    <w:rsid w:val="0014128E"/>
  </w:style>
  <w:style w:type="paragraph" w:styleId="Listaszerbekezds">
    <w:name w:val="List Paragraph"/>
    <w:basedOn w:val="Norml"/>
    <w:uiPriority w:val="34"/>
    <w:qFormat/>
    <w:rsid w:val="0008220C"/>
    <w:pPr>
      <w:ind w:left="720"/>
      <w:contextualSpacing/>
    </w:pPr>
  </w:style>
  <w:style w:type="character" w:customStyle="1" w:styleId="Cmsor2Char">
    <w:name w:val="Címsor 2 Char"/>
    <w:basedOn w:val="Bekezdsalapbettpusa"/>
    <w:link w:val="Cmsor2"/>
    <w:uiPriority w:val="9"/>
    <w:semiHidden/>
    <w:rsid w:val="00D506F1"/>
    <w:rPr>
      <w:rFonts w:ascii="Times New Roman" w:eastAsiaTheme="majorEastAsia" w:hAnsi="Times New Roman" w:cstheme="majorBidi"/>
      <w:sz w:val="26"/>
      <w:szCs w:val="26"/>
    </w:rPr>
  </w:style>
  <w:style w:type="character" w:styleId="Erskiemels">
    <w:name w:val="Intense Emphasis"/>
    <w:basedOn w:val="Bekezdsalapbettpusa"/>
    <w:uiPriority w:val="21"/>
    <w:qFormat/>
    <w:rsid w:val="00D506F1"/>
    <w:rPr>
      <w:rFonts w:ascii="Times New Roman" w:hAnsi="Times New Roman"/>
      <w:i/>
      <w:iCs/>
      <w:color w:val="auto"/>
      <w:sz w:val="24"/>
    </w:rPr>
  </w:style>
  <w:style w:type="paragraph" w:styleId="Kiemeltidzet">
    <w:name w:val="Intense Quote"/>
    <w:basedOn w:val="Norml"/>
    <w:next w:val="Norml"/>
    <w:link w:val="KiemeltidzetChar"/>
    <w:uiPriority w:val="30"/>
    <w:qFormat/>
    <w:rsid w:val="00D506F1"/>
    <w:pPr>
      <w:pBdr>
        <w:top w:val="single" w:sz="4" w:space="10" w:color="000000" w:themeColor="text1"/>
        <w:bottom w:val="single" w:sz="4" w:space="10" w:color="000000" w:themeColor="text1"/>
      </w:pBdr>
      <w:spacing w:before="360" w:after="360"/>
      <w:ind w:left="864" w:right="864"/>
      <w:jc w:val="center"/>
    </w:pPr>
    <w:rPr>
      <w:i/>
      <w:iCs/>
    </w:rPr>
  </w:style>
  <w:style w:type="character" w:customStyle="1" w:styleId="KiemeltidzetChar">
    <w:name w:val="Kiemelt idézet Char"/>
    <w:basedOn w:val="Bekezdsalapbettpusa"/>
    <w:link w:val="Kiemeltidzet"/>
    <w:uiPriority w:val="30"/>
    <w:rsid w:val="00D506F1"/>
    <w:rPr>
      <w:i/>
      <w:iCs/>
    </w:rPr>
  </w:style>
  <w:style w:type="character" w:styleId="Ershivatkozs">
    <w:name w:val="Intense Reference"/>
    <w:basedOn w:val="Bekezdsalapbettpusa"/>
    <w:uiPriority w:val="32"/>
    <w:qFormat/>
    <w:rsid w:val="00D506F1"/>
    <w:rPr>
      <w:rFonts w:ascii="Times New Roman" w:hAnsi="Times New Roman"/>
      <w:b/>
      <w:bCs/>
      <w:smallCaps/>
      <w:color w:val="auto"/>
      <w:spacing w:val="5"/>
      <w:sz w:val="24"/>
    </w:rPr>
  </w:style>
  <w:style w:type="paragraph" w:styleId="Nincstrkz">
    <w:name w:val="No Spacing"/>
    <w:uiPriority w:val="1"/>
    <w:qFormat/>
    <w:rsid w:val="00091769"/>
    <w:pPr>
      <w:spacing w:after="0" w:line="240" w:lineRule="auto"/>
      <w:jc w:val="both"/>
    </w:pPr>
    <w:rPr>
      <w:rFonts w:ascii="Times New Roman" w:hAnsi="Times New Roman"/>
      <w:sz w:val="24"/>
    </w:rPr>
  </w:style>
  <w:style w:type="paragraph" w:styleId="Cm">
    <w:name w:val="Title"/>
    <w:basedOn w:val="Norml"/>
    <w:next w:val="Norml"/>
    <w:link w:val="CmChar"/>
    <w:uiPriority w:val="10"/>
    <w:qFormat/>
    <w:rsid w:val="00D506F1"/>
    <w:pPr>
      <w:spacing w:after="0"/>
      <w:contextualSpacing/>
    </w:pPr>
    <w:rPr>
      <w:rFonts w:eastAsiaTheme="majorEastAsia" w:cstheme="majorBidi"/>
      <w:spacing w:val="-10"/>
      <w:kern w:val="28"/>
      <w:sz w:val="56"/>
      <w:szCs w:val="56"/>
    </w:rPr>
  </w:style>
  <w:style w:type="character" w:customStyle="1" w:styleId="CmChar">
    <w:name w:val="Cím Char"/>
    <w:basedOn w:val="Bekezdsalapbettpusa"/>
    <w:link w:val="Cm"/>
    <w:uiPriority w:val="10"/>
    <w:rsid w:val="00D506F1"/>
    <w:rPr>
      <w:rFonts w:ascii="Times New Roman" w:eastAsiaTheme="majorEastAsia" w:hAnsi="Times New Roman" w:cstheme="majorBidi"/>
      <w:spacing w:val="-10"/>
      <w:kern w:val="28"/>
      <w:sz w:val="56"/>
      <w:szCs w:val="56"/>
    </w:rPr>
  </w:style>
  <w:style w:type="paragraph" w:styleId="Alcm">
    <w:name w:val="Subtitle"/>
    <w:basedOn w:val="Norml"/>
    <w:next w:val="Norml"/>
    <w:link w:val="AlcmChar"/>
    <w:uiPriority w:val="11"/>
    <w:qFormat/>
    <w:rsid w:val="00D506F1"/>
    <w:pPr>
      <w:numPr>
        <w:ilvl w:val="1"/>
      </w:numPr>
    </w:pPr>
    <w:rPr>
      <w:rFonts w:eastAsiaTheme="minorEastAsia"/>
      <w:spacing w:val="15"/>
    </w:rPr>
  </w:style>
  <w:style w:type="character" w:customStyle="1" w:styleId="AlcmChar">
    <w:name w:val="Alcím Char"/>
    <w:basedOn w:val="Bekezdsalapbettpusa"/>
    <w:link w:val="Alcm"/>
    <w:uiPriority w:val="11"/>
    <w:rsid w:val="00D506F1"/>
    <w:rPr>
      <w:rFonts w:ascii="Times New Roman" w:eastAsiaTheme="minorEastAsia" w:hAnsi="Times New Roman"/>
      <w:spacing w:val="15"/>
      <w:sz w:val="24"/>
    </w:rPr>
  </w:style>
  <w:style w:type="character" w:styleId="Finomkiemels">
    <w:name w:val="Subtle Emphasis"/>
    <w:basedOn w:val="Bekezdsalapbettpusa"/>
    <w:uiPriority w:val="19"/>
    <w:qFormat/>
    <w:rsid w:val="00D506F1"/>
    <w:rPr>
      <w:rFonts w:ascii="Times New Roman" w:hAnsi="Times New Roman"/>
      <w:i/>
      <w:iCs/>
      <w:color w:val="auto"/>
      <w:sz w:val="24"/>
    </w:rPr>
  </w:style>
  <w:style w:type="character" w:styleId="Kiemels">
    <w:name w:val="Emphasis"/>
    <w:basedOn w:val="Bekezdsalapbettpusa"/>
    <w:uiPriority w:val="20"/>
    <w:qFormat/>
    <w:rsid w:val="00D506F1"/>
    <w:rPr>
      <w:rFonts w:ascii="Times New Roman" w:hAnsi="Times New Roman"/>
      <w:i/>
      <w:iCs/>
      <w:color w:val="auto"/>
      <w:sz w:val="24"/>
    </w:rPr>
  </w:style>
  <w:style w:type="character" w:styleId="Kiemels2">
    <w:name w:val="Strong"/>
    <w:basedOn w:val="Bekezdsalapbettpusa"/>
    <w:uiPriority w:val="22"/>
    <w:qFormat/>
    <w:rsid w:val="00D506F1"/>
    <w:rPr>
      <w:rFonts w:ascii="Times New Roman" w:hAnsi="Times New Roman"/>
      <w:b/>
      <w:bCs/>
      <w:sz w:val="24"/>
    </w:rPr>
  </w:style>
  <w:style w:type="paragraph" w:styleId="Idzet">
    <w:name w:val="Quote"/>
    <w:basedOn w:val="Norml"/>
    <w:next w:val="Norml"/>
    <w:link w:val="IdzetChar"/>
    <w:uiPriority w:val="29"/>
    <w:qFormat/>
    <w:rsid w:val="00D506F1"/>
    <w:pPr>
      <w:spacing w:before="200"/>
      <w:ind w:left="864" w:right="864"/>
      <w:jc w:val="center"/>
    </w:pPr>
    <w:rPr>
      <w:i/>
      <w:iCs/>
    </w:rPr>
  </w:style>
  <w:style w:type="character" w:customStyle="1" w:styleId="IdzetChar">
    <w:name w:val="Idézet Char"/>
    <w:basedOn w:val="Bekezdsalapbettpusa"/>
    <w:link w:val="Idzet"/>
    <w:uiPriority w:val="29"/>
    <w:rsid w:val="00D506F1"/>
    <w:rPr>
      <w:rFonts w:ascii="Times New Roman" w:hAnsi="Times New Roman"/>
      <w:i/>
      <w:iCs/>
      <w:sz w:val="24"/>
    </w:rPr>
  </w:style>
  <w:style w:type="character" w:styleId="Finomhivatkozs">
    <w:name w:val="Subtle Reference"/>
    <w:basedOn w:val="Bekezdsalapbettpusa"/>
    <w:uiPriority w:val="31"/>
    <w:qFormat/>
    <w:rsid w:val="00D506F1"/>
    <w:rPr>
      <w:rFonts w:ascii="Times New Roman" w:hAnsi="Times New Roman"/>
      <w:smallCaps/>
      <w:color w:val="auto"/>
      <w:sz w:val="24"/>
    </w:rPr>
  </w:style>
  <w:style w:type="character" w:styleId="Knyvcme">
    <w:name w:val="Book Title"/>
    <w:basedOn w:val="Bekezdsalapbettpusa"/>
    <w:uiPriority w:val="33"/>
    <w:qFormat/>
    <w:rsid w:val="00D506F1"/>
    <w:rPr>
      <w:rFonts w:ascii="Times New Roman" w:hAnsi="Times New Roman"/>
      <w:b/>
      <w:bCs/>
      <w:i/>
      <w:iCs/>
      <w:spacing w:val="5"/>
      <w:sz w:val="24"/>
    </w:rPr>
  </w:style>
  <w:style w:type="character" w:styleId="Helyrzszveg">
    <w:name w:val="Placeholder Text"/>
    <w:basedOn w:val="Bekezdsalapbettpusa"/>
    <w:uiPriority w:val="99"/>
    <w:semiHidden/>
    <w:rsid w:val="000061F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237C2-570C-481A-B7AB-8B97A1A6F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0</Words>
  <Characters>0</Characters>
  <DocSecurity>0</DocSecurity>
  <Lines>0</Lines>
  <Paragraphs>0</Paragraphs>
  <ScaleCrop>false</ScaleCrop>
  <HeadingPairs>
    <vt:vector size="2" baseType="variant">
      <vt:variant>
        <vt:lpstr>Cím</vt:lpstr>
      </vt:variant>
      <vt:variant>
        <vt:i4>1</vt:i4>
      </vt:variant>
    </vt:vector>
  </HeadingPairs>
  <TitlesOfParts>
    <vt:vector size="1" baseType="lpstr">
      <vt:lpstr/>
    </vt:vector>
  </TitlesOfParts>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2018-09-19T09:52:00Z</dcterms:created>
  <dcterms:modified xsi:type="dcterms:W3CDTF">2020-01-21T10:07:00Z</dcterms:modified>
</cp:coreProperties>
</file>