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Roj:</w:t>
      </w:r>
      <w:r>
        <w:rPr>
          <w:rFonts w:ascii="Verdana" w:hAnsi="Verdana" w:cs="Verdana"/>
          <w:sz w:val="20"/>
          <w:sz-cs w:val="20"/>
          <w:spacing w:val="0"/>
        </w:rPr>
        <w:t xml:space="preserve"> STS  1960/2026 - </w:t>
      </w:r>
      <w:r>
        <w:rPr>
          <w:rFonts w:ascii="Verdana" w:hAnsi="Verdana" w:cs="Verdana"/>
          <w:sz w:val="20"/>
          <w:sz-cs w:val="20"/>
          <w:b/>
          <w:spacing w:val="0"/>
          <w:color w:val="0000FF"/>
        </w:rPr>
        <w:t xml:space="preserve"> ECLI:</w:t>
      </w:r>
      <w:r>
        <w:rPr>
          <w:rFonts w:ascii="Verdana" w:hAnsi="Verdana" w:cs="Verdana"/>
          <w:sz w:val="20"/>
          <w:sz-cs w:val="20"/>
          <w:spacing w:val="0"/>
        </w:rPr>
        <w:t xml:space="preserve">ES:TS:2026:1960</w:t>
      </w:r>
    </w:p>
    <w:p>
      <w:pPr/>
      <w:r>
        <w:rPr>
          <w:rFonts w:ascii="Verdana" w:hAnsi="Verdana" w:cs="Verdana"/>
          <w:sz w:val="20"/>
          <w:sz-cs w:val="20"/>
          <w:b/>
          <w:spacing w:val="0"/>
          <w:color w:val="0000FF"/>
        </w:rPr>
        <w:t xml:space="preserve">Órgano:</w:t>
      </w:r>
      <w:r>
        <w:rPr>
          <w:rFonts w:ascii="Verdana" w:hAnsi="Verdana" w:cs="Verdana"/>
          <w:sz w:val="20"/>
          <w:sz-cs w:val="20"/>
          <w:spacing w:val="0"/>
        </w:rPr>
        <w:t xml:space="preserve"> Tribunal Supremo. Sala de lo Civil</w:t>
      </w:r>
    </w:p>
    <w:p>
      <w:pPr/>
      <w:r>
        <w:rPr>
          <w:rFonts w:ascii="Verdana" w:hAnsi="Verdana" w:cs="Verdana"/>
          <w:sz w:val="20"/>
          <w:sz-cs w:val="20"/>
          <w:b/>
          <w:spacing w:val="0"/>
          <w:color w:val="0000FF"/>
        </w:rPr>
        <w:t xml:space="preserve">Sede:</w:t>
      </w:r>
      <w:r>
        <w:rPr>
          <w:rFonts w:ascii="Verdana" w:hAnsi="Verdana" w:cs="Verdana"/>
          <w:sz w:val="20"/>
          <w:sz-cs w:val="20"/>
          <w:spacing w:val="0"/>
        </w:rPr>
        <w:t xml:space="preserve"> Madrid</w:t>
      </w:r>
    </w:p>
    <w:p>
      <w:pPr/>
      <w:r>
        <w:rPr>
          <w:rFonts w:ascii="Verdana" w:hAnsi="Verdana" w:cs="Verdana"/>
          <w:sz w:val="20"/>
          <w:sz-cs w:val="20"/>
          <w:b/>
          <w:spacing w:val="0"/>
          <w:color w:val="0000FF"/>
        </w:rPr>
        <w:t xml:space="preserve">Sección:</w:t>
      </w:r>
      <w:r>
        <w:rPr>
          <w:rFonts w:ascii="Verdana" w:hAnsi="Verdana" w:cs="Verdana"/>
          <w:sz w:val="20"/>
          <w:sz-cs w:val="20"/>
          <w:spacing w:val="0"/>
        </w:rPr>
        <w:t xml:space="preserve"> 1</w:t>
      </w:r>
    </w:p>
    <w:p>
      <w:pPr/>
      <w:r>
        <w:rPr>
          <w:rFonts w:ascii="Verdana" w:hAnsi="Verdana" w:cs="Verdana"/>
          <w:sz w:val="20"/>
          <w:sz-cs w:val="20"/>
          <w:b/>
          <w:spacing w:val="0"/>
          <w:color w:val="0000FF"/>
        </w:rPr>
        <w:t xml:space="preserve">Nº de Recurso:</w:t>
      </w:r>
      <w:r>
        <w:rPr>
          <w:rFonts w:ascii="Verdana" w:hAnsi="Verdana" w:cs="Verdana"/>
          <w:sz w:val="20"/>
          <w:sz-cs w:val="20"/>
          <w:spacing w:val="0"/>
        </w:rPr>
        <w:t xml:space="preserve"> 3558/2022</w:t>
      </w:r>
    </w:p>
    <w:p>
      <w:pPr/>
      <w:r>
        <w:rPr>
          <w:rFonts w:ascii="Verdana" w:hAnsi="Verdana" w:cs="Verdana"/>
          <w:sz w:val="20"/>
          <w:sz-cs w:val="20"/>
          <w:b/>
          <w:spacing w:val="0"/>
          <w:color w:val="0000FF"/>
        </w:rPr>
        <w:t xml:space="preserve">Nº de Resolución:</w:t>
      </w:r>
      <w:r>
        <w:rPr>
          <w:rFonts w:ascii="Verdana" w:hAnsi="Verdana" w:cs="Verdana"/>
          <w:sz w:val="20"/>
          <w:sz-cs w:val="20"/>
          <w:spacing w:val="0"/>
        </w:rPr>
        <w:t xml:space="preserve"> 675/2026</w:t>
      </w:r>
    </w:p>
    <w:p>
      <w:pPr/>
      <w:r>
        <w:rPr>
          <w:rFonts w:ascii="Verdana" w:hAnsi="Verdana" w:cs="Verdana"/>
          <w:sz w:val="20"/>
          <w:sz-cs w:val="20"/>
          <w:b/>
          <w:spacing w:val="0"/>
          <w:color w:val="0000FF"/>
        </w:rPr>
        <w:t xml:space="preserve">Fecha de Resolución:</w:t>
      </w:r>
      <w:r>
        <w:rPr>
          <w:rFonts w:ascii="Verdana" w:hAnsi="Verdana" w:cs="Verdana"/>
          <w:sz w:val="20"/>
          <w:sz-cs w:val="20"/>
          <w:spacing w:val="0"/>
        </w:rPr>
        <w:t xml:space="preserve"> 05/05/2026</w:t>
      </w:r>
    </w:p>
    <w:p>
      <w:pPr/>
      <w:r>
        <w:rPr>
          <w:rFonts w:ascii="Verdana" w:hAnsi="Verdana" w:cs="Verdana"/>
          <w:sz w:val="20"/>
          <w:sz-cs w:val="20"/>
          <w:b/>
          <w:spacing w:val="0"/>
          <w:color w:val="0000FF"/>
        </w:rPr>
        <w:t xml:space="preserve">Procedimiento:</w:t>
      </w:r>
      <w:r>
        <w:rPr>
          <w:rFonts w:ascii="Verdana" w:hAnsi="Verdana" w:cs="Verdana"/>
          <w:sz w:val="20"/>
          <w:sz-cs w:val="20"/>
          <w:spacing w:val="0"/>
        </w:rPr>
        <w:t xml:space="preserve"> Recurso de casación</w:t>
      </w:r>
    </w:p>
    <w:p>
      <w:pPr/>
      <w:r>
        <w:rPr>
          <w:rFonts w:ascii="Verdana" w:hAnsi="Verdana" w:cs="Verdana"/>
          <w:sz w:val="20"/>
          <w:sz-cs w:val="20"/>
          <w:b/>
          <w:spacing w:val="0"/>
          <w:color w:val="0000FF"/>
        </w:rPr>
        <w:t xml:space="preserve">Ponente:</w:t>
      </w:r>
      <w:r>
        <w:rPr>
          <w:rFonts w:ascii="Verdana" w:hAnsi="Verdana" w:cs="Verdana"/>
          <w:sz w:val="20"/>
          <w:sz-cs w:val="20"/>
          <w:spacing w:val="0"/>
        </w:rPr>
        <w:t xml:space="preserve"> RAFAEL SARAZA JIMENA</w:t>
      </w:r>
    </w:p>
    <w:p>
      <w:pPr/>
      <w:r>
        <w:rPr>
          <w:rFonts w:ascii="Verdana" w:hAnsi="Verdana" w:cs="Verdana"/>
          <w:sz w:val="20"/>
          <w:sz-cs w:val="20"/>
          <w:b/>
          <w:spacing w:val="0"/>
          <w:color w:val="0000FF"/>
        </w:rPr>
        <w:t xml:space="preserve">Tipo de Resolución:</w:t>
      </w:r>
      <w:r>
        <w:rPr>
          <w:rFonts w:ascii="Verdana" w:hAnsi="Verdana" w:cs="Verdana"/>
          <w:sz w:val="20"/>
          <w:sz-cs w:val="20"/>
          <w:spacing w:val="0"/>
        </w:rPr>
        <w:t xml:space="preserve"> Sentencia</w:t>
      </w:r>
    </w:p>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Cuestión:</w:t>
      </w:r>
      <w:r>
        <w:rPr>
          <w:rFonts w:ascii="Verdana" w:hAnsi="Verdana" w:cs="Verdana"/>
          <w:sz w:val="20"/>
          <w:sz-cs w:val="20"/>
          <w:spacing w:val="0"/>
        </w:rPr>
        <w:t xml:space="preserve"/>
      </w:r>
    </w:p>
    <w:p>
      <w:pPr/>
      <w:r>
        <w:rPr>
          <w:rFonts w:ascii="Verdana" w:hAnsi="Verdana" w:cs="Verdana"/>
          <w:sz w:val="20"/>
          <w:sz-cs w:val="20"/>
          <w:spacing w:val="0"/>
        </w:rPr>
        <w:t xml:space="preserve"/>
      </w:r>
    </w:p>
    <w:p>
      <w:pPr>
        <w:jc w:val="both"/>
      </w:pPr>
      <w:r>
        <w:rPr>
          <w:rFonts w:ascii="Verdana" w:hAnsi="Verdana" w:cs="Verdana"/>
          <w:sz w:val="20"/>
          <w:sz-cs w:val="20"/>
          <w:spacing w:val="0"/>
        </w:rPr>
        <w:t xml:space="preserve"> Reiteración de jurisprudencia. Competencia desleal. Acción de indemnización de los daños producidos por la conducta colusoria. Cártel de camiones.</w:t>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Resumen:</w:t>
      </w:r>
      <w:r>
        <w:rPr>
          <w:rFonts w:ascii="Verdana" w:hAnsi="Verdana" w:cs="Verdana"/>
          <w:sz w:val="20"/>
          <w:sz-cs w:val="20"/>
          <w:spacing w:val="0"/>
        </w:rPr>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spacing w:val="0"/>
        </w:rPr>
        <w:t xml:space="preserve"> Reiteración de jurisprudencia. Demanda en la que se solicitaba indemnización de daños causados por la infracción del Derecho de la competencia en el cártel de los camiones. La sala estima el recurso extraordinario por infracción procesal por considerarse ilógica la valoración de la prueba pericial realizada por la Audiencia Provincial. No se puede admitir una indemnización que deriva de un promedio derivado de estudios realizados en cárteles relativos a multitud de mercados, desconectados del cártel de camiones que nos ocupa. La sala reitera que el informe pericial es bastante a efectos de considerar suficiente el esfuerzo probatorio sobre la existencia del daño. Se anula la sentencia y se dicta una nueva en la que la sala aplica su jurisprudencia sobre la presunción del daño y su estimación judicial (en concreto las sentencias 940/2023, de 13 de junio; 941/2023, de 13 de junio; 946/2023, de 14 de junio; 947/2023, de 14 de junio; y 1415/2023, de 16 de octubre). El importe de la indemnización será el equivalente al 5% del precio de adquisición de los camiones objeto de litigio, con los intereses legales desde la fecha de adquisición.</w:t>
      </w:r>
    </w:p>
    <w:p>
      <w:pPr>
        <w:jc w:val="both"/>
      </w:pPr>
      <w:r>
        <w:rPr>
          <w:rFonts w:ascii="Verdana" w:hAnsi="Verdana" w:cs="Verdana"/>
          <w:sz w:val="20"/>
          <w:sz-cs w:val="20"/>
          <w:spacing w:val="0"/>
        </w:rPr>
        <w:t xml:space="preserve"/>
      </w:r>
    </w:p>
    <w:p>
      <w:pPr>
        <w:jc w:val="both"/>
      </w:pPr>
      <w:r>
        <w:rPr>
          <w:rFonts w:ascii="Verdana" w:hAnsi="Verdana" w:cs="Verdana"/>
          <w:sz w:val="20"/>
          <w:sz-cs w:val="20"/>
          <w:u w:val="single" w:color="000000"/>
          <w:spacing w:val="0"/>
        </w:rPr>
        <w:t xml:space="preserve"/>
        <w:tab/>
        <w:t xml:space="preserve"/>
        <w:tab/>
        <w:t xml:space="preserve"/>
        <w:tab/>
        <w:t xml:space="preserve"/>
        <w:tab/>
        <w:t xml:space="preserve"/>
        <w:tab/>
        <w:t xml:space="preserve"/>
        <w:tab/>
        <w:t xml:space="preserve"/>
        <w:tab/>
        <w:t xml:space="preserve"/>
        <w:tab/>
        <w:t xml:space="preserve"/>
        <w:tab/>
        <w:t xml:space="preserve"/>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Encabezamiento</w:t>
      </w: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 R I B U N A L S U P R E M 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Sala de lo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w:t>
      </w:r>
      <w:r>
        <w:rPr>
          <w:rFonts w:ascii="Verdana" w:hAnsi="Verdana" w:cs="Verdana"/>
          <w:sz w:val="20"/>
          <w:sz-cs w:val="20"/>
          <w:b/>
          <w:u w:val="single" w:color="000000"/>
          <w:spacing w:val="0"/>
        </w:rPr>
        <w:t xml:space="preserve"> Sentencia núm. 675/2026 </w:t>
      </w:r>
      <w:r>
        <w:rPr>
          <w:rFonts w:ascii="Verdana" w:hAnsi="Verdana" w:cs="Verdana"/>
          <w:sz w:val="20"/>
          <w:sz-cs w:val="20"/>
          <w:b/>
          <w:spacing w:val="0"/>
        </w:rPr>
        <w:t xml:space="preserv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Fecha de sentencia: 05/05/2026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Tipo de procedimiento: CASACIÓN E INFRACCIÓN PROCESAL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Número del procedimiento: 3558/2022</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Fallo/Acuerdo: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Fecha de Votación y Fallo: 29/04/2026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Ponente: Excmo. Sr.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Procedencia: Audiencia Provincial de Badajoz, Sección 2.ª</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Letrada de la Administración de Justicia: Ilma. Sra. Dña. Aurora Carmen Garcia Alvarez</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Sentencia de señalamiento adicional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Transcrito por: MC/ACS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CASACIÓN E INFRACCIÓN PROCESAL núm.: 3558/2022</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Ponente: Excmo. Sr.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Letrada de la Administración de Justicia: Ilma. Sra. Dña. Aurora Carmen Garcia Alvarez</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TRIBUNAL SUPREMO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Sala de lo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Sentencia núm. 675/2026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Excmos. Sres.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Ignacio Sancho Gargallo, presidente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Pedro José Vela Torres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Madrid, a 5 de mayo de 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 Sala ha visto los recursos extraordinarios por infracción procesal y los recursos de casación respecto de la </w:t>
      </w:r>
      <w:r>
        <w:rPr>
          <w:rFonts w:ascii="Verdana" w:hAnsi="Verdana" w:cs="Verdana"/>
          <w:sz w:val="20"/>
          <w:sz-cs w:val="20"/>
          <w:i/>
          <w:spacing w:val="0"/>
        </w:rPr>
        <w:t xml:space="preserve"> sentencia 240/2022, de 24 de marzo, dictada en grado de apelación por la Sección 2.ª de la Audiencia Provincial de Badajoz </w:t>
      </w:r>
      <w:r>
        <w:rPr>
          <w:rFonts w:ascii="Verdana" w:hAnsi="Verdana" w:cs="Verdana"/>
          <w:sz w:val="20"/>
          <w:sz-cs w:val="20"/>
          <w:spacing w:val="0"/>
        </w:rPr>
        <w:t xml:space="preserve">, como consecuencia de </w:t>
      </w:r>
      <w:r>
        <w:rPr>
          <w:rFonts w:ascii="Verdana" w:hAnsi="Verdana" w:cs="Verdana"/>
          <w:sz w:val="20"/>
          <w:sz-cs w:val="20"/>
          <w:i/>
          <w:spacing w:val="0"/>
        </w:rPr>
        <w:t xml:space="preserve"> autos de juicio ordinario núm. 145/2018 del Juzgado de lo Mercantil número 1 de Badajoz </w:t>
      </w:r>
      <w:r>
        <w:rPr>
          <w:rFonts w:ascii="Verdana" w:hAnsi="Verdana" w:cs="Verdana"/>
          <w:sz w:val="20"/>
          <w:sz-cs w:val="20"/>
          <w:spacing w:val="0"/>
        </w:rPr>
        <w:t xml:space="preserve">, sobre indemnización de daños causados por infracción del Derecho de la competencia.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Son partes recurrentes, Traton SE, representada por el procurador D. Ramón Rodríguez Nogueira y bajo la dirección letrada de D.ª Beatriz García Gómez, y Daimler AG, representada por el procurador D. Isidro Orquín Cedenilla y bajo la dirección letrada de D.ª María de los Desamparados Pérez Carrillo.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 parte recurrida D. Hugo, representado por el procurador D. Juan Carlos Almeida Lorences y bajo la dirección letrada de D. Iván Contreras Cardoso.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Ha sido ponente el Excmo. Sr.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ANTECEDENTES DE HECHO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w:t>
      </w:r>
      <w:r>
        <w:rPr>
          <w:rFonts w:ascii="Verdana" w:hAnsi="Verdana" w:cs="Verdana"/>
          <w:sz w:val="20"/>
          <w:sz-cs w:val="20"/>
          <w:i/>
          <w:spacing w:val="0"/>
        </w:rPr>
        <w:t xml:space="preserve"> Tramitación en primera instancia.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representación procesal de D. Hugo interpuso demanda de juicio ordinario contra Man SE y Daimler AG, que fue repartida al </w:t>
      </w:r>
      <w:r>
        <w:rPr>
          <w:rFonts w:ascii="Verdana" w:hAnsi="Verdana" w:cs="Verdana"/>
          <w:sz w:val="20"/>
          <w:sz-cs w:val="20"/>
          <w:i/>
          <w:spacing w:val="0"/>
        </w:rPr>
        <w:t xml:space="preserve"> Juzgado de lo Mercantil número 1 de Badajoz y que finalizó por sentencia número 59/2020, de 20 de abril </w:t>
      </w:r>
      <w:r>
        <w:rPr>
          <w:rFonts w:ascii="Verdana" w:hAnsi="Verdana" w:cs="Verdana"/>
          <w:sz w:val="20"/>
          <w:sz-cs w:val="20"/>
          <w:spacing w:val="0"/>
        </w:rPr>
        <w:t xml:space="preserve">, que, sucintamente, estimó parcialmente la demanda, declaró la responsabilidad solidaria de las demandadas y las condenó a abonar al demandante la cantidad de 11.037,26 euros, más los intereses desde la fecha de adquisición, sin imposición de costas.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w:t>
      </w:r>
      <w:r>
        <w:rPr>
          <w:rFonts w:ascii="Verdana" w:hAnsi="Verdana" w:cs="Verdana"/>
          <w:sz w:val="20"/>
          <w:sz-cs w:val="20"/>
          <w:i/>
          <w:spacing w:val="0"/>
        </w:rPr>
        <w:t xml:space="preserve"> Tramitación en segunda instancia.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sentencia de primera instancia fue recurrida en apelación por la representación de D. Hugo, Traton SE (antes, Man SE) y Daimler, AG.</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w:t>
      </w:r>
      <w:r>
        <w:rPr>
          <w:rFonts w:ascii="Verdana" w:hAnsi="Verdana" w:cs="Verdana"/>
          <w:sz w:val="20"/>
          <w:sz-cs w:val="20"/>
          <w:i/>
          <w:spacing w:val="0"/>
        </w:rPr>
        <w:t xml:space="preserve"> resolución de los recursos correspondió a la Sección 2.ª de la Audiencia Provincial de Badajoz, que los tramitó con el número de rollo 782/2020 </w:t>
      </w:r>
      <w:r>
        <w:rPr>
          <w:rFonts w:ascii="Verdana" w:hAnsi="Verdana" w:cs="Verdana"/>
          <w:sz w:val="20"/>
          <w:sz-cs w:val="20"/>
          <w:spacing w:val="0"/>
        </w:rPr>
        <w:t xml:space="preserve">, y, tras seguir los correspondientes trámites, dictó </w:t>
      </w:r>
      <w:r>
        <w:rPr>
          <w:rFonts w:ascii="Verdana" w:hAnsi="Verdana" w:cs="Verdana"/>
          <w:sz w:val="20"/>
          <w:sz-cs w:val="20"/>
          <w:i/>
          <w:spacing w:val="0"/>
        </w:rPr>
        <w:t xml:space="preserve"> sentencia 240/2022, de 24 de marzo </w:t>
      </w:r>
      <w:r>
        <w:rPr>
          <w:rFonts w:ascii="Verdana" w:hAnsi="Verdana" w:cs="Verdana"/>
          <w:sz w:val="20"/>
          <w:sz-cs w:val="20"/>
          <w:spacing w:val="0"/>
        </w:rPr>
        <w:t xml:space="preserve">, que estimó el recurso de apelación interpuesto por la parte demandante y desestimó el formulado por las demandadas y revocó la sentencia de primera instancia en el sentido de estimar íntegramente la demanda y condenar a las demandadas a abonar 38.657,75 euros, confirmando el resto de pronunciamientos, con imposición de las costas de primera instancia a la parte demandada, sin condena de las causadas por la apelación de la actora, con imposición a las apelantes demandadas de las causadas por su recurso.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w:t>
      </w:r>
      <w:r>
        <w:rPr>
          <w:rFonts w:ascii="Verdana" w:hAnsi="Verdana" w:cs="Verdana"/>
          <w:sz w:val="20"/>
          <w:sz-cs w:val="20"/>
          <w:i/>
          <w:spacing w:val="0"/>
        </w:rPr>
        <w:t xml:space="preserve"> Interposición y tramitación de los recursos extraordinarios por infracción procesal y de los recursos de casación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representación de Traton SE interpuso recurso extraordinario por infracción procesal y recurso de casación.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motivos del recurso extraordinario por infracción procesal fueron: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«Primero.- Al amparo del </w:t>
      </w:r>
      <w:r>
        <w:rPr>
          <w:rFonts w:ascii="Verdana" w:hAnsi="Verdana" w:cs="Verdana"/>
          <w:sz w:val="20"/>
          <w:sz-cs w:val="20"/>
          <w:i/>
          <w:spacing w:val="0"/>
        </w:rPr>
        <w:t xml:space="preserve"> artículo 469.1.4º LEC </w:t>
      </w:r>
      <w:r>
        <w:rPr>
          <w:rFonts w:ascii="Verdana" w:hAnsi="Verdana" w:cs="Verdana"/>
          <w:sz w:val="20"/>
          <w:sz-cs w:val="20"/>
          <w:spacing w:val="0"/>
        </w:rPr>
        <w:t xml:space="preserve">, por vulneración del derecho a la tutela judicial efectiva del </w:t>
      </w:r>
      <w:r>
        <w:rPr>
          <w:rFonts w:ascii="Verdana" w:hAnsi="Verdana" w:cs="Verdana"/>
          <w:sz w:val="20"/>
          <w:sz-cs w:val="20"/>
          <w:i/>
          <w:spacing w:val="0"/>
        </w:rPr>
        <w:t xml:space="preserve"> artículo 24.1 CE </w:t>
      </w:r>
      <w:r>
        <w:rPr>
          <w:rFonts w:ascii="Verdana" w:hAnsi="Verdana" w:cs="Verdana"/>
          <w:sz w:val="20"/>
          <w:sz-cs w:val="20"/>
          <w:spacing w:val="0"/>
        </w:rPr>
        <w:t xml:space="preserve">. La Sentencia ha valorado de forma ilógica e irrazonable del Informe Pericial de la parte actora. La sentencia ha concluido que el Informe Pericial de la parte actora es una prueba suficiente para demostrar la existencia y cuantía exacta del supuesto perjuicio reclamado en la demanda, cuando se trata de un Informe manifiestamente defectuoso, que no ha analizado en modo alguno el mercado de camiones ni la conducta anticompetitiva objeto de la Decisión».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«Segundo.- Al amparo del </w:t>
      </w:r>
      <w:r>
        <w:rPr>
          <w:rFonts w:ascii="Verdana" w:hAnsi="Verdana" w:cs="Verdana"/>
          <w:sz w:val="20"/>
          <w:sz-cs w:val="20"/>
          <w:i/>
          <w:spacing w:val="0"/>
        </w:rPr>
        <w:t xml:space="preserve"> art. 469.1.4º LEC </w:t>
      </w:r>
      <w:r>
        <w:rPr>
          <w:rFonts w:ascii="Verdana" w:hAnsi="Verdana" w:cs="Verdana"/>
          <w:sz w:val="20"/>
          <w:sz-cs w:val="20"/>
          <w:spacing w:val="0"/>
        </w:rPr>
        <w:t xml:space="preserve">, por vulneración del derecho a la tutela judicial efectiva del </w:t>
      </w:r>
      <w:r>
        <w:rPr>
          <w:rFonts w:ascii="Verdana" w:hAnsi="Verdana" w:cs="Verdana"/>
          <w:sz w:val="20"/>
          <w:sz-cs w:val="20"/>
          <w:i/>
          <w:spacing w:val="0"/>
        </w:rPr>
        <w:t xml:space="preserve"> artículo 24.1 CE </w:t>
      </w:r>
      <w:r>
        <w:rPr>
          <w:rFonts w:ascii="Verdana" w:hAnsi="Verdana" w:cs="Verdana"/>
          <w:sz w:val="20"/>
          <w:sz-cs w:val="20"/>
          <w:spacing w:val="0"/>
        </w:rPr>
        <w:t xml:space="preserve">. La sentencia ha omitido analizar absolutamente el Informe Pericial emitido por Compas Lexecon, a pesar de la relevancia que presentaba para resolver la controversia».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motivos del recurso de casación fueron: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«Primero.- Al amparo del </w:t>
      </w:r>
      <w:r>
        <w:rPr>
          <w:rFonts w:ascii="Verdana" w:hAnsi="Verdana" w:cs="Verdana"/>
          <w:sz w:val="20"/>
          <w:sz-cs w:val="20"/>
          <w:i/>
          <w:spacing w:val="0"/>
        </w:rPr>
        <w:t xml:space="preserve"> artículo 477.2.3º LEC </w:t>
      </w:r>
      <w:r>
        <w:rPr>
          <w:rFonts w:ascii="Verdana" w:hAnsi="Verdana" w:cs="Verdana"/>
          <w:sz w:val="20"/>
          <w:sz-cs w:val="20"/>
          <w:spacing w:val="0"/>
        </w:rPr>
        <w:t xml:space="preserve">. La Sentencia ha infringido el </w:t>
      </w:r>
      <w:r>
        <w:rPr>
          <w:rFonts w:ascii="Verdana" w:hAnsi="Verdana" w:cs="Verdana"/>
          <w:sz w:val="20"/>
          <w:sz-cs w:val="20"/>
          <w:i/>
          <w:spacing w:val="0"/>
        </w:rPr>
        <w:t xml:space="preserve"> artículo 16.1 del Reglamento (CE) nº 1/2003 del Consejo, de 16 de diciembre de 2002 </w:t>
      </w:r>
      <w:r>
        <w:rPr>
          <w:rFonts w:ascii="Verdana" w:hAnsi="Verdana" w:cs="Verdana"/>
          <w:sz w:val="20"/>
          <w:sz-cs w:val="20"/>
          <w:spacing w:val="0"/>
        </w:rPr>
        <w:t xml:space="preserve">, relativo a la aplicación de las normas sobre competencia previstas en el </w:t>
      </w:r>
      <w:r>
        <w:rPr>
          <w:rFonts w:ascii="Verdana" w:hAnsi="Verdana" w:cs="Verdana"/>
          <w:sz w:val="20"/>
          <w:sz-cs w:val="20"/>
          <w:i/>
          <w:spacing w:val="0"/>
        </w:rPr>
        <w:t xml:space="preserve"> artículo 101 del Tratado de Funcionamiento de la Unión Europea </w:t>
      </w:r>
      <w:r>
        <w:rPr>
          <w:rFonts w:ascii="Verdana" w:hAnsi="Verdana" w:cs="Verdana"/>
          <w:sz w:val="20"/>
          <w:sz-cs w:val="20"/>
          <w:spacing w:val="0"/>
        </w:rPr>
        <w:t xml:space="preserve">, dado que la Sentencia no respeta el principio de vinculación de los órganos jurisdiccionales nacionales a las decisiones de la Comisión, y atribuye pronunciamientos a la Decisión -con los que forma la </w:t>
      </w:r>
      <w:r>
        <w:rPr>
          <w:rFonts w:ascii="Verdana" w:hAnsi="Verdana" w:cs="Verdana"/>
          <w:sz w:val="20"/>
          <w:sz-cs w:val="20"/>
          <w:i/>
          <w:spacing w:val="0"/>
        </w:rPr>
        <w:t xml:space="preserve"> ratio decidendi- </w:t>
      </w:r>
      <w:r>
        <w:rPr>
          <w:rFonts w:ascii="Verdana" w:hAnsi="Verdana" w:cs="Verdana"/>
          <w:sz w:val="20"/>
          <w:sz-cs w:val="20"/>
          <w:spacing w:val="0"/>
        </w:rPr>
        <w:t xml:space="preserve"> que se apartan y resultan incompatibles con la misma. Oposición a la doctrina jurisprudencial del TJUE».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«Segundo.- Al amparo del </w:t>
      </w:r>
      <w:r>
        <w:rPr>
          <w:rFonts w:ascii="Verdana" w:hAnsi="Verdana" w:cs="Verdana"/>
          <w:sz w:val="20"/>
          <w:sz-cs w:val="20"/>
          <w:i/>
          <w:spacing w:val="0"/>
        </w:rPr>
        <w:t xml:space="preserve"> artículo 477.2.3º LEC </w:t>
      </w:r>
      <w:r>
        <w:rPr>
          <w:rFonts w:ascii="Verdana" w:hAnsi="Verdana" w:cs="Verdana"/>
          <w:sz w:val="20"/>
          <w:sz-cs w:val="20"/>
          <w:spacing w:val="0"/>
        </w:rPr>
        <w:t xml:space="preserve">. La sentencia ha aplicado incorrectamente la doctrina </w:t>
      </w:r>
      <w:r>
        <w:rPr>
          <w:rFonts w:ascii="Verdana" w:hAnsi="Verdana" w:cs="Verdana"/>
          <w:sz w:val="20"/>
          <w:sz-cs w:val="20"/>
          <w:i/>
          <w:spacing w:val="0"/>
        </w:rPr>
        <w:t xml:space="preserve"> "ex re ipsa", </w:t>
      </w:r>
      <w:r>
        <w:rPr>
          <w:rFonts w:ascii="Verdana" w:hAnsi="Verdana" w:cs="Verdana"/>
          <w:sz w:val="20"/>
          <w:sz-cs w:val="20"/>
          <w:spacing w:val="0"/>
        </w:rPr>
        <w:t xml:space="preserve"> en contra de la doctrina jurisprudencial de la Sala Primera. La doctrina </w:t>
      </w:r>
      <w:r>
        <w:rPr>
          <w:rFonts w:ascii="Verdana" w:hAnsi="Verdana" w:cs="Verdana"/>
          <w:sz w:val="20"/>
          <w:sz-cs w:val="20"/>
          <w:i/>
          <w:spacing w:val="0"/>
        </w:rPr>
        <w:t xml:space="preserve"> "ex re ipsa" </w:t>
      </w:r>
      <w:r>
        <w:rPr>
          <w:rFonts w:ascii="Verdana" w:hAnsi="Verdana" w:cs="Verdana"/>
          <w:sz w:val="20"/>
          <w:sz-cs w:val="20"/>
          <w:spacing w:val="0"/>
        </w:rPr>
        <w:t xml:space="preserve"> solo puede ser aplicada en aquellos casos en que los daños se deduzcan necesaria y fatalmente de la conducta antijurídica, lo que no sucede con la conducta objeto de la Decisión».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representación de Daimler AG interpuso recurso extraordinario por infracción procesal y recurso de casación.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motivos del recurso extraordinario por infracción procesal fueron: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«Primero.- Con base en el </w:t>
      </w:r>
      <w:r>
        <w:rPr>
          <w:rFonts w:ascii="Verdana" w:hAnsi="Verdana" w:cs="Verdana"/>
          <w:sz w:val="20"/>
          <w:sz-cs w:val="20"/>
          <w:i/>
          <w:spacing w:val="0"/>
        </w:rPr>
        <w:t xml:space="preserve"> artículo 469.1.4º de la LEC </w:t>
      </w:r>
      <w:r>
        <w:rPr>
          <w:rFonts w:ascii="Verdana" w:hAnsi="Verdana" w:cs="Verdana"/>
          <w:sz w:val="20"/>
          <w:sz-cs w:val="20"/>
          <w:spacing w:val="0"/>
        </w:rPr>
        <w:t xml:space="preserve"> por vulneración, en el proceso civil, de derechos fundamentales reconocidos en el </w:t>
      </w:r>
      <w:r>
        <w:rPr>
          <w:rFonts w:ascii="Verdana" w:hAnsi="Verdana" w:cs="Verdana"/>
          <w:sz w:val="20"/>
          <w:sz-cs w:val="20"/>
          <w:i/>
          <w:spacing w:val="0"/>
        </w:rPr>
        <w:t xml:space="preserve"> artículo 24 de la CE </w:t>
      </w:r>
      <w:r>
        <w:rPr>
          <w:rFonts w:ascii="Verdana" w:hAnsi="Verdana" w:cs="Verdana"/>
          <w:sz w:val="20"/>
          <w:sz-cs w:val="20"/>
          <w:spacing w:val="0"/>
        </w:rPr>
        <w:t xml:space="preserve">: manifiesta valoración errónea por parte de la sentencia recurrida del informe pericial presentado por Daimler ( </w:t>
      </w:r>
      <w:r>
        <w:rPr>
          <w:rFonts w:ascii="Verdana" w:hAnsi="Verdana" w:cs="Verdana"/>
          <w:sz w:val="20"/>
          <w:sz-cs w:val="20"/>
          <w:i/>
          <w:spacing w:val="0"/>
        </w:rPr>
        <w:t xml:space="preserve"> artículo 348 LEC </w:t>
      </w:r>
      <w:r>
        <w:rPr>
          <w:rFonts w:ascii="Verdana" w:hAnsi="Verdana" w:cs="Verdana"/>
          <w:sz w:val="20"/>
          <w:sz-cs w:val="20"/>
          <w:spacing w:val="0"/>
        </w:rPr>
        <w:t xml:space="preserve"> ), al negarle todo valor probatorio porque rechaza la existencia del daño reclamado por el Sr. Hugo, infringiendo de esa forma el derecho fundamental de Daimler a un juicio equitativo consagrado en el </w:t>
      </w:r>
      <w:r>
        <w:rPr>
          <w:rFonts w:ascii="Verdana" w:hAnsi="Verdana" w:cs="Verdana"/>
          <w:sz w:val="20"/>
          <w:sz-cs w:val="20"/>
          <w:i/>
          <w:spacing w:val="0"/>
        </w:rPr>
        <w:t xml:space="preserve"> artículo 47.2 de la Carta de los Derechos Fundamentales de la Unión Europea </w:t>
      </w:r>
      <w:r>
        <w:rPr>
          <w:rFonts w:ascii="Verdana" w:hAnsi="Verdana" w:cs="Verdana"/>
          <w:sz w:val="20"/>
          <w:sz-cs w:val="20"/>
          <w:spacing w:val="0"/>
        </w:rPr>
        <w:t xml:space="preserve">. Indefensión originada a Daimler porque una correcta valoración del dictamen de esta parte habría conducido necesariamente a la desestimación de la demanda».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«Segundo.- Con base en el </w:t>
      </w:r>
      <w:r>
        <w:rPr>
          <w:rFonts w:ascii="Verdana" w:hAnsi="Verdana" w:cs="Verdana"/>
          <w:sz w:val="20"/>
          <w:sz-cs w:val="20"/>
          <w:i/>
          <w:spacing w:val="0"/>
        </w:rPr>
        <w:t xml:space="preserve"> artículo 469.1.4º de la LEC </w:t>
      </w:r>
      <w:r>
        <w:rPr>
          <w:rFonts w:ascii="Verdana" w:hAnsi="Verdana" w:cs="Verdana"/>
          <w:sz w:val="20"/>
          <w:sz-cs w:val="20"/>
          <w:spacing w:val="0"/>
        </w:rPr>
        <w:t xml:space="preserve"> por vulneración, en el proceso civil, de derechos fundamentales reconocidos en el </w:t>
      </w:r>
      <w:r>
        <w:rPr>
          <w:rFonts w:ascii="Verdana" w:hAnsi="Verdana" w:cs="Verdana"/>
          <w:sz w:val="20"/>
          <w:sz-cs w:val="20"/>
          <w:i/>
          <w:spacing w:val="0"/>
        </w:rPr>
        <w:t xml:space="preserve"> artículo 24 de la CE </w:t>
      </w:r>
      <w:r>
        <w:rPr>
          <w:rFonts w:ascii="Verdana" w:hAnsi="Verdana" w:cs="Verdana"/>
          <w:sz w:val="20"/>
          <w:sz-cs w:val="20"/>
          <w:spacing w:val="0"/>
        </w:rPr>
        <w:t xml:space="preserve">: manifiesta valoración errónea del informe pericial aportado por el Sr. Hugo por parte de la sentencia recurrida ( </w:t>
      </w:r>
      <w:r>
        <w:rPr>
          <w:rFonts w:ascii="Verdana" w:hAnsi="Verdana" w:cs="Verdana"/>
          <w:sz w:val="20"/>
          <w:sz-cs w:val="20"/>
          <w:i/>
          <w:spacing w:val="0"/>
        </w:rPr>
        <w:t xml:space="preserve"> artículo 348 de la LEC </w:t>
      </w:r>
      <w:r>
        <w:rPr>
          <w:rFonts w:ascii="Verdana" w:hAnsi="Verdana" w:cs="Verdana"/>
          <w:sz w:val="20"/>
          <w:sz-cs w:val="20"/>
          <w:spacing w:val="0"/>
        </w:rPr>
        <w:t xml:space="preserve"> ), al considerarlo válido para cuantificar el daño reclamado por la aquél, porque dicho dictamen no cumple el requisito exigido por la jurisprudencia del Tribunal Supremo de formular "una hipótesis razonable y técnicamente fundada sobre datos contrastables y no erróneos". Indefensión causada a Daimler porque una correcta valoración del dictamen habría llevado necesariamente a desestimar la demanda».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motivos del recurso de casación fueron: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«Primero.- Con base en el </w:t>
      </w:r>
      <w:r>
        <w:rPr>
          <w:rFonts w:ascii="Verdana" w:hAnsi="Verdana" w:cs="Verdana"/>
          <w:sz w:val="20"/>
          <w:sz-cs w:val="20"/>
          <w:i/>
          <w:spacing w:val="0"/>
        </w:rPr>
        <w:t xml:space="preserve"> artículo 477.1 de la LEC </w:t>
      </w:r>
      <w:r>
        <w:rPr>
          <w:rFonts w:ascii="Verdana" w:hAnsi="Verdana" w:cs="Verdana"/>
          <w:sz w:val="20"/>
          <w:sz-cs w:val="20"/>
          <w:spacing w:val="0"/>
        </w:rPr>
        <w:t xml:space="preserve">: infracción de la jurisprudencia del TJUE sobre delimitación de roles entre la Comisión Europea y el juez nacional, en la que incurre la sentencia cuando declara que la Decisión permite presumir que de la conducta se derivaron efectos sobre el mercado (daño) y la existencia de la relación causal entre la conducta y los precios de venta de los camiones, en contra del verdadero contenido de la Decisión. El presente motivo se interpone por razón de interés casacional en la modalidad de oposición a la jurisprudencia del TJUE ( </w:t>
      </w:r>
      <w:r>
        <w:rPr>
          <w:rFonts w:ascii="Verdana" w:hAnsi="Verdana" w:cs="Verdana"/>
          <w:sz w:val="20"/>
          <w:sz-cs w:val="20"/>
          <w:i/>
          <w:spacing w:val="0"/>
        </w:rPr>
        <w:t xml:space="preserve"> artículo 477.3 de la LEC </w:t>
      </w:r>
      <w:r>
        <w:rPr>
          <w:rFonts w:ascii="Verdana" w:hAnsi="Verdana" w:cs="Verdana"/>
          <w:sz w:val="20"/>
          <w:sz-cs w:val="20"/>
          <w:spacing w:val="0"/>
        </w:rPr>
        <w:t xml:space="preserve"> ) representada por las </w:t>
      </w:r>
      <w:r>
        <w:rPr>
          <w:rFonts w:ascii="Verdana" w:hAnsi="Verdana" w:cs="Verdana"/>
          <w:sz w:val="20"/>
          <w:sz-cs w:val="20"/>
          <w:i/>
          <w:spacing w:val="0"/>
        </w:rPr>
        <w:t xml:space="preserve"> sentencias del TJUE de 6 de noviembre de 2012 (caso C-199/11 </w:t>
      </w:r>
      <w:r>
        <w:rPr>
          <w:rFonts w:ascii="Verdana" w:hAnsi="Verdana" w:cs="Verdana"/>
          <w:sz w:val="20"/>
          <w:sz-cs w:val="20"/>
          <w:spacing w:val="0"/>
        </w:rPr>
        <w:t xml:space="preserve"> ) y </w:t>
      </w:r>
      <w:r>
        <w:rPr>
          <w:rFonts w:ascii="Verdana" w:hAnsi="Verdana" w:cs="Verdana"/>
          <w:sz w:val="20"/>
          <w:sz-cs w:val="20"/>
          <w:i/>
          <w:spacing w:val="0"/>
        </w:rPr>
        <w:t xml:space="preserve"> 12 de diciembre de 2019 (caso C-435/18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«Segundo.- Con base en el </w:t>
      </w:r>
      <w:r>
        <w:rPr>
          <w:rFonts w:ascii="Verdana" w:hAnsi="Verdana" w:cs="Verdana"/>
          <w:sz w:val="20"/>
          <w:sz-cs w:val="20"/>
          <w:i/>
          <w:spacing w:val="0"/>
        </w:rPr>
        <w:t xml:space="preserve"> artículo 477.1 de la LEC </w:t>
      </w:r>
      <w:r>
        <w:rPr>
          <w:rFonts w:ascii="Verdana" w:hAnsi="Verdana" w:cs="Verdana"/>
          <w:sz w:val="20"/>
          <w:sz-cs w:val="20"/>
          <w:spacing w:val="0"/>
        </w:rPr>
        <w:t xml:space="preserve">: infracción del </w:t>
      </w:r>
      <w:r>
        <w:rPr>
          <w:rFonts w:ascii="Verdana" w:hAnsi="Verdana" w:cs="Verdana"/>
          <w:sz w:val="20"/>
          <w:sz-cs w:val="20"/>
          <w:i/>
          <w:spacing w:val="0"/>
        </w:rPr>
        <w:t xml:space="preserve"> artículo 1902 del CC </w:t>
      </w:r>
      <w:r>
        <w:rPr>
          <w:rFonts w:ascii="Verdana" w:hAnsi="Verdana" w:cs="Verdana"/>
          <w:sz w:val="20"/>
          <w:sz-cs w:val="20"/>
          <w:spacing w:val="0"/>
        </w:rPr>
        <w:t xml:space="preserve"> por parte de la sentencia recurrida, que funda la presunción del supuesto daño sufrido por el Sr. Hugo en la jurisprudencia </w:t>
      </w:r>
      <w:r>
        <w:rPr>
          <w:rFonts w:ascii="Verdana" w:hAnsi="Verdana" w:cs="Verdana"/>
          <w:sz w:val="20"/>
          <w:sz-cs w:val="20"/>
          <w:i/>
          <w:spacing w:val="0"/>
        </w:rPr>
        <w:t xml:space="preserve"> ex re ipsa, </w:t>
      </w:r>
      <w:r>
        <w:rPr>
          <w:rFonts w:ascii="Verdana" w:hAnsi="Verdana" w:cs="Verdana"/>
          <w:sz w:val="20"/>
          <w:sz-cs w:val="20"/>
          <w:spacing w:val="0"/>
        </w:rPr>
        <w:t xml:space="preserve"> la cual no resulta de aplicación al caso de los camiones. Este motivo se interpone por interés casacional en la modalidad de oposición a la jurisprudencia del TS ( </w:t>
      </w:r>
      <w:r>
        <w:rPr>
          <w:rFonts w:ascii="Verdana" w:hAnsi="Verdana" w:cs="Verdana"/>
          <w:sz w:val="20"/>
          <w:sz-cs w:val="20"/>
          <w:i/>
          <w:spacing w:val="0"/>
        </w:rPr>
        <w:t xml:space="preserve"> artículo 477.3 de la LEC </w:t>
      </w:r>
      <w:r>
        <w:rPr>
          <w:rFonts w:ascii="Verdana" w:hAnsi="Verdana" w:cs="Verdana"/>
          <w:sz w:val="20"/>
          <w:sz-cs w:val="20"/>
          <w:spacing w:val="0"/>
        </w:rPr>
        <w:t xml:space="preserve"> ), representada por la </w:t>
      </w:r>
      <w:r>
        <w:rPr>
          <w:rFonts w:ascii="Verdana" w:hAnsi="Verdana" w:cs="Verdana"/>
          <w:sz w:val="20"/>
          <w:sz-cs w:val="20"/>
          <w:i/>
          <w:spacing w:val="0"/>
        </w:rPr>
        <w:t xml:space="preserve"> STS número 263/2017, de 3 de mayo </w:t>
      </w:r>
      <w:r>
        <w:rPr>
          <w:rFonts w:ascii="Verdana" w:hAnsi="Verdana" w:cs="Verdana"/>
          <w:sz w:val="20"/>
          <w:sz-cs w:val="20"/>
          <w:spacing w:val="0"/>
        </w:rPr>
        <w:t xml:space="preserve"> (RJ 2017271) y la </w:t>
      </w:r>
      <w:r>
        <w:rPr>
          <w:rFonts w:ascii="Verdana" w:hAnsi="Verdana" w:cs="Verdana"/>
          <w:sz w:val="20"/>
          <w:sz-cs w:val="20"/>
          <w:i/>
          <w:spacing w:val="0"/>
        </w:rPr>
        <w:t xml:space="preserve"> STS número 516/2019, de 3 de octubre </w:t>
      </w:r>
      <w:r>
        <w:rPr>
          <w:rFonts w:ascii="Verdana" w:hAnsi="Verdana" w:cs="Verdana"/>
          <w:sz w:val="20"/>
          <w:sz-cs w:val="20"/>
          <w:spacing w:val="0"/>
        </w:rPr>
        <w:t xml:space="preserve"> (RJ 2019925)».</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Las actuaciones fueron remitidas por la Audiencia Provincial a esta Sala, y las partes fueron emplazadas para comparecer ante ella. Una vez recibidas las actuaciones en esta Sala y personadas ante la misma las partes por medio de los procuradores mencionados en el encabezamiento, se dictó auto de 5 de junio de 2024, que admitió los recursos y acordó dar traslado a la parte recurrida personada para que formalizara la oposición.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La parte recurrida formalizó su oposición a los recursos, mediante la presentación de sendos escritos.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5.- </w:t>
      </w:r>
      <w:r>
        <w:rPr>
          <w:rFonts w:ascii="Verdana" w:hAnsi="Verdana" w:cs="Verdana"/>
          <w:sz w:val="20"/>
          <w:sz-cs w:val="20"/>
          <w:spacing w:val="0"/>
        </w:rPr>
        <w:t xml:space="preserve"> Tras las incidencias que obran en autos, al no solicitarse por todas las partes la celebración de vista pública, se señaló para votación y fallo el día 29 de abril de 2026 en que ha tenido lugar.</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FUNDAMENTOS DE DERECHO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Resumen de </w:t>
      </w:r>
      <w:r>
        <w:rPr>
          <w:rFonts w:ascii="Verdana" w:hAnsi="Verdana" w:cs="Verdana"/>
          <w:sz w:val="20"/>
          <w:sz-cs w:val="20"/>
          <w:i/>
          <w:spacing w:val="0"/>
        </w:rPr>
        <w:t xml:space="preserve"> antecedentes del caso.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D. Hugo adquirió: el 25 de septiembre de 1.998, el vehículo de la marca Man, matrícula NUM000, por un precio de 83.660,89 euros; el 18 de diciembre de 2001, el vehículo de la marca Man, matrícula NUM001, por un precio de 85.403,82 euros; y, el 1 de junio de 2006, el vehículo de la marca Mercedes, matrícula NUM002, por un precio de 87.000 euros.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El 19 de julio de 2016, la Comisión Europea dictó una Decisión [CASE AT.39824-Trucks] (en lo sucesivo, la Decisión) en la que recogía el reconocimiento de hechos constitutivos de prácticas colusorias infractoras del </w:t>
      </w:r>
      <w:r>
        <w:rPr>
          <w:rFonts w:ascii="Verdana" w:hAnsi="Verdana" w:cs="Verdana"/>
          <w:sz w:val="20"/>
          <w:sz-cs w:val="20"/>
          <w:i/>
          <w:spacing w:val="0"/>
        </w:rPr>
        <w:t xml:space="preserve"> art. 101 del Tratado de Funcionamiento de la Unión Europea (TFUE </w:t>
      </w:r>
      <w:r>
        <w:rPr>
          <w:rFonts w:ascii="Verdana" w:hAnsi="Verdana" w:cs="Verdana"/>
          <w:sz w:val="20"/>
          <w:sz-cs w:val="20"/>
          <w:spacing w:val="0"/>
        </w:rPr>
        <w:t xml:space="preserve"> ) y 53 del Acuerdo EEE por parte de quince sociedades integradas en cinco empresas fabricantes de camiones (MAN, DAF, IVECO, DAIMLER MERCEDES y VOLVO/RENAULT). De acuerdo con la parte dispositiva de la Decisión, las conductas infractoras, desarrolladas entre el 17 de enero de 1997 y el 18 de enero de 2011, consistieron en la colusión en la fijación de precios e incrementos de precios brutos en el Espacio Económico Europeo (EEE) de camiones medianos y pesados y en el calendario y la repercusión de los costes de introducción de tecnologías de control de emisiones para camiones medios y pesados conforme a las normas EURO 3 a 6. La Decisión impuso a esas empresas cuantiosas multas por la comisión de tales infracciones, les ordenó poner término a las referidas infracciones si no lo hubieran hecho ya y abstenerse de repetir cualquier acto o conducta como las descritas o que tuviera similar objeto o efecto. Un resumen de esta decisión fue publicado en el Diario Oficial de la Unión Europea de 6 de abril de 2017.</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D. Hugo presentó una demanda contra Man SE (en la actualidad, Traton SE) y Daimler AG en la que ejercitó una acción de responsabilidad extracontractual del </w:t>
      </w:r>
      <w:r>
        <w:rPr>
          <w:rFonts w:ascii="Verdana" w:hAnsi="Verdana" w:cs="Verdana"/>
          <w:sz w:val="20"/>
          <w:sz-cs w:val="20"/>
          <w:i/>
          <w:spacing w:val="0"/>
        </w:rPr>
        <w:t xml:space="preserve"> artículo 1.902 CC </w:t>
      </w:r>
      <w:r>
        <w:rPr>
          <w:rFonts w:ascii="Verdana" w:hAnsi="Verdana" w:cs="Verdana"/>
          <w:sz w:val="20"/>
          <w:sz-cs w:val="20"/>
          <w:spacing w:val="0"/>
        </w:rPr>
        <w:t xml:space="preserve">, en relación con el </w:t>
      </w:r>
      <w:r>
        <w:rPr>
          <w:rFonts w:ascii="Verdana" w:hAnsi="Verdana" w:cs="Verdana"/>
          <w:sz w:val="20"/>
          <w:sz-cs w:val="20"/>
          <w:i/>
          <w:spacing w:val="0"/>
        </w:rPr>
        <w:t xml:space="preserve"> artículo 101 TFUE </w:t>
      </w:r>
      <w:r>
        <w:rPr>
          <w:rFonts w:ascii="Verdana" w:hAnsi="Verdana" w:cs="Verdana"/>
          <w:sz w:val="20"/>
          <w:sz-cs w:val="20"/>
          <w:spacing w:val="0"/>
        </w:rPr>
        <w:t xml:space="preserve">, por realización de prácticas colusorias, con fundamento en la </w:t>
      </w:r>
      <w:r>
        <w:rPr>
          <w:rFonts w:ascii="Verdana" w:hAnsi="Verdana" w:cs="Verdana"/>
          <w:sz w:val="20"/>
          <w:sz-cs w:val="20"/>
          <w:i/>
          <w:spacing w:val="0"/>
        </w:rPr>
        <w:t xml:space="preserve"> Decisión de la Comisión Europea de 19 de julio de 2016 </w:t>
      </w:r>
      <w:r>
        <w:rPr>
          <w:rFonts w:ascii="Verdana" w:hAnsi="Verdana" w:cs="Verdana"/>
          <w:sz w:val="20"/>
          <w:sz-cs w:val="20"/>
          <w:spacing w:val="0"/>
        </w:rPr>
        <w:t xml:space="preserve">. Y solicitó que se declarase a las demandadas responsables de los daños y perjuicios producidos, condenándolas a abonar a la parte demandante la cantidad de 38.657,75 euros, más los intereses correspondientes.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El Juzgado de lo Mercantil al que correspondió el conocimiento de la demanda dictó una sentencia en la que, sucintamente, estimó parcialmente la demanda, declaró la responsabilidad solidaria de las demandadas y las condenó a abonar al demandante la cantidad de 11.037,26 euros (5% del precio de adquisición de los camiones objeto de litigio), más los intereses desde la fecha de adquisición, sin imposición de costas.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5.- </w:t>
      </w:r>
      <w:r>
        <w:rPr>
          <w:rFonts w:ascii="Verdana" w:hAnsi="Verdana" w:cs="Verdana"/>
          <w:sz w:val="20"/>
          <w:sz-cs w:val="20"/>
          <w:spacing w:val="0"/>
        </w:rPr>
        <w:t xml:space="preserve"> La sentencia fue apelada por todas las partes y la Audiencia Provincial dictó una sentencia en la que estimó el recurso de apelación interpuesto por la parte demandante y desestimó el formulado por las demandadas y revocó la sentencia de primera instancia en el sentido de estimar íntegramente la demanda y condenar a las demandadas a abonar 38.657,75 euros, confirmando el resto de pronunciamientos, con imposición de las costas de primera instancia a la parte demandada, sin condena de las causadas por la apelación de la actora y con imposición a las apelantes demandadas de las causadas por su recurso. En lo que ahora importa, considera que el informe pericial aportado por la parte demandante (el conocido como Valentín ) es un informe "válido para emitir una hipótesis razonable", aceptando el porcentaje de sobreprecio medio del 20,70% que se habría trasladado a los precios netos.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6.- </w:t>
      </w:r>
      <w:r>
        <w:rPr>
          <w:rFonts w:ascii="Verdana" w:hAnsi="Verdana" w:cs="Verdana"/>
          <w:sz w:val="20"/>
          <w:sz-cs w:val="20"/>
          <w:spacing w:val="0"/>
        </w:rPr>
        <w:t xml:space="preserve"> Traton SE y Daimler AG han interpuesto un recurso extraordinario por infracción procesal y un recurso de casación, habiendo sido admitidos todos los motivos de los mismos.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7.- </w:t>
      </w:r>
      <w:r>
        <w:rPr>
          <w:rFonts w:ascii="Verdana" w:hAnsi="Verdana" w:cs="Verdana"/>
          <w:sz w:val="20"/>
          <w:sz-cs w:val="20"/>
          <w:spacing w:val="0"/>
        </w:rPr>
        <w:t xml:space="preserve"> Se opone la parte recurrida a la admisión de los recursos con carácter previo. Sin embargo, no concurre causa de inadmisión de los recursos, puesto que presentan interés casacional por contradicción con nuestra jurisprudencia, se identifica la infracción legal cometida y se argumenta cómo se ha producido tal infracción, siendo la discrepancia fundamentalmente jurídica, y pudiendo ser resuelto el recurso sin modificar la base fáctica fijada en la instancia.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lo que se refiere al requisito formal de la extensión de los escritos de recurso, excediendo los límites fijados en el Acuerdo sobre criterios de admisión de los recursos de casación e infracción procesal del Pleno no jurisdiccional de esta Sala Primera de 27 de enero de 2017, tal óbice procesal tampoco puede ser estimado, siguiendo lo declarado en la </w:t>
      </w:r>
      <w:r>
        <w:rPr>
          <w:rFonts w:ascii="Verdana" w:hAnsi="Verdana" w:cs="Verdana"/>
          <w:sz w:val="20"/>
          <w:sz-cs w:val="20"/>
          <w:i/>
          <w:spacing w:val="0"/>
        </w:rPr>
        <w:t xml:space="preserve"> sentencia de pleno 1/2021 </w:t>
      </w:r>
      <w:r>
        <w:rPr>
          <w:rFonts w:ascii="Verdana" w:hAnsi="Verdana" w:cs="Verdana"/>
          <w:sz w:val="20"/>
          <w:sz-cs w:val="20"/>
          <w:spacing w:val="0"/>
        </w:rPr>
        <w:t xml:space="preserve">, a cuyo contenido nos remitimos. En el presente caso, la interposición conjunta de dos recursos (de infracción procesal y de casación), unido a la complejidad fáctica del tema de fondo planteado, que ha supuesto que la sentencia de primera instancia conste de 47 folios, privan de fundamento a la pretensión de inadmisión del recurso. Además, la extensión del recurso no dificulta la comprensibilidad de los argumentos, ni genera oscuridad, ni merma del derecho a defenderse. Finalmente, cabe añadir que, a la fecha de interposición del recurso, no existía una cobertura legal de la inadmisión. No ocurre lo mismo en el régimen legal actual ( </w:t>
      </w:r>
      <w:r>
        <w:rPr>
          <w:rFonts w:ascii="Verdana" w:hAnsi="Verdana" w:cs="Verdana"/>
          <w:sz w:val="20"/>
          <w:sz-cs w:val="20"/>
          <w:i/>
          <w:spacing w:val="0"/>
        </w:rPr>
        <w:t xml:space="preserve"> artículo 481.8 LEC </w:t>
      </w:r>
      <w:r>
        <w:rPr>
          <w:rFonts w:ascii="Verdana" w:hAnsi="Verdana" w:cs="Verdana"/>
          <w:sz w:val="20"/>
          <w:sz-cs w:val="20"/>
          <w:spacing w:val="0"/>
        </w:rPr>
        <w:t xml:space="preserve"> y Acuerdo de 8 de septiembre de 2023), al amparo del cual ya se han dictado, entre otros, autos de 28 de febrero de 2024 (recurso de queja 229/2023) y 12 de marzo de 2025 (recurso de queja 11/2025) o </w:t>
      </w:r>
      <w:r>
        <w:rPr>
          <w:rFonts w:ascii="Verdana" w:hAnsi="Verdana" w:cs="Verdana"/>
          <w:sz w:val="20"/>
          <w:sz-cs w:val="20"/>
          <w:i/>
          <w:spacing w:val="0"/>
        </w:rPr>
        <w:t xml:space="preserve"> STS 661/2025, de 30 de abril </w:t>
      </w:r>
      <w:r>
        <w:rPr>
          <w:rFonts w:ascii="Verdana" w:hAnsi="Verdana" w:cs="Verdana"/>
          <w:sz w:val="20"/>
          <w:sz-cs w:val="20"/>
          <w:spacing w:val="0"/>
        </w:rPr>
        <w:t xml:space="preserve">, siguiendo una aplicación estricta en cuanto a la limitación de la extensión del escrito de interposición del recurso.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Recurso extraordinario por infracción procesal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w:t>
      </w:r>
      <w:r>
        <w:rPr>
          <w:rFonts w:ascii="Verdana" w:hAnsi="Verdana" w:cs="Verdana"/>
          <w:sz w:val="20"/>
          <w:sz-cs w:val="20"/>
          <w:i/>
          <w:spacing w:val="0"/>
        </w:rPr>
        <w:t xml:space="preserve"> Motivo primero del recurso interpuesto por Traton SE y segundo del interpuesto por Daimler AG: valoración ilógica e irrazonable de la prueba pericial de la demandante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w:t>
      </w:r>
      <w:r>
        <w:rPr>
          <w:rFonts w:ascii="Verdana" w:hAnsi="Verdana" w:cs="Verdana"/>
          <w:sz w:val="20"/>
          <w:sz-cs w:val="20"/>
          <w:i/>
          <w:spacing w:val="0"/>
        </w:rPr>
        <w:t xml:space="preserve"> Planteamiento.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1.1.- </w:t>
      </w:r>
      <w:r>
        <w:rPr>
          <w:rFonts w:ascii="Verdana" w:hAnsi="Verdana" w:cs="Verdana"/>
          <w:sz w:val="20"/>
          <w:sz-cs w:val="20"/>
          <w:spacing w:val="0"/>
        </w:rPr>
        <w:t xml:space="preserve"> En el encabezamiento del motivo primero del recurso extraordinario por infracción procesal, Traton denuncia la «vulneración del derecho a la tutela judicial efectiva del </w:t>
      </w:r>
      <w:r>
        <w:rPr>
          <w:rFonts w:ascii="Verdana" w:hAnsi="Verdana" w:cs="Verdana"/>
          <w:sz w:val="20"/>
          <w:sz-cs w:val="20"/>
          <w:i/>
          <w:spacing w:val="0"/>
        </w:rPr>
        <w:t xml:space="preserve"> artículo 24.1 CE </w:t>
      </w:r>
      <w:r>
        <w:rPr>
          <w:rFonts w:ascii="Verdana" w:hAnsi="Verdana" w:cs="Verdana"/>
          <w:sz w:val="20"/>
          <w:sz-cs w:val="20"/>
          <w:spacing w:val="0"/>
        </w:rPr>
        <w:t xml:space="preserve">. La Sentencia ha valorado de forma ilógica e irrazonable del Informe Pericial de la parte actora. La sentencia ha concluido que el Informe Pericial de la parte actora es una prueba suficiente para demostrar la existencia y cuantía exacta del supuesto perjuicio reclamado en la demanda, cuando se trata de un Informe manifiestamente defectuoso, que no ha analizado en modo alguno el mercado de camiones ni la conducta anticompetitiva objeto de la Decisión».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Al desarrollar el motivo, la parte recurrente argumenta, resumidamente, que la Audiencia Provincial ha efectuado una valoración ilógica e irrazonable del informe pericial de la parte actora, aceptando íntegramente sus conclusiones porque el mismo ha realizado una cuantificación del supuesto perjuicio, omitiendo el análisis de los datos y procedimientos aplicados en dicho informe y a pesar de que dicho Informe no ha analizado en modo alguno la conducta anticompetitiva objeto de la Decisión.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1.2.- </w:t>
      </w:r>
      <w:r>
        <w:rPr>
          <w:rFonts w:ascii="Verdana" w:hAnsi="Verdana" w:cs="Verdana"/>
          <w:sz w:val="20"/>
          <w:sz-cs w:val="20"/>
          <w:spacing w:val="0"/>
        </w:rPr>
        <w:t xml:space="preserve"> En el encabezamiento del motivo segundo de su recurso extraordinario por infracción procesal, Daimler denuncia la «vulneración, en el proceso civil, de derechos fundamentales reconocidos en el </w:t>
      </w:r>
      <w:r>
        <w:rPr>
          <w:rFonts w:ascii="Verdana" w:hAnsi="Verdana" w:cs="Verdana"/>
          <w:sz w:val="20"/>
          <w:sz-cs w:val="20"/>
          <w:i/>
          <w:spacing w:val="0"/>
        </w:rPr>
        <w:t xml:space="preserve"> artículo 24 de la CE </w:t>
      </w:r>
      <w:r>
        <w:rPr>
          <w:rFonts w:ascii="Verdana" w:hAnsi="Verdana" w:cs="Verdana"/>
          <w:sz w:val="20"/>
          <w:sz-cs w:val="20"/>
          <w:spacing w:val="0"/>
        </w:rPr>
        <w:t xml:space="preserve">: manifiesta valoración errónea del informe pericial aportado por el Sr. Hugo por parte de la sentencia recurrida ( </w:t>
      </w:r>
      <w:r>
        <w:rPr>
          <w:rFonts w:ascii="Verdana" w:hAnsi="Verdana" w:cs="Verdana"/>
          <w:sz w:val="20"/>
          <w:sz-cs w:val="20"/>
          <w:i/>
          <w:spacing w:val="0"/>
        </w:rPr>
        <w:t xml:space="preserve"> artículo 348 de la LEC </w:t>
      </w:r>
      <w:r>
        <w:rPr>
          <w:rFonts w:ascii="Verdana" w:hAnsi="Verdana" w:cs="Verdana"/>
          <w:sz w:val="20"/>
          <w:sz-cs w:val="20"/>
          <w:spacing w:val="0"/>
        </w:rPr>
        <w:t xml:space="preserve"> ), al considerarlo válido para cuantificar el daño reclamado por la aquél, porque dicho dictamen no cumple el requisito exigido por la jurisprudencia del Tribunal Supremo de formular "una hipótesis razonable y técnicamente fundada sobre datos contrastables y no erróneos". Indefensión causada a Daimler porque una correcta valoración del dictamen habría llevado necesariamente a desestimar la demanda».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desarrollo del motivo la recurrente alega, en síntesis, que la valoración de la prueba pericial de la parte demandante realizada en las instancias es ilógica y manifiestamente errónea.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1.3.- </w:t>
      </w:r>
      <w:r>
        <w:rPr>
          <w:rFonts w:ascii="Verdana" w:hAnsi="Verdana" w:cs="Verdana"/>
          <w:sz w:val="20"/>
          <w:sz-cs w:val="20"/>
          <w:spacing w:val="0"/>
        </w:rPr>
        <w:t xml:space="preserve"> En atención a la evidente vinculación entre los motivos enunciados, procedemos a su análisis conjunto.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b/>
          <w:i/>
          <w:spacing w:val="0"/>
        </w:rPr>
        <w:t xml:space="preserve"> </w:t>
      </w:r>
      <w:r>
        <w:rPr>
          <w:rFonts w:ascii="Verdana" w:hAnsi="Verdana" w:cs="Verdana"/>
          <w:sz w:val="20"/>
          <w:sz-cs w:val="20"/>
          <w:b/>
          <w:spacing w:val="0"/>
        </w:rPr>
        <w:t xml:space="preserve">  </w:t>
      </w:r>
      <w:r>
        <w:rPr>
          <w:rFonts w:ascii="Verdana" w:hAnsi="Verdana" w:cs="Verdana"/>
          <w:sz w:val="20"/>
          <w:sz-cs w:val="20"/>
          <w:spacing w:val="0"/>
        </w:rPr>
        <w:t xml:space="preserve"> Resolución del tribunal. Procede estimar los motivos por las razones que exponemos a continuación y que coinciden con lo argumentado en las </w:t>
      </w:r>
      <w:r>
        <w:rPr>
          <w:rFonts w:ascii="Verdana" w:hAnsi="Verdana" w:cs="Verdana"/>
          <w:sz w:val="20"/>
          <w:sz-cs w:val="20"/>
          <w:i/>
          <w:spacing w:val="0"/>
        </w:rPr>
        <w:t xml:space="preserve"> sentencias de esta sala 370/2024 </w:t>
      </w:r>
      <w:r>
        <w:rPr>
          <w:rFonts w:ascii="Verdana" w:hAnsi="Verdana" w:cs="Verdana"/>
          <w:sz w:val="20"/>
          <w:sz-cs w:val="20"/>
          <w:spacing w:val="0"/>
        </w:rPr>
        <w:t xml:space="preserve">, </w:t>
      </w:r>
      <w:r>
        <w:rPr>
          <w:rFonts w:ascii="Verdana" w:hAnsi="Verdana" w:cs="Verdana"/>
          <w:sz w:val="20"/>
          <w:sz-cs w:val="20"/>
          <w:i/>
          <w:spacing w:val="0"/>
        </w:rPr>
        <w:t xml:space="preserve"> 372/2024 </w:t>
      </w:r>
      <w:r>
        <w:rPr>
          <w:rFonts w:ascii="Verdana" w:hAnsi="Verdana" w:cs="Verdana"/>
          <w:sz w:val="20"/>
          <w:sz-cs w:val="20"/>
          <w:spacing w:val="0"/>
        </w:rPr>
        <w:t xml:space="preserve">, </w:t>
      </w:r>
      <w:r>
        <w:rPr>
          <w:rFonts w:ascii="Verdana" w:hAnsi="Verdana" w:cs="Verdana"/>
          <w:sz w:val="20"/>
          <w:sz-cs w:val="20"/>
          <w:i/>
          <w:spacing w:val="0"/>
        </w:rPr>
        <w:t xml:space="preserve"> 373/2024 </w:t>
      </w:r>
      <w:r>
        <w:rPr>
          <w:rFonts w:ascii="Verdana" w:hAnsi="Verdana" w:cs="Verdana"/>
          <w:sz w:val="20"/>
          <w:sz-cs w:val="20"/>
          <w:spacing w:val="0"/>
        </w:rPr>
        <w:t xml:space="preserve">; </w:t>
      </w:r>
      <w:r>
        <w:rPr>
          <w:rFonts w:ascii="Verdana" w:hAnsi="Verdana" w:cs="Verdana"/>
          <w:sz w:val="20"/>
          <w:sz-cs w:val="20"/>
          <w:i/>
          <w:spacing w:val="0"/>
        </w:rPr>
        <w:t xml:space="preserve"> 374/2024 </w:t>
      </w:r>
      <w:r>
        <w:rPr>
          <w:rFonts w:ascii="Verdana" w:hAnsi="Verdana" w:cs="Verdana"/>
          <w:sz w:val="20"/>
          <w:sz-cs w:val="20"/>
          <w:spacing w:val="0"/>
        </w:rPr>
        <w:t xml:space="preserve">. 375/2024, </w:t>
      </w:r>
      <w:r>
        <w:rPr>
          <w:rFonts w:ascii="Verdana" w:hAnsi="Verdana" w:cs="Verdana"/>
          <w:sz w:val="20"/>
          <w:sz-cs w:val="20"/>
          <w:i/>
          <w:spacing w:val="0"/>
        </w:rPr>
        <w:t xml:space="preserve"> 376/2024 </w:t>
      </w:r>
      <w:r>
        <w:rPr>
          <w:rFonts w:ascii="Verdana" w:hAnsi="Verdana" w:cs="Verdana"/>
          <w:sz w:val="20"/>
          <w:sz-cs w:val="20"/>
          <w:spacing w:val="0"/>
        </w:rPr>
        <w:t xml:space="preserve"> y </w:t>
      </w:r>
      <w:r>
        <w:rPr>
          <w:rFonts w:ascii="Verdana" w:hAnsi="Verdana" w:cs="Verdana"/>
          <w:sz w:val="20"/>
          <w:sz-cs w:val="20"/>
          <w:i/>
          <w:spacing w:val="0"/>
        </w:rPr>
        <w:t xml:space="preserve"> 377/2024, todas de 14 de marzo </w:t>
      </w:r>
      <w:r>
        <w:rPr>
          <w:rFonts w:ascii="Verdana" w:hAnsi="Verdana" w:cs="Verdana"/>
          <w:sz w:val="20"/>
          <w:sz-cs w:val="20"/>
          <w:spacing w:val="0"/>
        </w:rPr>
        <w:t xml:space="preserve">, si bien con las precisiones que se hacen porque en el caso de autos es un informe distinto el aportado por la parte demandante y que ha sido aceptado por la sentencia recurrida (el informe elaborado por el perito señor Valentín ). Sí se refieren a este informe alguna de las sentencias dictadas por la sala en el mes de junio de 2023, así la </w:t>
      </w:r>
      <w:r>
        <w:rPr>
          <w:rFonts w:ascii="Verdana" w:hAnsi="Verdana" w:cs="Verdana"/>
          <w:sz w:val="20"/>
          <w:sz-cs w:val="20"/>
          <w:i/>
          <w:spacing w:val="0"/>
        </w:rPr>
        <w:t xml:space="preserve"> STS 925/2023, de 12 de junio </w:t>
      </w:r>
      <w:r>
        <w:rPr>
          <w:rFonts w:ascii="Verdana" w:hAnsi="Verdana" w:cs="Verdana"/>
          <w:sz w:val="20"/>
          <w:sz-cs w:val="20"/>
          <w:spacing w:val="0"/>
        </w:rPr>
        <w:t xml:space="preserve">, o, la más reciente, </w:t>
      </w:r>
      <w:r>
        <w:rPr>
          <w:rFonts w:ascii="Verdana" w:hAnsi="Verdana" w:cs="Verdana"/>
          <w:sz w:val="20"/>
          <w:sz-cs w:val="20"/>
          <w:i/>
          <w:spacing w:val="0"/>
        </w:rPr>
        <w:t xml:space="preserve"> STS 1380/2024, de 23 de octubre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Aunque como regla general, por las limitaciones de formulación y cognición propias de los recursos extraordinarios, este tribunal no entra a revisar, caso por caso, la valoración que el tribunal de apelación ha realizado de los informes periciales aportados por las partes, en el presente asunto, inmerso en un fenómeno más amplio, el de la litigación en masa, que obliga a la reconsideración de las soluciones adoptadas habitualmente en otro contexto de litigación individual, concurren una serie de circunstancias que nos llevan, en aras del principio de igualdad de trato de esa multitud de litigantes ( </w:t>
      </w:r>
      <w:r>
        <w:rPr>
          <w:rFonts w:ascii="Verdana" w:hAnsi="Verdana" w:cs="Verdana"/>
          <w:sz w:val="20"/>
          <w:sz-cs w:val="20"/>
          <w:i/>
          <w:spacing w:val="0"/>
        </w:rPr>
        <w:t xml:space="preserve"> art. 14 de la Constitución </w:t>
      </w:r>
      <w:r>
        <w:rPr>
          <w:rFonts w:ascii="Verdana" w:hAnsi="Verdana" w:cs="Verdana"/>
          <w:sz w:val="20"/>
          <w:sz-cs w:val="20"/>
          <w:spacing w:val="0"/>
        </w:rPr>
        <w:t xml:space="preserve"> ), a entrar a realizar una mínima valoración sobre la aptitud del informe presentado por la parte demandante para la acreditación del sobreprecio.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 una realidad insoslayable la existencia de muchos procedimientos en los que se ejercitan acciones de daños por el sobrecoste en la compra de vehículos afectados por el «cártel de los camiones», en los que para el cálculo del sobreprecio se ha empleado el mismo informe aportado en el presente pleito por la parte demandante (elaborado por el señor Valentín ), sin perjuicio de ligeras adaptaciones. En todos estos casos han aflorado objeciones similares, si no idénticas, que, siendo predicables de todos los informes aportados, han sido valoradas de distinta forma por los tribunales de instancia: en unos casos, se han admitido las objeciones planteadas sobre este informe y se ha considerado que el mismo no representaba un esfuerzo probatorio suficiente, lo que ha determinado la desestimación de la demanda; en otros, se han admitido esas objeciones reconociendo un esfuerzo probatorio, lo que ha provocado que se haya acudido a la estimación judicial; y, en los menos, las objeciones han sido rechazadas y por lo tanto se han aceptado íntegramente las conclusiones del informe.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este contexto, siendo como decíamos muy similares las objeciones planteadas en todos esos pleitos, este tribunal de casación, dentro de sus funciones unificadoras de la interpretación y aplicación judicial del ordenamiento jurídico ( </w:t>
      </w:r>
      <w:r>
        <w:rPr>
          <w:rFonts w:ascii="Verdana" w:hAnsi="Verdana" w:cs="Verdana"/>
          <w:sz w:val="20"/>
          <w:sz-cs w:val="20"/>
          <w:i/>
          <w:spacing w:val="0"/>
        </w:rPr>
        <w:t xml:space="preserve"> arts. 123.1 de la Constitución </w:t>
      </w:r>
      <w:r>
        <w:rPr>
          <w:rFonts w:ascii="Verdana" w:hAnsi="Verdana" w:cs="Verdana"/>
          <w:sz w:val="20"/>
          <w:sz-cs w:val="20"/>
          <w:spacing w:val="0"/>
        </w:rPr>
        <w:t xml:space="preserve">, </w:t>
      </w:r>
      <w:r>
        <w:rPr>
          <w:rFonts w:ascii="Verdana" w:hAnsi="Verdana" w:cs="Verdana"/>
          <w:sz w:val="20"/>
          <w:sz-cs w:val="20"/>
          <w:i/>
          <w:spacing w:val="0"/>
        </w:rPr>
        <w:t xml:space="preserve"> 53 </w:t>
      </w:r>
      <w:r>
        <w:rPr>
          <w:rFonts w:ascii="Verdana" w:hAnsi="Verdana" w:cs="Verdana"/>
          <w:sz w:val="20"/>
          <w:sz-cs w:val="20"/>
          <w:spacing w:val="0"/>
        </w:rPr>
        <w:t xml:space="preserve"> y </w:t>
      </w:r>
      <w:r>
        <w:rPr>
          <w:rFonts w:ascii="Verdana" w:hAnsi="Verdana" w:cs="Verdana"/>
          <w:sz w:val="20"/>
          <w:sz-cs w:val="20"/>
          <w:i/>
          <w:spacing w:val="0"/>
        </w:rPr>
        <w:t xml:space="preserve"> 56 de la Ley Orgánica del Poder Judicial </w:t>
      </w:r>
      <w:r>
        <w:rPr>
          <w:rFonts w:ascii="Verdana" w:hAnsi="Verdana" w:cs="Verdana"/>
          <w:sz w:val="20"/>
          <w:sz-cs w:val="20"/>
          <w:spacing w:val="0"/>
        </w:rPr>
        <w:t xml:space="preserve"> y </w:t>
      </w:r>
      <w:r>
        <w:rPr>
          <w:rFonts w:ascii="Verdana" w:hAnsi="Verdana" w:cs="Verdana"/>
          <w:sz w:val="20"/>
          <w:sz-cs w:val="20"/>
          <w:i/>
          <w:spacing w:val="0"/>
        </w:rPr>
        <w:t xml:space="preserve"> 1.6 del Código Civil </w:t>
      </w:r>
      <w:r>
        <w:rPr>
          <w:rFonts w:ascii="Verdana" w:hAnsi="Verdana" w:cs="Verdana"/>
          <w:sz w:val="20"/>
          <w:sz-cs w:val="20"/>
          <w:spacing w:val="0"/>
        </w:rPr>
        <w:t xml:space="preserve"> ), no puede obviar la relevancia de esa disparidad de trato, que no viene dada por la singularidad de lo juzgado en cada caso, sino por la disparidad de criterio de los tribunales de instancia sobre la misma realidad cuestionada.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Por estas razones consideramos oportuno, al hilo de este motivo, que vuelve a reiterar estas objeciones al impugnar la valoración de la prueba practicada por la Audiencia, entrar a valorar la concreta idoneidad del informe pericial de la parte demandante y el carácter lógico (o no) de la valoración probatoria realizada en la instancia. Este informe trata de ofrecer una hipótesis de cuantificación del daño ajustada a los casos del denominado cártel de los camiones. Sin embargo, presenta serias objeciones, puestas de manifiesto de manera muy generalizada en este y en otros procedimientos similares, que impiden asumir sus conclusiones.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Estamos ante un informe muy minucioso en el estudio de los efectos económicos y la naturaleza de los cárteles, en el examen del mercado de los camiones y, también, en el análisis de los diversos métodos de cálculo de sus posibles efectos. Sin embargo, en sus conclusiones, no se ajusta a ninguno de los criterios recomendados en la Guía Práctica y tampoco ofrece una ecuación econométrica válida, sino que, descartando esos criterios con razones que tampoco resultan convincentes, se limita a ofrecer un promedio derivado de estudios realizados sobre cárteles en multitud de mercados distintos y ajenos al que es objeto de controversia. El informe utiliza un porcentaje extraído del trabajo y en el que se analizan las estimaciones de los sobrecostes producidos por 191 cárteles en Europa. Con base en ello, se limita a extraer un sobrecoste medio histórico que fija en ese 20,70%, que traslada al precio pagado por la parte demandante para fijar la cantidad reclamada. Esta indemnización que resulta, finalmente, de un estudio estadístico que no guarda relación con la actuación del cártel que nos ocupa no es admisible. En su caso, tales datos de promedios de sobreprecios pueden servir como un auxilio para el ejercicio de las facultades estimativas del tribunal, pero no para fijar la cuantificación del daño causado en el caso concreto. En definitiva, no se puede admitir una indemnización que deriva de un promedio derivado de estudios realizados en cárteles relativos a multitud de mercados, desconectados del cártel de camiones que nos ocupa.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estas razones puede considerarse ilógica la valoración de la prueba pericial realizada por la Audiencia Provincial y, consecuentemente, el motivo debe estimarse.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Lo anterior no impide que, en atención a la enorme dificultad de cuantificar el sobrecoste en estos supuestos del cártel de los camiones, se haya considerado que un informe de estas características satisfacía la exigencia de que el demandante hubiera realizado un mínimo esfuerzo probatorio que permitiera acudir a la estimación judicial, como se razonará más adelante.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w:t>
      </w:r>
      <w:r>
        <w:rPr>
          <w:rFonts w:ascii="Verdana" w:hAnsi="Verdana" w:cs="Verdana"/>
          <w:sz w:val="20"/>
          <w:sz-cs w:val="20"/>
          <w:i/>
          <w:spacing w:val="0"/>
        </w:rPr>
        <w:t xml:space="preserve"> Consecuencias de la estimación del recurso extraordinario por infracción procesal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estimación de los motivos de infracción procesal que acabamos de examinar conlleva que, sin necesidad de entrar en el examen de los restantes, anulemos la sentencia recurrida y, de conformidad con la </w:t>
      </w:r>
      <w:r>
        <w:rPr>
          <w:rFonts w:ascii="Verdana" w:hAnsi="Verdana" w:cs="Verdana"/>
          <w:sz w:val="20"/>
          <w:sz-cs w:val="20"/>
          <w:i/>
          <w:spacing w:val="0"/>
        </w:rPr>
        <w:t xml:space="preserve"> regla 7.ª del apartado Primero de la Disposición Final Decimosexta LEC </w:t>
      </w:r>
      <w:r>
        <w:rPr>
          <w:rFonts w:ascii="Verdana" w:hAnsi="Verdana" w:cs="Verdana"/>
          <w:sz w:val="20"/>
          <w:sz-cs w:val="20"/>
          <w:spacing w:val="0"/>
        </w:rPr>
        <w:t xml:space="preserve">, dictemos nueva sentencia, teniendo en cuenta lo alegado en los recursos de casación.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Sobre la existencia y la valoración del daño en el cártel de los camiones ya nos hemos pronunciado en las en las </w:t>
      </w:r>
      <w:r>
        <w:rPr>
          <w:rFonts w:ascii="Verdana" w:hAnsi="Verdana" w:cs="Verdana"/>
          <w:sz w:val="20"/>
          <w:sz-cs w:val="20"/>
          <w:i/>
          <w:spacing w:val="0"/>
        </w:rPr>
        <w:t xml:space="preserve"> sentencias 923/2023 </w:t>
      </w:r>
      <w:r>
        <w:rPr>
          <w:rFonts w:ascii="Verdana" w:hAnsi="Verdana" w:cs="Verdana"/>
          <w:sz w:val="20"/>
          <w:sz-cs w:val="20"/>
          <w:spacing w:val="0"/>
        </w:rPr>
        <w:t xml:space="preserve">, </w:t>
      </w:r>
      <w:r>
        <w:rPr>
          <w:rFonts w:ascii="Verdana" w:hAnsi="Verdana" w:cs="Verdana"/>
          <w:sz w:val="20"/>
          <w:sz-cs w:val="20"/>
          <w:i/>
          <w:spacing w:val="0"/>
        </w:rPr>
        <w:t xml:space="preserve"> 924/2023 </w:t>
      </w:r>
      <w:r>
        <w:rPr>
          <w:rFonts w:ascii="Verdana" w:hAnsi="Verdana" w:cs="Verdana"/>
          <w:sz w:val="20"/>
          <w:sz-cs w:val="20"/>
          <w:spacing w:val="0"/>
        </w:rPr>
        <w:t xml:space="preserve">, </w:t>
      </w:r>
      <w:r>
        <w:rPr>
          <w:rFonts w:ascii="Verdana" w:hAnsi="Verdana" w:cs="Verdana"/>
          <w:sz w:val="20"/>
          <w:sz-cs w:val="20"/>
          <w:i/>
          <w:spacing w:val="0"/>
        </w:rPr>
        <w:t xml:space="preserve"> 925/2023 </w:t>
      </w:r>
      <w:r>
        <w:rPr>
          <w:rFonts w:ascii="Verdana" w:hAnsi="Verdana" w:cs="Verdana"/>
          <w:sz w:val="20"/>
          <w:sz-cs w:val="20"/>
          <w:spacing w:val="0"/>
        </w:rPr>
        <w:t xml:space="preserve">, </w:t>
      </w:r>
      <w:r>
        <w:rPr>
          <w:rFonts w:ascii="Verdana" w:hAnsi="Verdana" w:cs="Verdana"/>
          <w:sz w:val="20"/>
          <w:sz-cs w:val="20"/>
          <w:i/>
          <w:spacing w:val="0"/>
        </w:rPr>
        <w:t xml:space="preserve"> 926/2023 </w:t>
      </w:r>
      <w:r>
        <w:rPr>
          <w:rFonts w:ascii="Verdana" w:hAnsi="Verdana" w:cs="Verdana"/>
          <w:sz w:val="20"/>
          <w:sz-cs w:val="20"/>
          <w:spacing w:val="0"/>
        </w:rPr>
        <w:t xml:space="preserve"> y </w:t>
      </w:r>
      <w:r>
        <w:rPr>
          <w:rFonts w:ascii="Verdana" w:hAnsi="Verdana" w:cs="Verdana"/>
          <w:sz w:val="20"/>
          <w:sz-cs w:val="20"/>
          <w:i/>
          <w:spacing w:val="0"/>
        </w:rPr>
        <w:t xml:space="preserve"> 927/2023, todas ellas de 12 de junio </w:t>
      </w:r>
      <w:r>
        <w:rPr>
          <w:rFonts w:ascii="Verdana" w:hAnsi="Verdana" w:cs="Verdana"/>
          <w:sz w:val="20"/>
          <w:sz-cs w:val="20"/>
          <w:spacing w:val="0"/>
        </w:rPr>
        <w:t xml:space="preserve">; </w:t>
      </w:r>
      <w:r>
        <w:rPr>
          <w:rFonts w:ascii="Verdana" w:hAnsi="Verdana" w:cs="Verdana"/>
          <w:sz w:val="20"/>
          <w:sz-cs w:val="20"/>
          <w:i/>
          <w:spacing w:val="0"/>
        </w:rPr>
        <w:t xml:space="preserve"> las sentencias 940/2023 </w:t>
      </w:r>
      <w:r>
        <w:rPr>
          <w:rFonts w:ascii="Verdana" w:hAnsi="Verdana" w:cs="Verdana"/>
          <w:sz w:val="20"/>
          <w:sz-cs w:val="20"/>
          <w:spacing w:val="0"/>
        </w:rPr>
        <w:t xml:space="preserve">, </w:t>
      </w:r>
      <w:r>
        <w:rPr>
          <w:rFonts w:ascii="Verdana" w:hAnsi="Verdana" w:cs="Verdana"/>
          <w:sz w:val="20"/>
          <w:sz-cs w:val="20"/>
          <w:i/>
          <w:spacing w:val="0"/>
        </w:rPr>
        <w:t xml:space="preserve"> 941/2023 </w:t>
      </w:r>
      <w:r>
        <w:rPr>
          <w:rFonts w:ascii="Verdana" w:hAnsi="Verdana" w:cs="Verdana"/>
          <w:sz w:val="20"/>
          <w:sz-cs w:val="20"/>
          <w:spacing w:val="0"/>
        </w:rPr>
        <w:t xml:space="preserve">, </w:t>
      </w:r>
      <w:r>
        <w:rPr>
          <w:rFonts w:ascii="Verdana" w:hAnsi="Verdana" w:cs="Verdana"/>
          <w:sz w:val="20"/>
          <w:sz-cs w:val="20"/>
          <w:i/>
          <w:spacing w:val="0"/>
        </w:rPr>
        <w:t xml:space="preserve"> 942/2023, todas ellas de 13 de junio </w:t>
      </w:r>
      <w:r>
        <w:rPr>
          <w:rFonts w:ascii="Verdana" w:hAnsi="Verdana" w:cs="Verdana"/>
          <w:sz w:val="20"/>
          <w:sz-cs w:val="20"/>
          <w:spacing w:val="0"/>
        </w:rPr>
        <w:t xml:space="preserve">; </w:t>
      </w:r>
      <w:r>
        <w:rPr>
          <w:rFonts w:ascii="Verdana" w:hAnsi="Verdana" w:cs="Verdana"/>
          <w:sz w:val="20"/>
          <w:sz-cs w:val="20"/>
          <w:i/>
          <w:spacing w:val="0"/>
        </w:rPr>
        <w:t xml:space="preserve"> las sentencias 946/2023 </w:t>
      </w:r>
      <w:r>
        <w:rPr>
          <w:rFonts w:ascii="Verdana" w:hAnsi="Verdana" w:cs="Verdana"/>
          <w:sz w:val="20"/>
          <w:sz-cs w:val="20"/>
          <w:spacing w:val="0"/>
        </w:rPr>
        <w:t xml:space="preserve">, </w:t>
      </w:r>
      <w:r>
        <w:rPr>
          <w:rFonts w:ascii="Verdana" w:hAnsi="Verdana" w:cs="Verdana"/>
          <w:sz w:val="20"/>
          <w:sz-cs w:val="20"/>
          <w:i/>
          <w:spacing w:val="0"/>
        </w:rPr>
        <w:t xml:space="preserve"> 947/2023 </w:t>
      </w:r>
      <w:r>
        <w:rPr>
          <w:rFonts w:ascii="Verdana" w:hAnsi="Verdana" w:cs="Verdana"/>
          <w:sz w:val="20"/>
          <w:sz-cs w:val="20"/>
          <w:spacing w:val="0"/>
        </w:rPr>
        <w:t xml:space="preserve">, </w:t>
      </w:r>
      <w:r>
        <w:rPr>
          <w:rFonts w:ascii="Verdana" w:hAnsi="Verdana" w:cs="Verdana"/>
          <w:sz w:val="20"/>
          <w:sz-cs w:val="20"/>
          <w:i/>
          <w:spacing w:val="0"/>
        </w:rPr>
        <w:t xml:space="preserve"> 948/2023 </w:t>
      </w:r>
      <w:r>
        <w:rPr>
          <w:rFonts w:ascii="Verdana" w:hAnsi="Verdana" w:cs="Verdana"/>
          <w:sz w:val="20"/>
          <w:sz-cs w:val="20"/>
          <w:spacing w:val="0"/>
        </w:rPr>
        <w:t xml:space="preserve">, </w:t>
      </w:r>
      <w:r>
        <w:rPr>
          <w:rFonts w:ascii="Verdana" w:hAnsi="Verdana" w:cs="Verdana"/>
          <w:sz w:val="20"/>
          <w:sz-cs w:val="20"/>
          <w:i/>
          <w:spacing w:val="0"/>
        </w:rPr>
        <w:t xml:space="preserve"> 949/2023 </w:t>
      </w:r>
      <w:r>
        <w:rPr>
          <w:rFonts w:ascii="Verdana" w:hAnsi="Verdana" w:cs="Verdana"/>
          <w:sz w:val="20"/>
          <w:sz-cs w:val="20"/>
          <w:spacing w:val="0"/>
        </w:rPr>
        <w:t xml:space="preserve">, </w:t>
      </w:r>
      <w:r>
        <w:rPr>
          <w:rFonts w:ascii="Verdana" w:hAnsi="Verdana" w:cs="Verdana"/>
          <w:sz w:val="20"/>
          <w:sz-cs w:val="20"/>
          <w:i/>
          <w:spacing w:val="0"/>
        </w:rPr>
        <w:t xml:space="preserve"> 950/2023, todas ellas de 14 de junio </w:t>
      </w:r>
      <w:r>
        <w:rPr>
          <w:rFonts w:ascii="Verdana" w:hAnsi="Verdana" w:cs="Verdana"/>
          <w:sz w:val="20"/>
          <w:sz-cs w:val="20"/>
          <w:spacing w:val="0"/>
        </w:rPr>
        <w:t xml:space="preserve">; </w:t>
      </w:r>
      <w:r>
        <w:rPr>
          <w:rFonts w:ascii="Verdana" w:hAnsi="Verdana" w:cs="Verdana"/>
          <w:sz w:val="20"/>
          <w:sz-cs w:val="20"/>
          <w:i/>
          <w:spacing w:val="0"/>
        </w:rPr>
        <w:t xml:space="preserve"> así como en la sentencia 1415/2023, de 16 de octubre </w:t>
      </w:r>
      <w:r>
        <w:rPr>
          <w:rFonts w:ascii="Verdana" w:hAnsi="Verdana" w:cs="Verdana"/>
          <w:sz w:val="20"/>
          <w:sz-cs w:val="20"/>
          <w:spacing w:val="0"/>
        </w:rPr>
        <w:t xml:space="preserve">; </w:t>
      </w:r>
      <w:r>
        <w:rPr>
          <w:rFonts w:ascii="Verdana" w:hAnsi="Verdana" w:cs="Verdana"/>
          <w:sz w:val="20"/>
          <w:sz-cs w:val="20"/>
          <w:i/>
          <w:spacing w:val="0"/>
        </w:rPr>
        <w:t xml:space="preserve"> en las posteriores de 14 de marzo de 2024 </w:t>
      </w:r>
      <w:r>
        <w:rPr>
          <w:rFonts w:ascii="Verdana" w:hAnsi="Verdana" w:cs="Verdana"/>
          <w:sz w:val="20"/>
          <w:sz-cs w:val="20"/>
          <w:spacing w:val="0"/>
        </w:rPr>
        <w:t xml:space="preserve"> ( </w:t>
      </w:r>
      <w:r>
        <w:rPr>
          <w:rFonts w:ascii="Verdana" w:hAnsi="Verdana" w:cs="Verdana"/>
          <w:sz w:val="20"/>
          <w:sz-cs w:val="20"/>
          <w:i/>
          <w:spacing w:val="0"/>
        </w:rPr>
        <w:t xml:space="preserve"> sentencias 370/2024 </w:t>
      </w:r>
      <w:r>
        <w:rPr>
          <w:rFonts w:ascii="Verdana" w:hAnsi="Verdana" w:cs="Verdana"/>
          <w:sz w:val="20"/>
          <w:sz-cs w:val="20"/>
          <w:spacing w:val="0"/>
        </w:rPr>
        <w:t xml:space="preserve">, </w:t>
      </w:r>
      <w:r>
        <w:rPr>
          <w:rFonts w:ascii="Verdana" w:hAnsi="Verdana" w:cs="Verdana"/>
          <w:sz w:val="20"/>
          <w:sz-cs w:val="20"/>
          <w:i/>
          <w:spacing w:val="0"/>
        </w:rPr>
        <w:t xml:space="preserve"> 372/2024 </w:t>
      </w:r>
      <w:r>
        <w:rPr>
          <w:rFonts w:ascii="Verdana" w:hAnsi="Verdana" w:cs="Verdana"/>
          <w:sz w:val="20"/>
          <w:sz-cs w:val="20"/>
          <w:spacing w:val="0"/>
        </w:rPr>
        <w:t xml:space="preserve">, </w:t>
      </w:r>
      <w:r>
        <w:rPr>
          <w:rFonts w:ascii="Verdana" w:hAnsi="Verdana" w:cs="Verdana"/>
          <w:sz w:val="20"/>
          <w:sz-cs w:val="20"/>
          <w:i/>
          <w:spacing w:val="0"/>
        </w:rPr>
        <w:t xml:space="preserve"> 373/2024 </w:t>
      </w:r>
      <w:r>
        <w:rPr>
          <w:rFonts w:ascii="Verdana" w:hAnsi="Verdana" w:cs="Verdana"/>
          <w:sz w:val="20"/>
          <w:sz-cs w:val="20"/>
          <w:spacing w:val="0"/>
        </w:rPr>
        <w:t xml:space="preserve">, </w:t>
      </w:r>
      <w:r>
        <w:rPr>
          <w:rFonts w:ascii="Verdana" w:hAnsi="Verdana" w:cs="Verdana"/>
          <w:sz w:val="20"/>
          <w:sz-cs w:val="20"/>
          <w:i/>
          <w:spacing w:val="0"/>
        </w:rPr>
        <w:t xml:space="preserve"> 374/2024 </w:t>
      </w:r>
      <w:r>
        <w:rPr>
          <w:rFonts w:ascii="Verdana" w:hAnsi="Verdana" w:cs="Verdana"/>
          <w:sz w:val="20"/>
          <w:sz-cs w:val="20"/>
          <w:spacing w:val="0"/>
        </w:rPr>
        <w:t xml:space="preserve">, </w:t>
      </w:r>
      <w:r>
        <w:rPr>
          <w:rFonts w:ascii="Verdana" w:hAnsi="Verdana" w:cs="Verdana"/>
          <w:sz w:val="20"/>
          <w:sz-cs w:val="20"/>
          <w:i/>
          <w:spacing w:val="0"/>
        </w:rPr>
        <w:t xml:space="preserve"> 375/2024 </w:t>
      </w:r>
      <w:r>
        <w:rPr>
          <w:rFonts w:ascii="Verdana" w:hAnsi="Verdana" w:cs="Verdana"/>
          <w:sz w:val="20"/>
          <w:sz-cs w:val="20"/>
          <w:spacing w:val="0"/>
        </w:rPr>
        <w:t xml:space="preserve">, </w:t>
      </w:r>
      <w:r>
        <w:rPr>
          <w:rFonts w:ascii="Verdana" w:hAnsi="Verdana" w:cs="Verdana"/>
          <w:sz w:val="20"/>
          <w:sz-cs w:val="20"/>
          <w:i/>
          <w:spacing w:val="0"/>
        </w:rPr>
        <w:t xml:space="preserve"> 376/2014 </w:t>
      </w:r>
      <w:r>
        <w:rPr>
          <w:rFonts w:ascii="Verdana" w:hAnsi="Verdana" w:cs="Verdana"/>
          <w:sz w:val="20"/>
          <w:sz-cs w:val="20"/>
          <w:spacing w:val="0"/>
        </w:rPr>
        <w:t xml:space="preserve"> y </w:t>
      </w:r>
      <w:r>
        <w:rPr>
          <w:rFonts w:ascii="Verdana" w:hAnsi="Verdana" w:cs="Verdana"/>
          <w:sz w:val="20"/>
          <w:sz-cs w:val="20"/>
          <w:i/>
          <w:spacing w:val="0"/>
        </w:rPr>
        <w:t xml:space="preserve"> 377/2024 </w:t>
      </w:r>
      <w:r>
        <w:rPr>
          <w:rFonts w:ascii="Verdana" w:hAnsi="Verdana" w:cs="Verdana"/>
          <w:sz w:val="20"/>
          <w:sz-cs w:val="20"/>
          <w:spacing w:val="0"/>
        </w:rPr>
        <w:t xml:space="preserve"> ); y, específicamente para un caso en que se había aportado el mismo informe, en la </w:t>
      </w:r>
      <w:r>
        <w:rPr>
          <w:rFonts w:ascii="Verdana" w:hAnsi="Verdana" w:cs="Verdana"/>
          <w:sz w:val="20"/>
          <w:sz-cs w:val="20"/>
          <w:i/>
          <w:spacing w:val="0"/>
        </w:rPr>
        <w:t xml:space="preserve"> sentencia 1380/2024, de 23 de octubre </w:t>
      </w:r>
      <w:r>
        <w:rPr>
          <w:rFonts w:ascii="Verdana" w:hAnsi="Verdana" w:cs="Verdana"/>
          <w:sz w:val="20"/>
          <w:sz-cs w:val="20"/>
          <w:spacing w:val="0"/>
        </w:rPr>
        <w:t xml:space="preserve">. Al no existir ninguna razón que justifique que nos separemos de estos precedentes, reiteramos a continuación la argumentación vertida en estas sentencias.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w:t>
      </w:r>
      <w:r>
        <w:rPr>
          <w:rFonts w:ascii="Verdana" w:hAnsi="Verdana" w:cs="Verdana"/>
          <w:sz w:val="20"/>
          <w:sz-cs w:val="20"/>
          <w:i/>
          <w:spacing w:val="0"/>
        </w:rPr>
        <w:t xml:space="preserve"> art. 16.1 del Reglamento (CE) 1/2003, de 16 de diciembre de 2002 </w:t>
      </w:r>
      <w:r>
        <w:rPr>
          <w:rFonts w:ascii="Verdana" w:hAnsi="Verdana" w:cs="Verdana"/>
          <w:sz w:val="20"/>
          <w:sz-cs w:val="20"/>
          <w:spacing w:val="0"/>
        </w:rPr>
        <w:t xml:space="preserve">, relativo a la aplicación de las normas sobre competencia previstas en los arts. 81 y 82 del Tratado, dispone que «cuando los órganos jurisdiccionales nacionales se pronuncien sobre acuerdos, decisiones o prácticas en virtud de los artículos 81 y 82 del Tratado ya haya sido objeto de una decisión de la Comisión, no podrán adoptar resoluciones incompatibles con la decisión adoptada por la Comisión.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Este efecto vinculante de las decisiones de la Comisión sobre acuerdos, decisiones o prácticas infractores de las normas de la competencia «se aplica asimismo cuando los órganos jurisdiccionales nacionales conocen de una acción de indemnización del daño ocasionado a consecuencia de un acuerdo o una práctica que se han declarado contrarios al </w:t>
      </w:r>
      <w:r>
        <w:rPr>
          <w:rFonts w:ascii="Verdana" w:hAnsi="Verdana" w:cs="Verdana"/>
          <w:sz w:val="20"/>
          <w:sz-cs w:val="20"/>
          <w:i/>
          <w:spacing w:val="0"/>
        </w:rPr>
        <w:t xml:space="preserve"> artículo 101 TFUE </w:t>
      </w:r>
      <w:r>
        <w:rPr>
          <w:rFonts w:ascii="Verdana" w:hAnsi="Verdana" w:cs="Verdana"/>
          <w:sz w:val="20"/>
          <w:sz-cs w:val="20"/>
          <w:spacing w:val="0"/>
        </w:rPr>
        <w:t xml:space="preserve"> en una decisión de dicha institución», según ha precisado el </w:t>
      </w:r>
      <w:r>
        <w:rPr>
          <w:rFonts w:ascii="Verdana" w:hAnsi="Verdana" w:cs="Verdana"/>
          <w:sz w:val="20"/>
          <w:sz-cs w:val="20"/>
          <w:i/>
          <w:spacing w:val="0"/>
        </w:rPr>
        <w:t xml:space="preserve"> TJUE en su sentencia de 6 de noviembre de 2012, asunto C-199/11 </w:t>
      </w:r>
      <w:r>
        <w:rPr>
          <w:rFonts w:ascii="Verdana" w:hAnsi="Verdana" w:cs="Verdana"/>
          <w:sz w:val="20"/>
          <w:sz-cs w:val="20"/>
          <w:spacing w:val="0"/>
        </w:rPr>
        <w:t xml:space="preserve">, </w:t>
      </w:r>
      <w:r>
        <w:rPr>
          <w:rFonts w:ascii="Verdana" w:hAnsi="Verdana" w:cs="Verdana"/>
          <w:sz w:val="20"/>
          <w:sz-cs w:val="20"/>
          <w:i/>
          <w:spacing w:val="0"/>
        </w:rPr>
        <w:t xml:space="preserve"> Otis y otros, </w:t>
      </w:r>
      <w:r>
        <w:rPr>
          <w:rFonts w:ascii="Verdana" w:hAnsi="Verdana" w:cs="Verdana"/>
          <w:sz w:val="20"/>
          <w:sz-cs w:val="20"/>
          <w:spacing w:val="0"/>
        </w:rPr>
        <w:t xml:space="preserve"> apartado 51.</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tanto, al ejercitarse en este procedimiento una acción </w:t>
      </w:r>
      <w:r>
        <w:rPr>
          <w:rFonts w:ascii="Verdana" w:hAnsi="Verdana" w:cs="Verdana"/>
          <w:sz w:val="20"/>
          <w:sz-cs w:val="20"/>
          <w:i/>
          <w:spacing w:val="0"/>
        </w:rPr>
        <w:t xml:space="preserve"> follow-on </w:t>
      </w:r>
      <w:r>
        <w:rPr>
          <w:rFonts w:ascii="Verdana" w:hAnsi="Verdana" w:cs="Verdana"/>
          <w:sz w:val="20"/>
          <w:sz-cs w:val="20"/>
          <w:spacing w:val="0"/>
        </w:rPr>
        <w:t xml:space="preserve"> de indemnización de los daños y perjuicios eventualmente producidos en el patrimonio de los demandantes por el cártel ya declarado y sancionado por la Decisión de la Comisión, hemos de partir necesariamente del examen del contenido y alcance de esta Decisión.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Decisión de la Comisión, al sancionar una infracción al Derecho de la competencia por objeto, no se ve en la obligación de detallar los concretos efectos ocasionados por las practicas colusorias sancionadas. Pero eso no impide que la propia Decisión realice algunas afirmaciones al respecto.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b/>
          <w:i/>
          <w:spacing w:val="0"/>
        </w:rPr>
        <w:t xml:space="preserve"> </w:t>
      </w:r>
      <w:r>
        <w:rPr>
          <w:rFonts w:ascii="Verdana" w:hAnsi="Verdana" w:cs="Verdana"/>
          <w:sz w:val="20"/>
          <w:sz-cs w:val="20"/>
          <w:b/>
          <w:spacing w:val="0"/>
        </w:rPr>
        <w:t xml:space="preserve">  </w:t>
      </w:r>
      <w:r>
        <w:rPr>
          <w:rFonts w:ascii="Verdana" w:hAnsi="Verdana" w:cs="Verdana"/>
          <w:sz w:val="20"/>
          <w:sz-cs w:val="20"/>
          <w:spacing w:val="0"/>
        </w:rPr>
        <w:t xml:space="preserve"> Contenido y alcance de la </w:t>
      </w:r>
      <w:r>
        <w:rPr>
          <w:rFonts w:ascii="Verdana" w:hAnsi="Verdana" w:cs="Verdana"/>
          <w:sz w:val="20"/>
          <w:sz-cs w:val="20"/>
          <w:i/>
          <w:spacing w:val="0"/>
        </w:rPr>
        <w:t xml:space="preserve">   Decisión de la Comisión Europea de 19 de julio de 2016 </w:t>
      </w:r>
      <w:r>
        <w:rPr>
          <w:rFonts w:ascii="Verdana" w:hAnsi="Verdana" w:cs="Verdana"/>
          <w:sz w:val="20"/>
          <w:sz-cs w:val="20"/>
          <w:spacing w:val="0"/>
        </w:rPr>
        <w:t xml:space="preserve">    </w:t>
      </w:r>
      <w:r>
        <w:rPr>
          <w:rFonts w:ascii="Verdana" w:hAnsi="Verdana" w:cs="Verdana"/>
          <w:sz w:val="20"/>
          <w:sz-cs w:val="20"/>
          <w:i/>
          <w:spacing w:val="0"/>
        </w:rPr>
        <w:t xml:space="preserve">. </w:t>
      </w:r>
      <w:r>
        <w:rPr>
          <w:rFonts w:ascii="Verdana" w:hAnsi="Verdana" w:cs="Verdana"/>
          <w:sz w:val="20"/>
          <w:sz-cs w:val="20"/>
          <w:spacing w:val="0"/>
        </w:rPr>
        <w:t xml:space="preserve"> La demandada niega que en este caso el cártel haya ocasionado daño a los demandantes porque no provocó la subida del precio de los camiones fabricados por las empresas cartelistas. Y basa esta afirmación en que la conducta sancionada fue un mero intercambio de información, que fue inocuo para los adquirentes de los camiones fabricados por los cartelistas.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intercambio de información sobre precios ya es considerado por la Comisión como una distorsión de la competencia, causa muy probable de una elevación de precios ( </w:t>
      </w:r>
      <w:r>
        <w:rPr>
          <w:rFonts w:ascii="Verdana" w:hAnsi="Verdana" w:cs="Verdana"/>
          <w:sz w:val="20"/>
          <w:sz-cs w:val="20"/>
          <w:i/>
          <w:spacing w:val="0"/>
        </w:rPr>
        <w:t xml:space="preserve"> apartado 73 de la Comunicación de la Comisión sobre Directrices sobre la aplicabilidad del artículo 101 TFUE </w:t>
      </w:r>
      <w:r>
        <w:rPr>
          <w:rFonts w:ascii="Verdana" w:hAnsi="Verdana" w:cs="Verdana"/>
          <w:sz w:val="20"/>
          <w:sz-cs w:val="20"/>
          <w:spacing w:val="0"/>
        </w:rPr>
        <w:t xml:space="preserve"> a los acuerdos de cooperación horizontal). Pero la Decisión de la Comisión no circunscribe la conducta de las empresas involucradas en el cártel a un mero intercambio de información, sino que va más allá de esta conducta.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En varios de los considerandos de la Decisión se hace alusión al intercambio de información, no solo sobre precios brutos, sino también sobre otros extremos relevantes para la competencia entre empresas. Pero en otros considerandos se describen expresamente conductas de colusión consistentes en la discusión y adopción de acuerdos sobre la fijación y el incremento de precios, por lo general de los precios brutos y en ocasiones de precios netos. Así ocurre, por ejemplo, en los considerandos 50, 51, 71 y 81.</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Como consecuencia de lo anterior, la parte dispositiva de la Decisión declaró que las unidades empresariales que reseña a continuación habían infringido el </w:t>
      </w:r>
      <w:r>
        <w:rPr>
          <w:rFonts w:ascii="Verdana" w:hAnsi="Verdana" w:cs="Verdana"/>
          <w:sz w:val="20"/>
          <w:sz-cs w:val="20"/>
          <w:i/>
          <w:spacing w:val="0"/>
        </w:rPr>
        <w:t xml:space="preserve"> art. 101 TFUE </w:t>
      </w:r>
      <w:r>
        <w:rPr>
          <w:rFonts w:ascii="Verdana" w:hAnsi="Verdana" w:cs="Verdana"/>
          <w:sz w:val="20"/>
          <w:sz-cs w:val="20"/>
          <w:spacing w:val="0"/>
        </w:rPr>
        <w:t xml:space="preserve"> y el art. 53 del Acuerdo EEE -durante determinados periodos de tiempo que indica a continuación-, al participar en prácticas colusorias de fijación de precios e incrementos de precios brutos de los camiones medios y pesados en el Espacio Económico Europeo (EEE) de camiones medianos y pesados y no simplemente un intercambio de información.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También es muy significativo que el resumen de la Decisión que la propia Comisión europea publicó en español afirme que «[l]a infracción consistió en acuerdos colusorios sobre la fijación de precios y los incrementos de los precios brutos de los camiones en el EEE» y no en un mero intercambio de información.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5.- </w:t>
      </w:r>
      <w:r>
        <w:rPr>
          <w:rFonts w:ascii="Verdana" w:hAnsi="Verdana" w:cs="Verdana"/>
          <w:sz w:val="20"/>
          <w:sz-cs w:val="20"/>
          <w:spacing w:val="0"/>
        </w:rPr>
        <w:t xml:space="preserve"> Este entendimiento sobre la conducta sancionada por la Decisión coincide con lo declarado por el </w:t>
      </w:r>
      <w:r>
        <w:rPr>
          <w:rFonts w:ascii="Verdana" w:hAnsi="Verdana" w:cs="Verdana"/>
          <w:sz w:val="20"/>
          <w:sz-cs w:val="20"/>
          <w:i/>
          <w:spacing w:val="0"/>
        </w:rPr>
        <w:t xml:space="preserve"> TJUE cuando ha tenido que aplicar la Decisión, en concreto en el apartado 16 de la sentencia de 22 de junio de 2022 (asunto C-267/20 </w:t>
      </w:r>
      <w:r>
        <w:rPr>
          <w:rFonts w:ascii="Verdana" w:hAnsi="Verdana" w:cs="Verdana"/>
          <w:sz w:val="20"/>
          <w:sz-cs w:val="20"/>
          <w:spacing w:val="0"/>
        </w:rPr>
        <w:t xml:space="preserve">, </w:t>
      </w:r>
      <w:r>
        <w:rPr>
          <w:rFonts w:ascii="Verdana" w:hAnsi="Verdana" w:cs="Verdana"/>
          <w:sz w:val="20"/>
          <w:sz-cs w:val="20"/>
          <w:i/>
          <w:spacing w:val="0"/>
        </w:rPr>
        <w:t xml:space="preserve"> Volvo y DAF Trucks), </w:t>
      </w:r>
      <w:r>
        <w:rPr>
          <w:rFonts w:ascii="Verdana" w:hAnsi="Verdana" w:cs="Verdana"/>
          <w:sz w:val="20"/>
          <w:sz-cs w:val="20"/>
          <w:spacing w:val="0"/>
        </w:rPr>
        <w:t xml:space="preserve"> y en el apartado 21 de la </w:t>
      </w:r>
      <w:r>
        <w:rPr>
          <w:rFonts w:ascii="Verdana" w:hAnsi="Verdana" w:cs="Verdana"/>
          <w:sz w:val="20"/>
          <w:sz-cs w:val="20"/>
          <w:i/>
          <w:spacing w:val="0"/>
        </w:rPr>
        <w:t xml:space="preserve"> STJUE de 16 de febrero de 2023 (asunto C-312/21 </w:t>
      </w:r>
      <w:r>
        <w:rPr>
          <w:rFonts w:ascii="Verdana" w:hAnsi="Verdana" w:cs="Verdana"/>
          <w:sz w:val="20"/>
          <w:sz-cs w:val="20"/>
          <w:spacing w:val="0"/>
        </w:rPr>
        <w:t xml:space="preserve">, </w:t>
      </w:r>
      <w:r>
        <w:rPr>
          <w:rFonts w:ascii="Verdana" w:hAnsi="Verdana" w:cs="Verdana"/>
          <w:sz w:val="20"/>
          <w:sz-cs w:val="20"/>
          <w:i/>
          <w:spacing w:val="0"/>
        </w:rPr>
        <w:t xml:space="preserve"> Tráficos Manuel Ferrer), </w:t>
      </w:r>
      <w:r>
        <w:rPr>
          <w:rFonts w:ascii="Verdana" w:hAnsi="Verdana" w:cs="Verdana"/>
          <w:sz w:val="20"/>
          <w:sz-cs w:val="20"/>
          <w:spacing w:val="0"/>
        </w:rPr>
        <w:t xml:space="preserve"> que se refiere a la «conclusión de acuerdos colusorios sobre la fijación de precios y los incrementos de los precios brutos de los camiones medios y pesados en el Espacio Económico Europeo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6.- </w:t>
      </w:r>
      <w:r>
        <w:rPr>
          <w:rFonts w:ascii="Verdana" w:hAnsi="Verdana" w:cs="Verdana"/>
          <w:sz w:val="20"/>
          <w:sz-cs w:val="20"/>
          <w:spacing w:val="0"/>
        </w:rPr>
        <w:t xml:space="preserve"> Existencia del daño y de la relación de causalidad. El </w:t>
      </w:r>
      <w:r>
        <w:rPr>
          <w:rFonts w:ascii="Verdana" w:hAnsi="Verdana" w:cs="Verdana"/>
          <w:sz w:val="20"/>
          <w:sz-cs w:val="20"/>
          <w:i/>
          <w:spacing w:val="0"/>
        </w:rPr>
        <w:t xml:space="preserve"> art. 17.2 de la Directiva, que ha sido traspuesto en el </w:t>
      </w:r>
      <w:r>
        <w:rPr>
          <w:rFonts w:ascii="Verdana" w:hAnsi="Verdana" w:cs="Verdana"/>
          <w:sz w:val="20"/>
          <w:sz-cs w:val="20"/>
          <w:spacing w:val="0"/>
        </w:rPr>
        <w:t xml:space="preserve">  </w:t>
      </w:r>
      <w:r>
        <w:rPr>
          <w:rFonts w:ascii="Verdana" w:hAnsi="Verdana" w:cs="Verdana"/>
          <w:sz w:val="20"/>
          <w:sz-cs w:val="20"/>
          <w:i/>
          <w:spacing w:val="0"/>
        </w:rPr>
        <w:t xml:space="preserve"> art. 76.3 de la Ley de</w:t>
      </w:r>
      <w:r>
        <w:rPr>
          <w:rFonts w:ascii="Verdana" w:hAnsi="Verdana" w:cs="Verdana"/>
          <w:sz w:val="20"/>
          <w:sz-cs w:val="20"/>
          <w:i/>
          <w:spacing w:val="0"/>
          <w:color w:val="FF0000"/>
        </w:rPr>
        <w:t xml:space="preserve"> Defensa de la Competencia</w:t>
      </w:r>
      <w:r>
        <w:rPr>
          <w:rFonts w:ascii="Verdana" w:hAnsi="Verdana" w:cs="Verdana"/>
          <w:sz w:val="20"/>
          <w:sz-cs w:val="20"/>
          <w:i/>
          <w:spacing w:val="0"/>
        </w:rPr>
        <w:t xml:space="preserve"> </w:t>
      </w:r>
      <w:r>
        <w:rPr>
          <w:rFonts w:ascii="Verdana" w:hAnsi="Verdana" w:cs="Verdana"/>
          <w:sz w:val="20"/>
          <w:sz-cs w:val="20"/>
          <w:spacing w:val="0"/>
        </w:rPr>
        <w:t xml:space="preserve"> (en lo sucesivo, </w:t>
      </w:r>
      <w:r>
        <w:rPr>
          <w:rFonts w:ascii="Verdana" w:hAnsi="Verdana" w:cs="Verdana"/>
          <w:sz w:val="20"/>
          <w:sz-cs w:val="20"/>
          <w:i/>
          <w:spacing w:val="0"/>
        </w:rPr>
        <w:t xml:space="preserve"> LDC) no es aplicable en este litigio por razones temporales, al preverlo así el art. 22.1 </w:t>
      </w:r>
      <w:r>
        <w:rPr>
          <w:rFonts w:ascii="Verdana" w:hAnsi="Verdana" w:cs="Verdana"/>
          <w:sz w:val="20"/>
          <w:sz-cs w:val="20"/>
          <w:spacing w:val="0"/>
        </w:rPr>
        <w:t xml:space="preserve"> de la Directiva, en la interpretación dada por la </w:t>
      </w:r>
      <w:r>
        <w:rPr>
          <w:rFonts w:ascii="Verdana" w:hAnsi="Verdana" w:cs="Verdana"/>
          <w:sz w:val="20"/>
          <w:sz-cs w:val="20"/>
          <w:i/>
          <w:spacing w:val="0"/>
        </w:rPr>
        <w:t xml:space="preserve"> STJUE de 22 de junio de 2022 (asunto C-267/20 </w:t>
      </w:r>
      <w:r>
        <w:rPr>
          <w:rFonts w:ascii="Verdana" w:hAnsi="Verdana" w:cs="Verdana"/>
          <w:sz w:val="20"/>
          <w:sz-cs w:val="20"/>
          <w:spacing w:val="0"/>
        </w:rPr>
        <w:t xml:space="preserve">, </w:t>
      </w:r>
      <w:r>
        <w:rPr>
          <w:rFonts w:ascii="Verdana" w:hAnsi="Verdana" w:cs="Verdana"/>
          <w:sz w:val="20"/>
          <w:sz-cs w:val="20"/>
          <w:i/>
          <w:spacing w:val="0"/>
        </w:rPr>
        <w:t xml:space="preserve"> Volvo y DAF Trucks), </w:t>
      </w:r>
      <w:r>
        <w:rPr>
          <w:rFonts w:ascii="Verdana" w:hAnsi="Verdana" w:cs="Verdana"/>
          <w:sz w:val="20"/>
          <w:sz-cs w:val="20"/>
          <w:spacing w:val="0"/>
        </w:rPr>
        <w:t xml:space="preserve"> en sus apartados 90 y siguientes y en su parte dispositiva, y el </w:t>
      </w:r>
      <w:r>
        <w:rPr>
          <w:rFonts w:ascii="Verdana" w:hAnsi="Verdana" w:cs="Verdana"/>
          <w:sz w:val="20"/>
          <w:sz-cs w:val="20"/>
          <w:i/>
          <w:spacing w:val="0"/>
        </w:rPr>
        <w:t xml:space="preserve"> apartado primero de la disposición transitoria primera del Real Decreto-Ley 9/2017, de 26 de mayo </w:t>
      </w:r>
      <w:r>
        <w:rPr>
          <w:rFonts w:ascii="Verdana" w:hAnsi="Verdana" w:cs="Verdana"/>
          <w:sz w:val="20"/>
          <w:sz-cs w:val="20"/>
          <w:spacing w:val="0"/>
        </w:rPr>
        <w:t xml:space="preserve">, que la traspuso al Derecho interno.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Pero, como hemos declarado en las resoluciones antes citadas, en este cártel de los camiones concurren unas concretas y significativas características que permiten presumir la existencia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Entre estas características pueden destacarse: la extensa duración del cártel, que se prolongó durante 14 años; en él estuvieron implicados los mayores fabricantes de camiones del EEE, con una cuota de mercado de aproximadamente el 90%; y su objeto fue la discusión y adopción de acuerdos sobre, entre otros extremos, la fijación de precios y el incremento de precios brutos. Como señala la Guía práctica de la Comisión «es probable que, por regla general, los cárteles den lugar a costes excesivos y que cuanto más duradero y sostenible ha sido el cártel, más difícil le resultaría a un demandado alegar que no había habido un impacto negativo sobre los precios en un caso concreto» (apartado 145). En este caso, se suma a la prolongada duración del cártel su amplia extensión geográfica y la elevada cuota de mercado afectada, lo que incrementa todavía más la dificultad de negar la existencia de un impacto negativo sobre los precios del caso concreto y correlativamente, hace más plausible y fundada la afirmación de su existencia.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7.- </w:t>
      </w:r>
      <w:r>
        <w:rPr>
          <w:rFonts w:ascii="Verdana" w:hAnsi="Verdana" w:cs="Verdana"/>
          <w:sz w:val="20"/>
          <w:sz-cs w:val="20"/>
          <w:spacing w:val="0"/>
        </w:rPr>
        <w:t xml:space="preserve"> Los hechos de los que parte el tribunal de apelación para presumir la existencia del daño y de la relación de causalidad son los hechos constatados en la Decisión. Las máximas de experiencia, muchas de ellas recogidas en los documentos elaborados por la Comisión, han servido para establecer el enlace preciso y directo según las reglas del criterio humano entre esos hechos probados, en tanto que fijados en la Decisión, y el hecho presumido: que el cártel provocó el incremento del precio de los camiones objeto de los acuerdos colusorios.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 es óbice a lo anterior que la Decisión sancione el cártel como una restricción de la competencia por objeto, y no por efectos. Efectivamente, como ya se ha indicado, la Comisión no consideró necesario entrar a valorar los efectos reales del cártel por tratarse de un acuerdo que tenía por objeto la evitación, restricción o distorsión de la competencia en el mercado interior (en este sentido, apartados 80 y 82 de la Decisión), sin que el apartado 85 suponga una descripción de los efectos del cártel sino simplemente la justificación de la aplicabilidad del </w:t>
      </w:r>
      <w:r>
        <w:rPr>
          <w:rFonts w:ascii="Verdana" w:hAnsi="Verdana" w:cs="Verdana"/>
          <w:sz w:val="20"/>
          <w:sz-cs w:val="20"/>
          <w:i/>
          <w:spacing w:val="0"/>
        </w:rPr>
        <w:t xml:space="preserve"> art. 101 TFUE </w:t>
      </w:r>
      <w:r>
        <w:rPr>
          <w:rFonts w:ascii="Verdana" w:hAnsi="Verdana" w:cs="Verdana"/>
          <w:sz w:val="20"/>
          <w:sz-cs w:val="20"/>
          <w:spacing w:val="0"/>
        </w:rPr>
        <w:t xml:space="preserve"> y 53 del Acuerdo sobre el EEE, y no de la norma de Derecho nacional de la competencia, así como de la competencia de la Comisión Europea, y no de las autoridades nacionales de la competencia, para sancionar la conducta anticompetitiva.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apartado 21 de la Comunicación de la Comisión - Directrices relativas a la aplicación del apartado 3 del artículo 81 del Tratado (Texto pertinente a efectos del EEE) declara: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 entiende por restricciones de la competencia por objeto aquéllas que por su propia naturaleza poseen el potencial de restringir la competencia. Se trata de restricciones que, dados los objetivos de las normas comunitarias de competencia, presentan un potencial tan elevado de efectos negativos para la competencia que no es necesario aplicar el apartado 1 del artículo 81 para demostrar cualquier efecto real en el mercado. Dicha presunción se basa en la gravedad intrínseca de la restricción y en la experiencia, que demuestra que las restricciones de la competencia que lo sean por su objeto pueden surtir efectos negativos para el mercado y poner en peligro los objetivos de las normas comunitarias de competencia. Las restricciones por objeto, tales como la fijación de precios y el reparto de mercados, reducen la producción y aumentan los precios, lo que redunda en una mala asignación de recursos, pues no se producen los bienes y servicios que demandan los clientes. Suponen asimismo una reducción del bienestar de los consumidores, quienes se ven obligados a pagar precios más elevados por dichos bienes y servicios».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8.- </w:t>
      </w:r>
      <w:r>
        <w:rPr>
          <w:rFonts w:ascii="Verdana" w:hAnsi="Verdana" w:cs="Verdana"/>
          <w:sz w:val="20"/>
          <w:sz-cs w:val="20"/>
          <w:spacing w:val="0"/>
        </w:rPr>
        <w:t xml:space="preserve"> Sin necesidad de aplicar la doctrina </w:t>
      </w:r>
      <w:r>
        <w:rPr>
          <w:rFonts w:ascii="Verdana" w:hAnsi="Verdana" w:cs="Verdana"/>
          <w:sz w:val="20"/>
          <w:sz-cs w:val="20"/>
          <w:i/>
          <w:spacing w:val="0"/>
        </w:rPr>
        <w:t xml:space="preserve"> ex re ipsa, </w:t>
      </w:r>
      <w:r>
        <w:rPr>
          <w:rFonts w:ascii="Verdana" w:hAnsi="Verdana" w:cs="Verdana"/>
          <w:sz w:val="20"/>
          <w:sz-cs w:val="20"/>
          <w:spacing w:val="0"/>
        </w:rPr>
        <w:t xml:space="preserve"> puede concluirse razonablemente que ha existido una infracción del Derecho de la competencia de enorme gravedad por su duración (14 años), por su extensión espacial (todo el EEE), por la cuota de mercado de los fabricantes implicados en el cártel (aproximadamente un 90%) y por la naturaleza de los acuerdos colusorios (no solo el intercambio de información sobre datos concurrenciales sensibles sino también la discusión y acuerdos sobre fijación e incremento de precios brutos).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Y con base en estos hechos y en la propia racionalidad económica de la existencia de un cártel de estas características (con una alta exposición al riesgo de elevadas sanciones, cuya asunción carecería de lógica en ausencia de todo beneficio), aplicando las reglas del raciocinio humano y las máximas de experiencia (reflejadas muchas de ellas en los documentos elaborados por las instituciones de la Unión Europea, como es el caso de la Guía práctica para cuantificar el perjuicio en las demandas por daños y perjuicios por incumplimiento de los </w:t>
      </w:r>
      <w:r>
        <w:rPr>
          <w:rFonts w:ascii="Verdana" w:hAnsi="Verdana" w:cs="Verdana"/>
          <w:sz w:val="20"/>
          <w:sz-cs w:val="20"/>
          <w:i/>
          <w:spacing w:val="0"/>
        </w:rPr>
        <w:t xml:space="preserve"> arts. 101 </w:t>
      </w:r>
      <w:r>
        <w:rPr>
          <w:rFonts w:ascii="Verdana" w:hAnsi="Verdana" w:cs="Verdana"/>
          <w:sz w:val="20"/>
          <w:sz-cs w:val="20"/>
          <w:spacing w:val="0"/>
        </w:rPr>
        <w:t xml:space="preserve"> o </w:t>
      </w:r>
      <w:r>
        <w:rPr>
          <w:rFonts w:ascii="Verdana" w:hAnsi="Verdana" w:cs="Verdana"/>
          <w:sz w:val="20"/>
          <w:sz-cs w:val="20"/>
          <w:i/>
          <w:spacing w:val="0"/>
        </w:rPr>
        <w:t xml:space="preserve"> 102 TFUE </w:t>
      </w:r>
      <w:r>
        <w:rPr>
          <w:rFonts w:ascii="Verdana" w:hAnsi="Verdana" w:cs="Verdana"/>
          <w:sz w:val="20"/>
          <w:sz-cs w:val="20"/>
          <w:spacing w:val="0"/>
        </w:rPr>
        <w:t xml:space="preserve"> ), puede presumirse que la infracción ha producido un daño en los adquirentes de los productos afectados por el cártel, consistente en que han pagado un precio superior al que hubieran pagado si el cártel no hubiera existido.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 presunción de existencia del daño, fundada en el </w:t>
      </w:r>
      <w:r>
        <w:rPr>
          <w:rFonts w:ascii="Verdana" w:hAnsi="Verdana" w:cs="Verdana"/>
          <w:sz w:val="20"/>
          <w:sz-cs w:val="20"/>
          <w:i/>
          <w:spacing w:val="0"/>
        </w:rPr>
        <w:t xml:space="preserve"> art. 386 LEC </w:t>
      </w:r>
      <w:r>
        <w:rPr>
          <w:rFonts w:ascii="Verdana" w:hAnsi="Verdana" w:cs="Verdana"/>
          <w:sz w:val="20"/>
          <w:sz-cs w:val="20"/>
          <w:spacing w:val="0"/>
        </w:rPr>
        <w:t xml:space="preserve">, no es una presunción legal, y tampoco es </w:t>
      </w:r>
      <w:r>
        <w:rPr>
          <w:rFonts w:ascii="Verdana" w:hAnsi="Verdana" w:cs="Verdana"/>
          <w:sz w:val="20"/>
          <w:sz-cs w:val="20"/>
          <w:i/>
          <w:spacing w:val="0"/>
        </w:rPr>
        <w:t xml:space="preserve"> iuris et de iure, </w:t>
      </w:r>
      <w:r>
        <w:rPr>
          <w:rFonts w:ascii="Verdana" w:hAnsi="Verdana" w:cs="Verdana"/>
          <w:sz w:val="20"/>
          <w:sz-cs w:val="20"/>
          <w:spacing w:val="0"/>
        </w:rPr>
        <w:t xml:space="preserve"> por lo que admitiría prueba en contrario. Conforme al apartado 3 de este precepto, «frente a la posible formulación de una presunción judicial, el litigante perjudicado por ella siempre podrá practicar la prueba en contrario a que se refiere el </w:t>
      </w:r>
      <w:r>
        <w:rPr>
          <w:rFonts w:ascii="Verdana" w:hAnsi="Verdana" w:cs="Verdana"/>
          <w:sz w:val="20"/>
          <w:sz-cs w:val="20"/>
          <w:i/>
          <w:spacing w:val="0"/>
        </w:rPr>
        <w:t xml:space="preserve"> apartado 2 del artículo anterior». El art. 385.2 LEC </w:t>
      </w:r>
      <w:r>
        <w:rPr>
          <w:rFonts w:ascii="Verdana" w:hAnsi="Verdana" w:cs="Verdana"/>
          <w:sz w:val="20"/>
          <w:sz-cs w:val="20"/>
          <w:spacing w:val="0"/>
        </w:rPr>
        <w:t xml:space="preserve">, aplicable por vía de remisión, admite que la prueba en contrario pueda dirigirse «tanto a probar la inexistencia del hecho presunto como a demostrar que no existe, en el caso de que se trate, el enlace que ha de haber entre el hecho que se presume y el hecho probado o admitido que fundamenta la presunción». En el caso de la litis, el informe pericial de la demandada no ha desvirtuado las bases sobre las que se ha fundado la presunción ni su resultado. En consecuencia, debemos partir del hecho presunto (existencia del daño) como hecho cierto.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9.- </w:t>
      </w:r>
      <w:r>
        <w:rPr>
          <w:rFonts w:ascii="Verdana" w:hAnsi="Verdana" w:cs="Verdana"/>
          <w:sz w:val="20"/>
          <w:sz-cs w:val="20"/>
          <w:spacing w:val="0"/>
        </w:rPr>
        <w:t xml:space="preserve"> Como ya se ha expresado, hay prueba suficiente de que el cártel causó daños, consistentes fundamentalmente en que los adquirentes de los camiones pagaron un sobreprecio derivado de la artificial elevación de los precios provocada por el cártel. Se hace necesario cuantificar ese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10.- </w:t>
      </w:r>
      <w:r>
        <w:rPr>
          <w:rFonts w:ascii="Verdana" w:hAnsi="Verdana" w:cs="Verdana"/>
          <w:sz w:val="20"/>
          <w:sz-cs w:val="20"/>
          <w:spacing w:val="0"/>
        </w:rPr>
        <w:t xml:space="preserve">  </w:t>
      </w:r>
      <w:r>
        <w:rPr>
          <w:rFonts w:ascii="Verdana" w:hAnsi="Verdana" w:cs="Verdana"/>
          <w:sz w:val="20"/>
          <w:sz-cs w:val="20"/>
          <w:i/>
          <w:spacing w:val="0"/>
        </w:rPr>
        <w:t xml:space="preserve"> La estimación del daño. </w:t>
      </w:r>
      <w:r>
        <w:rPr>
          <w:rFonts w:ascii="Verdana" w:hAnsi="Verdana" w:cs="Verdana"/>
          <w:sz w:val="20"/>
          <w:sz-cs w:val="20"/>
          <w:spacing w:val="0"/>
        </w:rPr>
        <w:t xml:space="preserve"> Para valorar el alcance del daño producido por el cártel (el sobreprecio pagado por el comprador final del camión) y fijar la indemnización adecuada, es relevante estimar lo que habría ocurrido de no haberse producido la práctica restrictiva de la competencia, lo que supone recrear un escenario hipotético (hipótesis contrafactual).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 estimación sirve para determinar cuál habría sido el precio del camión en un escenario no cartelizado, cuya comparación con el precio efectivamente pagado daría como resultado el importe del sobreprecio causado por el cártel.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11.- </w:t>
      </w:r>
      <w:r>
        <w:rPr>
          <w:rFonts w:ascii="Verdana" w:hAnsi="Verdana" w:cs="Verdana"/>
          <w:sz w:val="20"/>
          <w:sz-cs w:val="20"/>
          <w:spacing w:val="0"/>
        </w:rPr>
        <w:t xml:space="preserve"> En las sentencias antes citadas, con referencia a la </w:t>
      </w:r>
      <w:r>
        <w:rPr>
          <w:rFonts w:ascii="Verdana" w:hAnsi="Verdana" w:cs="Verdana"/>
          <w:sz w:val="20"/>
          <w:sz-cs w:val="20"/>
          <w:i/>
          <w:spacing w:val="0"/>
        </w:rPr>
        <w:t xml:space="preserve"> sentencia 651/2013, de 7 de noviembre </w:t>
      </w:r>
      <w:r>
        <w:rPr>
          <w:rFonts w:ascii="Verdana" w:hAnsi="Verdana" w:cs="Verdana"/>
          <w:sz w:val="20"/>
          <w:sz-cs w:val="20"/>
          <w:spacing w:val="0"/>
        </w:rPr>
        <w:t xml:space="preserve"> (ECLI:ES:TS:2013:5819), sobre el cártel del azúcar, hicimos mención a la imposibilidad de realizar una reproducción perfecta de cuál hubiera sido la situación si no se hubiera producido la conducta ilícita. Esta dificultad es un problema común a todas las valoraciones de daños y perjuicios que consisten en proyecciones de lo que habría sucedido si la conducta ilícita no hubiera tenido lugar. Así sucede, por ejemplo, en el caso del lucro cesante derivado de un ilícito. Como declaramos en la </w:t>
      </w:r>
      <w:r>
        <w:rPr>
          <w:rFonts w:ascii="Verdana" w:hAnsi="Verdana" w:cs="Verdana"/>
          <w:sz w:val="20"/>
          <w:sz-cs w:val="20"/>
          <w:i/>
          <w:spacing w:val="0"/>
        </w:rPr>
        <w:t xml:space="preserve"> sentencia 913/2021, de 23 de diciembre </w:t>
      </w:r>
      <w:r>
        <w:rPr>
          <w:rFonts w:ascii="Verdana" w:hAnsi="Verdana" w:cs="Verdana"/>
          <w:sz w:val="20"/>
          <w:sz-cs w:val="20"/>
          <w:spacing w:val="0"/>
        </w:rPr>
        <w:t xml:space="preserve"> (ECLI:ES:TS:2021:4948), «la existencia y cuantía del lucro cesante no deja de ser una hipótesis precisada de una demostración adaptada a su naturaleza de probabilidad más o menos intensa de acuerdo con las reglas de la experiencia teniendo en cuenta lo que normalmente habría sucedido en la mayoría de los casos </w:t>
      </w:r>
      <w:r>
        <w:rPr>
          <w:rFonts w:ascii="Verdana" w:hAnsi="Verdana" w:cs="Verdana"/>
          <w:sz w:val="20"/>
          <w:sz-cs w:val="20"/>
          <w:i/>
          <w:spacing w:val="0"/>
        </w:rPr>
        <w:t xml:space="preserve"> (id quod plerumque accidit)».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 dificultad no debe impedir que las víctimas reciban un importe de indemnización adecuado por el perjuicio sufrido, sino que justifica una mayor amplitud del poder de los jueces para estimar el perjuicio y que el hecho de que el cálculo de las indemnizaciones haya de realizarse sobre hipótesis de situaciones fácticas no acaecidas realmente puede justificar una mayor flexibilidad en la estimación de los perjuicios por el juez.</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tanto, la facultad del juez de fijar la indemnización del daño producido por la conducta infractora del Derecho de la competencia mediante una estimación ya estaba reconocida en nuestro ordenamiento jurídico como consecuencia necesaria del principio de indemnidad del perjudicado propio del </w:t>
      </w:r>
      <w:r>
        <w:rPr>
          <w:rFonts w:ascii="Verdana" w:hAnsi="Verdana" w:cs="Verdana"/>
          <w:sz w:val="20"/>
          <w:sz-cs w:val="20"/>
          <w:i/>
          <w:spacing w:val="0"/>
        </w:rPr>
        <w:t xml:space="preserve"> art. 1902 CC </w:t>
      </w:r>
      <w:r>
        <w:rPr>
          <w:rFonts w:ascii="Verdana" w:hAnsi="Verdana" w:cs="Verdana"/>
          <w:sz w:val="20"/>
          <w:sz-cs w:val="20"/>
          <w:spacing w:val="0"/>
        </w:rPr>
        <w:t xml:space="preserve"> y del </w:t>
      </w:r>
      <w:r>
        <w:rPr>
          <w:rFonts w:ascii="Verdana" w:hAnsi="Verdana" w:cs="Verdana"/>
          <w:sz w:val="20"/>
          <w:sz-cs w:val="20"/>
          <w:i/>
          <w:spacing w:val="0"/>
        </w:rPr>
        <w:t xml:space="preserve"> art. 101 TFUE </w:t>
      </w:r>
      <w:r>
        <w:rPr>
          <w:rFonts w:ascii="Verdana" w:hAnsi="Verdana" w:cs="Verdana"/>
          <w:sz w:val="20"/>
          <w:sz-cs w:val="20"/>
          <w:spacing w:val="0"/>
        </w:rPr>
        <w:t xml:space="preserve">, antes incluso de la entrada en vigor de la Directiva y de la trasposición al Derecho interno del art. 17.1 de dicha Directiva.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12.- </w:t>
      </w:r>
      <w:r>
        <w:rPr>
          <w:rFonts w:ascii="Verdana" w:hAnsi="Verdana" w:cs="Verdana"/>
          <w:sz w:val="20"/>
          <w:sz-cs w:val="20"/>
          <w:spacing w:val="0"/>
        </w:rPr>
        <w:t xml:space="preserve"> La preocupación por las dificultades que presenta la cuantificación del daño ocasionado por las conductas infractoras del Derecho de la competencia, que pueden ser un obstáculo significativo para el resarcimiento de tales daños y la consecuente eficacia del derecho de los perjudicados al resarcimiento de esos daños, aparece en la Comunicación de la Comisión sobre la cuantificación del perjuicio en las demandas por daños y perjuicios por incumplimiento de los </w:t>
      </w:r>
      <w:r>
        <w:rPr>
          <w:rFonts w:ascii="Verdana" w:hAnsi="Verdana" w:cs="Verdana"/>
          <w:sz w:val="20"/>
          <w:sz-cs w:val="20"/>
          <w:i/>
          <w:spacing w:val="0"/>
        </w:rPr>
        <w:t xml:space="preserve"> artículos 101 </w:t>
      </w:r>
      <w:r>
        <w:rPr>
          <w:rFonts w:ascii="Verdana" w:hAnsi="Verdana" w:cs="Verdana"/>
          <w:sz w:val="20"/>
          <w:sz-cs w:val="20"/>
          <w:spacing w:val="0"/>
        </w:rPr>
        <w:t xml:space="preserve"> o </w:t>
      </w:r>
      <w:r>
        <w:rPr>
          <w:rFonts w:ascii="Verdana" w:hAnsi="Verdana" w:cs="Verdana"/>
          <w:sz w:val="20"/>
          <w:sz-cs w:val="20"/>
          <w:i/>
          <w:spacing w:val="0"/>
        </w:rPr>
        <w:t xml:space="preserve"> 102 TFUE </w:t>
      </w:r>
      <w:r>
        <w:rPr>
          <w:rFonts w:ascii="Verdana" w:hAnsi="Verdana" w:cs="Verdana"/>
          <w:sz w:val="20"/>
          <w:sz-cs w:val="20"/>
          <w:spacing w:val="0"/>
        </w:rPr>
        <w:t xml:space="preserve"> y la Guía práctica que le acompañaba, y se reflejó también en los considerandos de la Directiva (por ejemplo, apartados 45 y 46).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13.- </w:t>
      </w:r>
      <w:r>
        <w:rPr>
          <w:rFonts w:ascii="Verdana" w:hAnsi="Verdana" w:cs="Verdana"/>
          <w:sz w:val="20"/>
          <w:sz-cs w:val="20"/>
          <w:spacing w:val="0"/>
        </w:rPr>
        <w:t xml:space="preserve"> La atribución al juez de facultades de estimación de la cuantificación del daño causado por la conducta infractora de la competencia permite superar algunas dificultades propias de la valoración del daño en este campo. El apartado 82 de la </w:t>
      </w:r>
      <w:r>
        <w:rPr>
          <w:rFonts w:ascii="Verdana" w:hAnsi="Verdana" w:cs="Verdana"/>
          <w:sz w:val="20"/>
          <w:sz-cs w:val="20"/>
          <w:i/>
          <w:spacing w:val="0"/>
        </w:rPr>
        <w:t xml:space="preserve"> STJUE de 22 de junio de 2022 (asunto C-267/20 </w:t>
      </w:r>
      <w:r>
        <w:rPr>
          <w:rFonts w:ascii="Verdana" w:hAnsi="Verdana" w:cs="Verdana"/>
          <w:sz w:val="20"/>
          <w:sz-cs w:val="20"/>
          <w:spacing w:val="0"/>
        </w:rPr>
        <w:t xml:space="preserve">, </w:t>
      </w:r>
      <w:r>
        <w:rPr>
          <w:rFonts w:ascii="Verdana" w:hAnsi="Verdana" w:cs="Verdana"/>
          <w:sz w:val="20"/>
          <w:sz-cs w:val="20"/>
          <w:i/>
          <w:spacing w:val="0"/>
        </w:rPr>
        <w:t xml:space="preserve"> Volvo y DAF Trucks, </w:t>
      </w:r>
      <w:r>
        <w:rPr>
          <w:rFonts w:ascii="Verdana" w:hAnsi="Verdana" w:cs="Verdana"/>
          <w:sz w:val="20"/>
          <w:sz-cs w:val="20"/>
          <w:spacing w:val="0"/>
        </w:rPr>
        <w:t xml:space="preserve"> ECLI: </w:t>
      </w:r>
      <w:r>
        <w:rPr>
          <w:rFonts w:ascii="Verdana" w:hAnsi="Verdana" w:cs="Verdana"/>
          <w:sz w:val="20"/>
          <w:sz-cs w:val="20"/>
          <w:i/>
          <w:spacing w:val="0"/>
        </w:rPr>
        <w:t xml:space="preserve"> EU:C:2022:494 </w:t>
      </w:r>
      <w:r>
        <w:rPr>
          <w:rFonts w:ascii="Verdana" w:hAnsi="Verdana" w:cs="Verdana"/>
          <w:sz w:val="20"/>
          <w:sz-cs w:val="20"/>
          <w:spacing w:val="0"/>
        </w:rPr>
        <w:t xml:space="preserve"> ), al justificar la atribución al juez de estas facultades estimativas en el art. 17.1 de la Directiva, declaró que dicha norma tenía por objeto «flexibilizar el nivel de prueba exigido para determinar el importe del perjuicio sufrido y subsanar la asimetría de información existente en detrimento de la parte demandante afectada, así como las dificultades derivadas del hecho de que la cuantificación del perjuicio sufrido requiere evaluar cómo habría evolucionado el mercado de referencia si no se hubiera producido la infracción».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posterior </w:t>
      </w:r>
      <w:r>
        <w:rPr>
          <w:rFonts w:ascii="Verdana" w:hAnsi="Verdana" w:cs="Verdana"/>
          <w:sz w:val="20"/>
          <w:sz-cs w:val="20"/>
          <w:i/>
          <w:spacing w:val="0"/>
        </w:rPr>
        <w:t xml:space="preserve"> sentencia del TJUE de 16 de febrero de 2023 (asunto C312/21 </w:t>
      </w:r>
      <w:r>
        <w:rPr>
          <w:rFonts w:ascii="Verdana" w:hAnsi="Verdana" w:cs="Verdana"/>
          <w:sz w:val="20"/>
          <w:sz-cs w:val="20"/>
          <w:spacing w:val="0"/>
        </w:rPr>
        <w:t xml:space="preserve">, </w:t>
      </w:r>
      <w:r>
        <w:rPr>
          <w:rFonts w:ascii="Verdana" w:hAnsi="Verdana" w:cs="Verdana"/>
          <w:sz w:val="20"/>
          <w:sz-cs w:val="20"/>
          <w:i/>
          <w:spacing w:val="0"/>
        </w:rPr>
        <w:t xml:space="preserve"> Tráficos Manuel Ferrer, </w:t>
      </w:r>
      <w:r>
        <w:rPr>
          <w:rFonts w:ascii="Verdana" w:hAnsi="Verdana" w:cs="Verdana"/>
          <w:sz w:val="20"/>
          <w:sz-cs w:val="20"/>
          <w:spacing w:val="0"/>
        </w:rPr>
        <w:t xml:space="preserve"> ECLI: </w:t>
      </w:r>
      <w:r>
        <w:rPr>
          <w:rFonts w:ascii="Verdana" w:hAnsi="Verdana" w:cs="Verdana"/>
          <w:sz w:val="20"/>
          <w:sz-cs w:val="20"/>
          <w:i/>
          <w:spacing w:val="0"/>
        </w:rPr>
        <w:t xml:space="preserve"> EU:C:2023:99 </w:t>
      </w:r>
      <w:r>
        <w:rPr>
          <w:rFonts w:ascii="Verdana" w:hAnsi="Verdana" w:cs="Verdana"/>
          <w:sz w:val="20"/>
          <w:sz-cs w:val="20"/>
          <w:spacing w:val="0"/>
        </w:rPr>
        <w:t xml:space="preserve"> ), en su apartado 53, ha ceñido la aplicación de las facultades de estimación del juez en este campo a «situaciones en que, una vez acreditada la existencia de ese perjuicio respecto de la parte demandante, sea prácticamente imposible o excesivamente difícil cuantificarlo».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esta última sentencia, el TJUE afirma que «en el supuesto de que la imposibilidad práctica de evaluar el perjuicio se deba a la inactividad de la parte demandante, no corresponderá al juez nacional sustituir a esta parte ni suplir su falta de acción» (apartado 57).</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14.- </w:t>
      </w:r>
      <w:r>
        <w:rPr>
          <w:rFonts w:ascii="Verdana" w:hAnsi="Verdana" w:cs="Verdana"/>
          <w:sz w:val="20"/>
          <w:sz-cs w:val="20"/>
          <w:spacing w:val="0"/>
        </w:rPr>
        <w:t xml:space="preserve"> En el presente caso, como ya se ha expresado, hay prueba suficiente de que el cártel causó daños, consistentes fundamentalmente en que los adquirentes de los camiones pagaron un sobreprecio derivado de la artificial elevación de los precios provocada por el cártel. Sin embargo, no hay prueba suficiente de cuál ha sido el importe del sobreprecio porque, al estimar el recurso extraordinario por infracción procesal de la demandada, hemos considerado que ese extremo no ha quedado probado por el informe pericial presentado por el perjudicado, que no ha resultado idóneo para realizar esta cuantificación.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15.- </w:t>
      </w:r>
      <w:r>
        <w:rPr>
          <w:rFonts w:ascii="Verdana" w:hAnsi="Verdana" w:cs="Verdana"/>
          <w:sz w:val="20"/>
          <w:sz-cs w:val="20"/>
          <w:spacing w:val="0"/>
        </w:rPr>
        <w:t xml:space="preserve"> La citada </w:t>
      </w:r>
      <w:r>
        <w:rPr>
          <w:rFonts w:ascii="Verdana" w:hAnsi="Verdana" w:cs="Verdana"/>
          <w:sz w:val="20"/>
          <w:sz-cs w:val="20"/>
          <w:i/>
          <w:spacing w:val="0"/>
        </w:rPr>
        <w:t xml:space="preserve"> STJUE de 16 de febrero de 2023 </w:t>
      </w:r>
      <w:r>
        <w:rPr>
          <w:rFonts w:ascii="Verdana" w:hAnsi="Verdana" w:cs="Verdana"/>
          <w:sz w:val="20"/>
          <w:sz-cs w:val="20"/>
          <w:spacing w:val="0"/>
        </w:rPr>
        <w:t xml:space="preserve"> hace referencia a la facultad que el </w:t>
      </w:r>
      <w:r>
        <w:rPr>
          <w:rFonts w:ascii="Verdana" w:hAnsi="Verdana" w:cs="Verdana"/>
          <w:sz w:val="20"/>
          <w:sz-cs w:val="20"/>
          <w:i/>
          <w:spacing w:val="0"/>
        </w:rPr>
        <w:t xml:space="preserve"> art. 5.1 de la Directiva, traspuesto al Derecho interno en los </w:t>
      </w:r>
      <w:r>
        <w:rPr>
          <w:rFonts w:ascii="Verdana" w:hAnsi="Verdana" w:cs="Verdana"/>
          <w:sz w:val="20"/>
          <w:sz-cs w:val="20"/>
          <w:spacing w:val="0"/>
        </w:rPr>
        <w:t xml:space="preserve">  </w:t>
      </w:r>
      <w:r>
        <w:rPr>
          <w:rFonts w:ascii="Verdana" w:hAnsi="Verdana" w:cs="Verdana"/>
          <w:sz w:val="20"/>
          <w:sz-cs w:val="20"/>
          <w:i/>
          <w:spacing w:val="0"/>
        </w:rPr>
        <w:t xml:space="preserve"> arts. 283.bis.a) y ss. LEC </w:t>
      </w:r>
      <w:r>
        <w:rPr>
          <w:rFonts w:ascii="Verdana" w:hAnsi="Verdana" w:cs="Verdana"/>
          <w:sz w:val="20"/>
          <w:sz-cs w:val="20"/>
          <w:spacing w:val="0"/>
        </w:rPr>
        <w:t xml:space="preserve">, otorga al demandante de solicitar la exhibición de pruebas por el demandado y por terceros, fundamentalmente de documentos. Pero tal referencia ha de entenderse en el contexto de una cuestión prejudicial en la que, como dato relevante, se exponía que se había realizado tal exhibición de pruebas (que no había conseguido aportar ningún dato relevante para la cuantificación del daño), y no como indicación de que ese fuera el único medio que tiene el demandante para demostrar que no ha sido pasivo en la prueba del importe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juez nacional debe valorar los elementos pertinentes, dadas las circunstancias concurrentes en el caso enjuiciado, para juzgar el esfuerzo probatorio desplegado por el perjudicado. Entre ellos se encuentra, como uno más de los posibles y no como una exigencia de carácter ineludible, haber hecho uso de las diligencias de acceso a las fuentes de la prueba. Por tanto, esa referencia que hace la citada sentencia del TJUE a la solicitud de exhibición de pruebas no supone que, de no haberse formulado tal solicitud, necesariamente la falta de prueba sobre el importe del daño sea atribuible a la inactividad del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16.- </w:t>
      </w:r>
      <w:r>
        <w:rPr>
          <w:rFonts w:ascii="Verdana" w:hAnsi="Verdana" w:cs="Verdana"/>
          <w:sz w:val="20"/>
          <w:sz-cs w:val="20"/>
          <w:spacing w:val="0"/>
        </w:rPr>
        <w:t xml:space="preserve"> En un caso como el presente, no consideramos que pueda apreciarse una inactividad probatoria de los demandantes que hiciera improcedente la estimación judicial del daño. Por eso, que hayamos considerado inadecuado el informe para la cuantificación del sobrecoste y, por tanto, hayamos rechazado sus conclusiones, no supone, sin más, la inactividad de los demandantes. Sobre todo, si tenemos en cuenta que, a las dificultades propias de la cuantificación del daño en asuntos de competencia a que hacían referencia los apartados 17 y 123 de la citada Guía práctica, se suman las derivadas de las especiales características del cártel de los camiones.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Así, la extensa duración del cártel, que se inició en el año 1997 y se prolongó durante al menos 14 años, dificulta seriamente realizar un análisis diacrónico. El ámbito geográfico del cártel, que afectó a todo el EEE, y la singularidad de los productos afectados, hacen en la práctica muy difícil realizar un análisis sincrónico de comparación con otros mercados geográficos (pues las circunstancias concurrentes en otros ámbitos geográficos son muy diferentes) o con otros productos, que no son aptos para realizar la comparación. Y esas mismas características del cartel también dificultan mucho aplicar con éxito otros métodos de cuantificación de daños, como los basados en costes y análisis financieros.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este contexto, las propias características de este cartel contribuyen a considerar que, en este caso, la falta de idoneidad del informe presentado por el demandante para cuantificar el sobreprecio no supone una inactividad que impida la estimación judicial. Se trata de un cartel de 14 años de duración, que abarcaba todo el EEE y en el que los participantes en el cartel eran los mayores fabricantes europeos con una cuota de mercado de aproximadamente el 90%; con documentos redactados en varios idiomas distintos del propio del demandante; con una solicitud de clemencia y una transacción que obstaculizan aún más la obtención de los documentos relevantes ( </w:t>
      </w:r>
      <w:r>
        <w:rPr>
          <w:rFonts w:ascii="Verdana" w:hAnsi="Verdana" w:cs="Verdana"/>
          <w:sz w:val="20"/>
          <w:sz-cs w:val="20"/>
          <w:i/>
          <w:spacing w:val="0"/>
        </w:rPr>
        <w:t xml:space="preserve"> art. 283.bis </w:t>
      </w:r>
      <w:r>
        <w:rPr>
          <w:rFonts w:ascii="Verdana" w:hAnsi="Verdana" w:cs="Verdana"/>
          <w:sz w:val="20"/>
          <w:sz-cs w:val="20"/>
          <w:spacing w:val="0"/>
        </w:rPr>
        <w:t xml:space="preserve">.i. </w:t>
      </w:r>
      <w:r>
        <w:rPr>
          <w:rFonts w:ascii="Verdana" w:hAnsi="Verdana" w:cs="Verdana"/>
          <w:sz w:val="20"/>
          <w:sz-cs w:val="20"/>
          <w:i/>
          <w:spacing w:val="0"/>
        </w:rPr>
        <w:t xml:space="preserve"> 6 LEC </w:t>
      </w:r>
      <w:r>
        <w:rPr>
          <w:rFonts w:ascii="Verdana" w:hAnsi="Verdana" w:cs="Verdana"/>
          <w:sz w:val="20"/>
          <w:sz-cs w:val="20"/>
          <w:spacing w:val="0"/>
        </w:rPr>
        <w:t xml:space="preserve"> ). Estas características del cartel y la propia la dificultad de precisar y encontrar la documentación que pudiera ser relevante en la práctica deben relacionarse con la existencia de un escaso plazo legal de 20 días para presentar la demanda tras la práctica de la medida de acceso a las fuentes de prueba ( </w:t>
      </w:r>
      <w:r>
        <w:rPr>
          <w:rFonts w:ascii="Verdana" w:hAnsi="Verdana" w:cs="Verdana"/>
          <w:sz w:val="20"/>
          <w:sz-cs w:val="20"/>
          <w:i/>
          <w:spacing w:val="0"/>
        </w:rPr>
        <w:t xml:space="preserve"> art. 283.bis </w:t>
      </w:r>
      <w:r>
        <w:rPr>
          <w:rFonts w:ascii="Verdana" w:hAnsi="Verdana" w:cs="Verdana"/>
          <w:sz w:val="20"/>
          <w:sz-cs w:val="20"/>
          <w:spacing w:val="0"/>
        </w:rPr>
        <w:t xml:space="preserve">.e. </w:t>
      </w:r>
      <w:r>
        <w:rPr>
          <w:rFonts w:ascii="Verdana" w:hAnsi="Verdana" w:cs="Verdana"/>
          <w:sz w:val="20"/>
          <w:sz-cs w:val="20"/>
          <w:i/>
          <w:spacing w:val="0"/>
        </w:rPr>
        <w:t xml:space="preserve"> 2 LEC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Sin que además podamos obviar la desproporción que se advierte fácilmente, en un caso como este (en que se reclama por el sobreprecio pagado por la compra de tres camiones), entre el interés litigioso y el coste que podría generarle la práctica de las diligencias necesarias para acceder a la documentación que pudiera ser relevante en ese caso concreto y la elaboración del posterior informe pericial. Desproporción que convertiría en claramente antieconómica la reclamación judicial del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este sentido, el apartado 124 de la Guía práctica para cuantificar el perjuicio en las demandas por daños y perjuicios por incumplimiento de los </w:t>
      </w:r>
      <w:r>
        <w:rPr>
          <w:rFonts w:ascii="Verdana" w:hAnsi="Verdana" w:cs="Verdana"/>
          <w:sz w:val="20"/>
          <w:sz-cs w:val="20"/>
          <w:i/>
          <w:spacing w:val="0"/>
        </w:rPr>
        <w:t xml:space="preserve"> artículos 101 </w:t>
      </w:r>
      <w:r>
        <w:rPr>
          <w:rFonts w:ascii="Verdana" w:hAnsi="Verdana" w:cs="Verdana"/>
          <w:sz w:val="20"/>
          <w:sz-cs w:val="20"/>
          <w:spacing w:val="0"/>
        </w:rPr>
        <w:t xml:space="preserve"> o </w:t>
      </w:r>
      <w:r>
        <w:rPr>
          <w:rFonts w:ascii="Verdana" w:hAnsi="Verdana" w:cs="Verdana"/>
          <w:sz w:val="20"/>
          <w:sz-cs w:val="20"/>
          <w:i/>
          <w:spacing w:val="0"/>
        </w:rPr>
        <w:t xml:space="preserve"> 102 del Tratado de Funcionamiento de la Unión Europea </w:t>
      </w:r>
      <w:r>
        <w:rPr>
          <w:rFonts w:ascii="Verdana" w:hAnsi="Verdana" w:cs="Verdana"/>
          <w:sz w:val="20"/>
          <w:sz-cs w:val="20"/>
          <w:spacing w:val="0"/>
        </w:rPr>
        <w:t xml:space="preserve"> considera relevante los costes y el tiempo que exige la consecución de estos datos y su proporcionalidad en relación con el valor de los daños y perjuicios que se reclaman. Se afirma en este apartado de la Guía Práctica: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costes y la carga para una parte perjudicada y su proporcionalidad pueden ser particularmente relevantes habida cuenta del principio de efectividad».</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17.- </w:t>
      </w:r>
      <w:r>
        <w:rPr>
          <w:rFonts w:ascii="Verdana" w:hAnsi="Verdana" w:cs="Verdana"/>
          <w:sz w:val="20"/>
          <w:sz-cs w:val="20"/>
          <w:spacing w:val="0"/>
        </w:rPr>
        <w:t xml:space="preserve"> Esta valoración viene avalada por la interpretación sistemática y teleológica del </w:t>
      </w:r>
      <w:r>
        <w:rPr>
          <w:rFonts w:ascii="Verdana" w:hAnsi="Verdana" w:cs="Verdana"/>
          <w:sz w:val="20"/>
          <w:sz-cs w:val="20"/>
          <w:i/>
          <w:spacing w:val="0"/>
        </w:rPr>
        <w:t xml:space="preserve"> art. 101.1 TFUE </w:t>
      </w:r>
      <w:r>
        <w:rPr>
          <w:rFonts w:ascii="Verdana" w:hAnsi="Verdana" w:cs="Verdana"/>
          <w:sz w:val="20"/>
          <w:sz-cs w:val="20"/>
          <w:spacing w:val="0"/>
        </w:rPr>
        <w:t xml:space="preserve"> y la necesidad de garantizar su plena eficacia y del efecto útil, por la que los órganos jurisdiccionales nacionales también deben velar, según resulta de la jurisprudencia reiterada del TJUE ( </w:t>
      </w:r>
      <w:r>
        <w:rPr>
          <w:rFonts w:ascii="Verdana" w:hAnsi="Verdana" w:cs="Verdana"/>
          <w:sz w:val="20"/>
          <w:sz-cs w:val="20"/>
          <w:i/>
          <w:spacing w:val="0"/>
        </w:rPr>
        <w:t xml:space="preserve"> STJUE de 12 de noviembre de 2019 (asunto C-435/18 </w:t>
      </w:r>
      <w:r>
        <w:rPr>
          <w:rFonts w:ascii="Verdana" w:hAnsi="Verdana" w:cs="Verdana"/>
          <w:sz w:val="20"/>
          <w:sz-cs w:val="20"/>
          <w:spacing w:val="0"/>
        </w:rPr>
        <w:t xml:space="preserve">, </w:t>
      </w:r>
      <w:r>
        <w:rPr>
          <w:rFonts w:ascii="Verdana" w:hAnsi="Verdana" w:cs="Verdana"/>
          <w:sz w:val="20"/>
          <w:sz-cs w:val="20"/>
          <w:i/>
          <w:spacing w:val="0"/>
        </w:rPr>
        <w:t xml:space="preserve"> Otis y otros, </w:t>
      </w:r>
      <w:r>
        <w:rPr>
          <w:rFonts w:ascii="Verdana" w:hAnsi="Verdana" w:cs="Verdana"/>
          <w:sz w:val="20"/>
          <w:sz-cs w:val="20"/>
          <w:spacing w:val="0"/>
        </w:rPr>
        <w:t xml:space="preserve"> ECLI: </w:t>
      </w:r>
      <w:r>
        <w:rPr>
          <w:rFonts w:ascii="Verdana" w:hAnsi="Verdana" w:cs="Verdana"/>
          <w:sz w:val="20"/>
          <w:sz-cs w:val="20"/>
          <w:i/>
          <w:spacing w:val="0"/>
        </w:rPr>
        <w:t xml:space="preserve"> EU:C:2019:1069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Y para garantizar el cumplimiento de estos objetivos, el TJUE fija los criterios a que deben atender las normas nacionales relativas al modo de ejercicio del derecho a solicitar la reparación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«25 A este respecto, y específicamente en el ámbito del Derecho de la competencia, las normas nacionales relativas al modo de ejercicio del derecho a solicitar la reparación del daño resultante de un acuerdo o práctica prohibidos por el </w:t>
      </w:r>
      <w:r>
        <w:rPr>
          <w:rFonts w:ascii="Verdana" w:hAnsi="Verdana" w:cs="Verdana"/>
          <w:sz w:val="20"/>
          <w:sz-cs w:val="20"/>
          <w:i/>
          <w:spacing w:val="0"/>
        </w:rPr>
        <w:t xml:space="preserve"> artículo 101 TFUE </w:t>
      </w:r>
      <w:r>
        <w:rPr>
          <w:rFonts w:ascii="Verdana" w:hAnsi="Verdana" w:cs="Verdana"/>
          <w:sz w:val="20"/>
          <w:sz-cs w:val="20"/>
          <w:spacing w:val="0"/>
        </w:rPr>
        <w:t xml:space="preserve"> no deben menoscabar la aplicación efectiva de dicha disposición (véase, en este sentido, la </w:t>
      </w:r>
      <w:r>
        <w:rPr>
          <w:rFonts w:ascii="Verdana" w:hAnsi="Verdana" w:cs="Verdana"/>
          <w:sz w:val="20"/>
          <w:sz-cs w:val="20"/>
          <w:i/>
          <w:spacing w:val="0"/>
        </w:rPr>
        <w:t xml:space="preserve"> sentencia de 5 de junio de 2014, Kone y otros, C-557/12 </w:t>
      </w:r>
      <w:r>
        <w:rPr>
          <w:rFonts w:ascii="Verdana" w:hAnsi="Verdana" w:cs="Verdana"/>
          <w:sz w:val="20"/>
          <w:sz-cs w:val="20"/>
          <w:spacing w:val="0"/>
        </w:rPr>
        <w:t xml:space="preserve">, EU:C:2014:1317, apartado 26 y jurisprudencia citada).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»27 Debe señalarse asimismo que, como destacó también la Abogada General, en síntesis, en el punto 78 de sus conclusiones, tanto la garantía de la plena eficacia y del efecto útil del </w:t>
      </w:r>
      <w:r>
        <w:rPr>
          <w:rFonts w:ascii="Verdana" w:hAnsi="Verdana" w:cs="Verdana"/>
          <w:sz w:val="20"/>
          <w:sz-cs w:val="20"/>
          <w:i/>
          <w:spacing w:val="0"/>
        </w:rPr>
        <w:t xml:space="preserve"> artículo 101 TFUE </w:t>
      </w:r>
      <w:r>
        <w:rPr>
          <w:rFonts w:ascii="Verdana" w:hAnsi="Verdana" w:cs="Verdana"/>
          <w:sz w:val="20"/>
          <w:sz-cs w:val="20"/>
          <w:spacing w:val="0"/>
        </w:rPr>
        <w:t xml:space="preserve"> como la protección eficaz contra las consecuencias perjudiciales de una infracción del Derecho de la competencia se verían gravemente menoscabadas si la posibilidad de reclamar resarcimiento por los perjuicios causados por un cártel se limitara a los proveedores y adquirentes del mercado afectado por el cártel. En efecto, ello privaría inmediata y sistemáticamente a las víctimas potenciales de la posibilidad de reclamar resarcimiento».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Prevenir este riesgo de menoscabo del objetivo de una «protección eficaz contra las consecuencias perjudiciales de una infracción del Derecho de la competencia» resulta particularmente relevante a la vista de la finalidad a que responde esta participación del sector privado en ese objetivo. Participación que, como ha declarado la </w:t>
      </w:r>
      <w:r>
        <w:rPr>
          <w:rFonts w:ascii="Verdana" w:hAnsi="Verdana" w:cs="Verdana"/>
          <w:sz w:val="20"/>
          <w:sz-cs w:val="20"/>
          <w:i/>
          <w:spacing w:val="0"/>
        </w:rPr>
        <w:t xml:space="preserve"> STJUE de 10 de noviembre de 2022 (asunto C-163/21 </w:t>
      </w:r>
      <w:r>
        <w:rPr>
          <w:rFonts w:ascii="Verdana" w:hAnsi="Verdana" w:cs="Verdana"/>
          <w:sz w:val="20"/>
          <w:sz-cs w:val="20"/>
          <w:spacing w:val="0"/>
        </w:rPr>
        <w:t xml:space="preserve">, </w:t>
      </w:r>
      <w:r>
        <w:rPr>
          <w:rFonts w:ascii="Verdana" w:hAnsi="Verdana" w:cs="Verdana"/>
          <w:sz w:val="20"/>
          <w:sz-cs w:val="20"/>
          <w:i/>
          <w:spacing w:val="0"/>
        </w:rPr>
        <w:t xml:space="preserve"> Paccar, </w:t>
      </w:r>
      <w:r>
        <w:rPr>
          <w:rFonts w:ascii="Verdana" w:hAnsi="Verdana" w:cs="Verdana"/>
          <w:sz w:val="20"/>
          <w:sz-cs w:val="20"/>
          <w:spacing w:val="0"/>
        </w:rPr>
        <w:t xml:space="preserve"> ECLI:EU:C:2022:863), «no solo permite poner remedio al daño directo que la persona en cuestión alega haber sufrido, sino también a los daños indirectos causados a la estructura y al funcionamiento del mercado, que no ha podido desplegar su plena eficacia económica, en particular en beneficio de los consumidores afectados (véase, en este sentido, la </w:t>
      </w:r>
      <w:r>
        <w:rPr>
          <w:rFonts w:ascii="Verdana" w:hAnsi="Verdana" w:cs="Verdana"/>
          <w:sz w:val="20"/>
          <w:sz-cs w:val="20"/>
          <w:i/>
          <w:spacing w:val="0"/>
        </w:rPr>
        <w:t xml:space="preserve"> sentencia de 6 de octubre de 2021,  Sumal, </w:t>
      </w:r>
      <w:r>
        <w:rPr>
          <w:rFonts w:ascii="Verdana" w:hAnsi="Verdana" w:cs="Verdana"/>
          <w:sz w:val="20"/>
          <w:sz-cs w:val="20"/>
          <w:spacing w:val="0"/>
        </w:rPr>
        <w:t xml:space="preserve"> C-882/19 , EU:C:2021:800, apartado 36)» (p.56).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18.- </w:t>
      </w:r>
      <w:r>
        <w:rPr>
          <w:rFonts w:ascii="Verdana" w:hAnsi="Verdana" w:cs="Verdana"/>
          <w:sz w:val="20"/>
          <w:sz-cs w:val="20"/>
          <w:spacing w:val="0"/>
        </w:rPr>
        <w:t xml:space="preserve"> En la </w:t>
      </w:r>
      <w:r>
        <w:rPr>
          <w:rFonts w:ascii="Verdana" w:hAnsi="Verdana" w:cs="Verdana"/>
          <w:sz w:val="20"/>
          <w:sz-cs w:val="20"/>
          <w:i/>
          <w:spacing w:val="0"/>
        </w:rPr>
        <w:t xml:space="preserve"> sentencia de esta sala 651/2013 </w:t>
      </w:r>
      <w:r>
        <w:rPr>
          <w:rFonts w:ascii="Verdana" w:hAnsi="Verdana" w:cs="Verdana"/>
          <w:sz w:val="20"/>
          <w:sz-cs w:val="20"/>
          <w:spacing w:val="0"/>
        </w:rPr>
        <w:t xml:space="preserve">, del cártel del azúcar, declaramos que «[l]o exigible al informe pericial que aporte la parte perjudicada es que formule una hipótesis razonable y técnicamente fundada sobre datos contrastables y no erróneos». Pero como hemos indicado en las sentencias antes reseñadas dictadas en el cártel de los camiones, esa afirmación no se hizo para establecer un requisito imprescindible para que el perjudicado obtenga una indemnización de los daños provocados por el cártel, sino como fundamento de la aceptación por el tribunal de la valoración de los daños del informe pericial presentado por el perjudicado en aquel litigio, que era impugnado por las empresas participantes en aquel cartel porque contenía errores en la valoración del daño. Por esa razón afirmamos, a continuación, que «el informe del perito de las demandantes contiene ambos elementos y que por tanto, a falta de otra hipótesis alternativa que pueda considerarse mejor fundada, la valoración de los daños realizada en dicho informe ha de considerarse razonable y acertada».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caso ahora enjuiciado, que no hayamos aceptado las conclusiones del informe pericial presentado por la parte demandante, no supone que haya existido una inactividad probatoria que impida hacer uso de las facultades estimativas, habida cuenta de las dificultades que las circunstancias concurrentes en el cártel suponían para que los demandantes pudieran probar el importe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 deja de ser significativo que incluso en el caso </w:t>
      </w:r>
      <w:r>
        <w:rPr>
          <w:rFonts w:ascii="Verdana" w:hAnsi="Verdana" w:cs="Verdana"/>
          <w:sz w:val="20"/>
          <w:sz-cs w:val="20"/>
          <w:i/>
          <w:spacing w:val="0"/>
        </w:rPr>
        <w:t xml:space="preserve"> Royal Mail/British Telecom, </w:t>
      </w:r>
      <w:r>
        <w:rPr>
          <w:rFonts w:ascii="Verdana" w:hAnsi="Verdana" w:cs="Verdana"/>
          <w:sz w:val="20"/>
          <w:sz-cs w:val="20"/>
          <w:spacing w:val="0"/>
        </w:rPr>
        <w:t xml:space="preserve"> enjuiciado por el </w:t>
      </w:r>
      <w:r>
        <w:rPr>
          <w:rFonts w:ascii="Verdana" w:hAnsi="Verdana" w:cs="Verdana"/>
          <w:sz w:val="20"/>
          <w:sz-cs w:val="20"/>
          <w:i/>
          <w:spacing w:val="0"/>
        </w:rPr>
        <w:t xml:space="preserve"> Competition Appeal Tribunal </w:t>
      </w:r>
      <w:r>
        <w:rPr>
          <w:rFonts w:ascii="Verdana" w:hAnsi="Verdana" w:cs="Verdana"/>
          <w:sz w:val="20"/>
          <w:sz-cs w:val="20"/>
          <w:spacing w:val="0"/>
        </w:rPr>
        <w:t xml:space="preserve"> británico [CAT, Case Nº: 1290/5/7/18 (T)], en el que sí hubo un amplio acceso a los documentos de la demandada y a la información reservada del expediente de la Comisión y se aportaron detallados informes periciales elaborados por prestigiosos peritos, no ha sido posible la cuantificación exacta del daño con base en esas pruebas documentales y periciales y el tribunal ha debido recurrir a la estimación del daño, que ha fijado en un 5% del precio de los camiones. Lo que ha sido confirmado por la </w:t>
      </w:r>
      <w:r>
        <w:rPr>
          <w:rFonts w:ascii="Verdana" w:hAnsi="Verdana" w:cs="Verdana"/>
          <w:sz w:val="20"/>
          <w:sz-cs w:val="20"/>
          <w:i/>
          <w:spacing w:val="0"/>
        </w:rPr>
        <w:t xml:space="preserve"> sentencia de la  Court of Appeal </w:t>
      </w:r>
      <w:r>
        <w:rPr>
          <w:rFonts w:ascii="Verdana" w:hAnsi="Verdana" w:cs="Verdana"/>
          <w:sz w:val="20"/>
          <w:sz-cs w:val="20"/>
          <w:spacing w:val="0"/>
        </w:rPr>
        <w:t xml:space="preserve"> de 27 de febrero de 2024 (cases, CA-2023-001010  and CA-2023-001109).</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19.- </w:t>
      </w:r>
      <w:r>
        <w:rPr>
          <w:rFonts w:ascii="Verdana" w:hAnsi="Verdana" w:cs="Verdana"/>
          <w:sz w:val="20"/>
          <w:sz-cs w:val="20"/>
          <w:spacing w:val="0"/>
        </w:rPr>
        <w:t xml:space="preserve"> La conclusión de lo anterior es que la actividad probatoria desplegada por el demandante, en concreto la presentación del informe pericial con la demanda, pese a que dicho informe no resulte convincente, en este caso puede ser considerada suficiente para descartar que la ausencia de prueba suficiente del importe del daño se deba a la inactividad del demandante. Y estando probada la existencia del daño, justifica que podamos hacer uso de facultades estimativas para fijar la indemnización.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descripción en la Decisión de la conducta infractora es base suficiente para presumir la existencia del daño, dadas las características del cártel descrito (objeto, participantes, cuota de mercado, duración, extensión geográfica), mediante la aplicación de las reglas del raciocinio humano para deducir de esos datos la existencia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Estas circunstancias descritas en la Decisión son también suficientes para entender que ese daño no fue insignificante o meramente testimonial. Lo que no ha resultado probado en este caso es que el importe de ese daño haya sido superior al 5% del precio del camión, que es el porcentaje que hemos considerado como importe mínimo del daño, atendidas las referidas circunstancias del cártel y los datos estadísticos sobre los porcentajes de sobreprecio que suelen causar los cárteles, en aplicación de las facultades estimativas atribuidas por el ordenamiento jurídico antes incluso de la trasposición de la Directiva, como consecuencia directa del principio de indemnidad derivado de los </w:t>
      </w:r>
      <w:r>
        <w:rPr>
          <w:rFonts w:ascii="Verdana" w:hAnsi="Verdana" w:cs="Verdana"/>
          <w:sz w:val="20"/>
          <w:sz-cs w:val="20"/>
          <w:i/>
          <w:spacing w:val="0"/>
        </w:rPr>
        <w:t xml:space="preserve"> arts. 1902 del Código Civil </w:t>
      </w:r>
      <w:r>
        <w:rPr>
          <w:rFonts w:ascii="Verdana" w:hAnsi="Verdana" w:cs="Verdana"/>
          <w:sz w:val="20"/>
          <w:sz-cs w:val="20"/>
          <w:spacing w:val="0"/>
        </w:rPr>
        <w:t xml:space="preserve"> y </w:t>
      </w:r>
      <w:r>
        <w:rPr>
          <w:rFonts w:ascii="Verdana" w:hAnsi="Verdana" w:cs="Verdana"/>
          <w:sz w:val="20"/>
          <w:sz-cs w:val="20"/>
          <w:i/>
          <w:spacing w:val="0"/>
        </w:rPr>
        <w:t xml:space="preserve"> 101 TFUE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20.- </w:t>
      </w:r>
      <w:r>
        <w:rPr>
          <w:rFonts w:ascii="Verdana" w:hAnsi="Verdana" w:cs="Verdana"/>
          <w:sz w:val="20"/>
          <w:sz-cs w:val="20"/>
          <w:spacing w:val="0"/>
        </w:rPr>
        <w:t xml:space="preserve"> A ello debe unirse que los informes periciales aportados por las demandadas no desvirtúan la conclusión de que el cártel produjo daños ni tampoco acreditan un sobreprecio inferior. Que la repercusión del incremento de precios brutos no tenga necesariamente un reflejo directamente proporcional en los precios netos no quita que, como se justificó en las citadas sentencias de junio y octubre de 2023, si existe un cártel que ha elevado los precios brutos, los posibles descuentos se habrán producido desde un nivel de precios más alto que si no hubiera existido el cártel. En definitiva, por más que intervengan diversos factores en la fijación del precio final, si se parte de un precio bruto superior al que habría resultado de una concurrencia no distorsionada por el cártel, el precio final también será más elevado. Es lo que la </w:t>
      </w:r>
      <w:r>
        <w:rPr>
          <w:rFonts w:ascii="Verdana" w:hAnsi="Verdana" w:cs="Verdana"/>
          <w:sz w:val="20"/>
          <w:sz-cs w:val="20"/>
          <w:i/>
          <w:spacing w:val="0"/>
        </w:rPr>
        <w:t xml:space="preserve"> sentencia del Tribunal de Distrito de Amsterdam de 12 de mayo de 2021 </w:t>
      </w:r>
      <w:r>
        <w:rPr>
          <w:rFonts w:ascii="Verdana" w:hAnsi="Verdana" w:cs="Verdana"/>
          <w:sz w:val="20"/>
          <w:sz-cs w:val="20"/>
          <w:spacing w:val="0"/>
        </w:rPr>
        <w:t xml:space="preserve"> ha denominado gráficamente el «efecto marea»: es como si la marea levantara todos los barcos. Cada uno de los barcos puede seguir subiendo y bajando con las olas, pero incluso el barco más bajo está en un nivel más alto y eso son los precios más altos que pagan los compradores de camiones. No se entiende por qué los escalones intermedios del mercado (las filiales nacionales encargadas de la distribución y los concesionarios, ya fueran independientes o dependientes de los fabricantes) habrían absorbido en sus márgenes comerciales durante 14 años los aumentos de precios brutos provocados por la conducta ilícita de los fabricantes evitando de este modo su repercusión en los compradores finales.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otra parte, los informes parten de una lectura distorsionada del contenido de la Decisión y consiguientemente de una premisa equivocada, que la conducta sancionada consistió en un mero intercambio de información sobre precios brutos, lo que les resta credibilidad.</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Además, la complejidad del mercado y la gran dispersión de descuentos practicados no impiden que el intercambio de información conlleve un aumento de precios.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21.- </w:t>
      </w:r>
      <w:r>
        <w:rPr>
          <w:rFonts w:ascii="Verdana" w:hAnsi="Verdana" w:cs="Verdana"/>
          <w:sz w:val="20"/>
          <w:sz-cs w:val="20"/>
          <w:spacing w:val="0"/>
        </w:rPr>
        <w:t xml:space="preserve"> Como consecuencia de todo lo expuesto, el importe de la indemnización será el equivalente al 5% del precio de adquisición de cada uno de los camiones objeto de litigio, con los intereses legales desde la fecha de adquisición ( </w:t>
      </w:r>
      <w:r>
        <w:rPr>
          <w:rFonts w:ascii="Verdana" w:hAnsi="Verdana" w:cs="Verdana"/>
          <w:sz w:val="20"/>
          <w:sz-cs w:val="20"/>
          <w:i/>
          <w:spacing w:val="0"/>
        </w:rPr>
        <w:t xml:space="preserve"> sentencias 940/2023, de 13 de junio </w:t>
      </w:r>
      <w:r>
        <w:rPr>
          <w:rFonts w:ascii="Verdana" w:hAnsi="Verdana" w:cs="Verdana"/>
          <w:sz w:val="20"/>
          <w:sz-cs w:val="20"/>
          <w:spacing w:val="0"/>
        </w:rPr>
        <w:t xml:space="preserve">; </w:t>
      </w:r>
      <w:r>
        <w:rPr>
          <w:rFonts w:ascii="Verdana" w:hAnsi="Verdana" w:cs="Verdana"/>
          <w:sz w:val="20"/>
          <w:sz-cs w:val="20"/>
          <w:i/>
          <w:spacing w:val="0"/>
        </w:rPr>
        <w:t xml:space="preserve"> 941/2023, de 13 de junio </w:t>
      </w:r>
      <w:r>
        <w:rPr>
          <w:rFonts w:ascii="Verdana" w:hAnsi="Verdana" w:cs="Verdana"/>
          <w:sz w:val="20"/>
          <w:sz-cs w:val="20"/>
          <w:spacing w:val="0"/>
        </w:rPr>
        <w:t xml:space="preserve">; </w:t>
      </w:r>
      <w:r>
        <w:rPr>
          <w:rFonts w:ascii="Verdana" w:hAnsi="Verdana" w:cs="Verdana"/>
          <w:sz w:val="20"/>
          <w:sz-cs w:val="20"/>
          <w:i/>
          <w:spacing w:val="0"/>
        </w:rPr>
        <w:t xml:space="preserve"> 946/2023, de 14 de junio </w:t>
      </w:r>
      <w:r>
        <w:rPr>
          <w:rFonts w:ascii="Verdana" w:hAnsi="Verdana" w:cs="Verdana"/>
          <w:sz w:val="20"/>
          <w:sz-cs w:val="20"/>
          <w:spacing w:val="0"/>
        </w:rPr>
        <w:t xml:space="preserve">; </w:t>
      </w:r>
      <w:r>
        <w:rPr>
          <w:rFonts w:ascii="Verdana" w:hAnsi="Verdana" w:cs="Verdana"/>
          <w:sz w:val="20"/>
          <w:sz-cs w:val="20"/>
          <w:i/>
          <w:spacing w:val="0"/>
        </w:rPr>
        <w:t xml:space="preserve"> 947/2023, de 14 de junio </w:t>
      </w:r>
      <w:r>
        <w:rPr>
          <w:rFonts w:ascii="Verdana" w:hAnsi="Verdana" w:cs="Verdana"/>
          <w:sz w:val="20"/>
          <w:sz-cs w:val="20"/>
          <w:spacing w:val="0"/>
        </w:rPr>
        <w:t xml:space="preserve">; y </w:t>
      </w:r>
      <w:r>
        <w:rPr>
          <w:rFonts w:ascii="Verdana" w:hAnsi="Verdana" w:cs="Verdana"/>
          <w:sz w:val="20"/>
          <w:sz-cs w:val="20"/>
          <w:i/>
          <w:spacing w:val="0"/>
        </w:rPr>
        <w:t xml:space="preserve"> 1415/2023, de 16 de octubre </w:t>
      </w:r>
      <w:r>
        <w:rPr>
          <w:rFonts w:ascii="Verdana" w:hAnsi="Verdana" w:cs="Verdana"/>
          <w:sz w:val="20"/>
          <w:sz-cs w:val="20"/>
          <w:spacing w:val="0"/>
        </w:rPr>
        <w:t xml:space="preserve"> ), que es lo que ya fue acordado en la sentencia de primera instancia.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CUARTO.- </w:t>
      </w:r>
      <w:r>
        <w:rPr>
          <w:rFonts w:ascii="Verdana" w:hAnsi="Verdana" w:cs="Verdana"/>
          <w:sz w:val="20"/>
          <w:sz-cs w:val="20"/>
          <w:spacing w:val="0"/>
        </w:rPr>
        <w:t xml:space="preserve">  </w:t>
      </w:r>
      <w:r>
        <w:rPr>
          <w:rFonts w:ascii="Verdana" w:hAnsi="Verdana" w:cs="Verdana"/>
          <w:sz w:val="20"/>
          <w:sz-cs w:val="20"/>
          <w:i/>
          <w:spacing w:val="0"/>
        </w:rPr>
        <w:t xml:space="preserve"> Costas y depósitos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Estimados los recursos extraordinarios por infracción procesal formulado por Traton y Daimler, no procede hacer expresa condena en costas ( </w:t>
      </w:r>
      <w:r>
        <w:rPr>
          <w:rFonts w:ascii="Verdana" w:hAnsi="Verdana" w:cs="Verdana"/>
          <w:sz w:val="20"/>
          <w:sz-cs w:val="20"/>
          <w:i/>
          <w:spacing w:val="0"/>
        </w:rPr>
        <w:t xml:space="preserve"> art. 398.2 LEC </w:t>
      </w:r>
      <w:r>
        <w:rPr>
          <w:rFonts w:ascii="Verdana" w:hAnsi="Verdana" w:cs="Verdana"/>
          <w:sz w:val="20"/>
          <w:sz-cs w:val="20"/>
          <w:spacing w:val="0"/>
        </w:rPr>
        <w:t xml:space="preserve"> ). En la medida en que la estimación de estos recursos ha supuesto que no entráramos a resolver los recursos de casación, no procede hacer expresa condena de las costas correspondientes a dichos recursos de casación.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Desestimados los recursos de apelación interpuestos por la parte demandante y por las entidades demandadas, procede imponer a cada parte las costas de sus respectivos recursos, en aplicación del </w:t>
      </w:r>
      <w:r>
        <w:rPr>
          <w:rFonts w:ascii="Verdana" w:hAnsi="Verdana" w:cs="Verdana"/>
          <w:sz w:val="20"/>
          <w:sz-cs w:val="20"/>
          <w:i/>
          <w:spacing w:val="0"/>
        </w:rPr>
        <w:t xml:space="preserve"> art. 398.1 LEC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Se confirma la sentencia de primera instancia y con ella la no imposición de costas, en atención a la parcial estimación de las pretensiones de la demanda ( </w:t>
      </w:r>
      <w:r>
        <w:rPr>
          <w:rFonts w:ascii="Verdana" w:hAnsi="Verdana" w:cs="Verdana"/>
          <w:sz w:val="20"/>
          <w:sz-cs w:val="20"/>
          <w:i/>
          <w:spacing w:val="0"/>
        </w:rPr>
        <w:t xml:space="preserve"> artículo 394 LEC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Igualmente, procede acordar la devolución del depósito constituido para la formulación del recurso de casación y la pérdida de los constituidos para la interposición de los recursos de apelación, de conformidad con la </w:t>
      </w:r>
      <w:r>
        <w:rPr>
          <w:rFonts w:ascii="Verdana" w:hAnsi="Verdana" w:cs="Verdana"/>
          <w:sz w:val="20"/>
          <w:sz-cs w:val="20"/>
          <w:i/>
          <w:spacing w:val="0"/>
        </w:rPr>
        <w:t xml:space="preserve"> disposición adicional 15.ª, apartado 8, LOPJ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 A L L 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Por todo lo expuesto, en nombre del Rey y por la autoridad que le confiere la Constitución, esta sala ha decidido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1.º- </w:t>
      </w:r>
      <w:r>
        <w:rPr>
          <w:rFonts w:ascii="Verdana" w:hAnsi="Verdana" w:cs="Verdana"/>
          <w:sz w:val="20"/>
          <w:sz-cs w:val="20"/>
          <w:spacing w:val="0"/>
        </w:rPr>
        <w:t xml:space="preserve"> Estimar los recursos extraordinarios por infracción procesal interpuestos por Traton SE y Daimler AG contra la </w:t>
      </w:r>
      <w:r>
        <w:rPr>
          <w:rFonts w:ascii="Verdana" w:hAnsi="Verdana" w:cs="Verdana"/>
          <w:sz w:val="20"/>
          <w:sz-cs w:val="20"/>
          <w:i/>
          <w:spacing w:val="0"/>
        </w:rPr>
        <w:t xml:space="preserve"> sentencia núm. 240/2022, de 24 de marzo, dictada por la Sección 2.ª de la Audiencia Provincial de Badajoz, en el recurso de apelación núm. 782/2020 </w:t>
      </w:r>
      <w:r>
        <w:rPr>
          <w:rFonts w:ascii="Verdana" w:hAnsi="Verdana" w:cs="Verdana"/>
          <w:sz w:val="20"/>
          <w:sz-cs w:val="20"/>
          <w:spacing w:val="0"/>
        </w:rPr>
        <w:t xml:space="preserve">, que anulamos.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2.º- </w:t>
      </w:r>
      <w:r>
        <w:rPr>
          <w:rFonts w:ascii="Verdana" w:hAnsi="Verdana" w:cs="Verdana"/>
          <w:sz w:val="20"/>
          <w:sz-cs w:val="20"/>
          <w:spacing w:val="0"/>
        </w:rPr>
        <w:t xml:space="preserve"> Desestimar los recursos de apelación interpuestos por la representación de D. Hugo, Daimler AG y Traton SE contra la </w:t>
      </w:r>
      <w:r>
        <w:rPr>
          <w:rFonts w:ascii="Verdana" w:hAnsi="Verdana" w:cs="Verdana"/>
          <w:sz w:val="20"/>
          <w:sz-cs w:val="20"/>
          <w:i/>
          <w:spacing w:val="0"/>
        </w:rPr>
        <w:t xml:space="preserve"> sentencia núm. 59/2020, de 20 de abril, dictada por el Juzgado de lo Mercantil número 1 de Badajoz, en el juicio ordinario núm. 145/2018 </w:t>
      </w:r>
      <w:r>
        <w:rPr>
          <w:rFonts w:ascii="Verdana" w:hAnsi="Verdana" w:cs="Verdana"/>
          <w:sz w:val="20"/>
          <w:sz-cs w:val="20"/>
          <w:spacing w:val="0"/>
        </w:rPr>
        <w:t xml:space="preserve">, que confirmamos.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3.º- </w:t>
      </w:r>
      <w:r>
        <w:rPr>
          <w:rFonts w:ascii="Verdana" w:hAnsi="Verdana" w:cs="Verdana"/>
          <w:sz w:val="20"/>
          <w:sz-cs w:val="20"/>
          <w:spacing w:val="0"/>
        </w:rPr>
        <w:t xml:space="preserve"> No hacer expresa imposición de las costas causadas por los recursos extraordinarios por infracción procesal y por los recursos de casación y condenar a cada una de las partes apelantes al pago de las costas causadas por su recurso de apelación.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4.º- </w:t>
      </w:r>
      <w:r>
        <w:rPr>
          <w:rFonts w:ascii="Verdana" w:hAnsi="Verdana" w:cs="Verdana"/>
          <w:sz w:val="20"/>
          <w:sz-cs w:val="20"/>
          <w:spacing w:val="0"/>
        </w:rPr>
        <w:t xml:space="preserve"> Devuélvanse el depósito constituido para la formulación del recurso extraordinario por infracción procesal y de casación, acordando la pérdida de los depósitos constituidos para interponer los recursos de apelación.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Líbrese al mencionado tribunal la certificación correspondiente, con devolución de los autos y del rollo de Sala. Y comuníquese esta sentencia a la Comisión Nacional de los Mercados y la Competencia ( </w:t>
      </w:r>
      <w:r>
        <w:rPr>
          <w:rFonts w:ascii="Verdana" w:hAnsi="Verdana" w:cs="Verdana"/>
          <w:sz w:val="20"/>
          <w:sz-cs w:val="20"/>
          <w:i/>
          <w:spacing w:val="0"/>
        </w:rPr>
        <w:t xml:space="preserve"> arts. 16.3 LDC </w:t>
      </w:r>
      <w:r>
        <w:rPr>
          <w:rFonts w:ascii="Verdana" w:hAnsi="Verdana" w:cs="Verdana"/>
          <w:sz w:val="20"/>
          <w:sz-cs w:val="20"/>
          <w:spacing w:val="0"/>
        </w:rPr>
        <w:t xml:space="preserve"> y </w:t>
      </w:r>
      <w:r>
        <w:rPr>
          <w:rFonts w:ascii="Verdana" w:hAnsi="Verdana" w:cs="Verdana"/>
          <w:sz w:val="20"/>
          <w:sz-cs w:val="20"/>
          <w:i/>
          <w:spacing w:val="0"/>
        </w:rPr>
        <w:t xml:space="preserve"> 212.3 LEC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Notifíquese esta resolución a las partes e insértese en la colección legislativa.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Así se acuerda y firma.</w:t>
      </w:r>
    </w:p>
    <w:p>
      <w:pPr>
        <w:jc w:val="both"/>
      </w:pPr>
      <w:r>
        <w:rPr>
          <w:rFonts w:ascii="Verdana" w:hAnsi="Verdana" w:cs="Verdana"/>
          <w:sz w:val="20"/>
          <w:sz-cs w:val="20"/>
          <w:spacing w:val="0"/>
        </w:rPr>
        <w:t xml:space="preserve"/>
        <w:tab/>
        <w:t xml:space="preserve"/>
      </w:r>
      <w:r>
        <w:rPr>
          <w:rFonts w:ascii="Times New Roman" w:hAnsi="Times New Roman" w:cs="Times New Roman"/>
          <w:sz w:val="24"/>
          <w:sz-cs w:val="24"/>
        </w:rPr>
        <w:t xml:space="preserve"/>
      </w:r>
    </w:p>
    <w:sectPr>
      <w:pgSz w:w="12240" w:h="15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Aranzazu Ortiz Gonzalez</dc:creator>
</cp:coreProperties>
</file>

<file path=docProps/meta.xml><?xml version="1.0" encoding="utf-8"?>
<meta xmlns="http://schemas.apple.com/cocoa/2006/metadata">
  <generator>CocoaOOXMLWriter/2685.6</generator>
</meta>
</file>